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ind w:firstLine="0" w:firstLineChars="0"/>
        <w:jc w:val="left"/>
        <w:rPr>
          <w:rFonts w:hint="eastAsia" w:ascii="宋体" w:hAnsi="宋体" w:eastAsia="宋体" w:cs="宋体"/>
          <w:sz w:val="56"/>
          <w:szCs w:val="44"/>
        </w:rPr>
      </w:pPr>
    </w:p>
    <w:p>
      <w:pPr>
        <w:spacing w:line="276" w:lineRule="auto"/>
        <w:ind w:firstLine="0" w:firstLineChars="0"/>
        <w:jc w:val="left"/>
        <w:rPr>
          <w:rFonts w:hint="eastAsia" w:ascii="宋体" w:hAnsi="宋体" w:eastAsia="宋体" w:cs="宋体"/>
          <w:sz w:val="56"/>
          <w:szCs w:val="44"/>
        </w:rPr>
      </w:pPr>
    </w:p>
    <w:p>
      <w:pPr>
        <w:spacing w:line="276" w:lineRule="auto"/>
        <w:ind w:firstLine="0" w:firstLineChars="0"/>
        <w:jc w:val="left"/>
        <w:rPr>
          <w:rFonts w:hint="eastAsia" w:ascii="宋体" w:hAnsi="宋体" w:eastAsia="宋体" w:cs="宋体"/>
          <w:sz w:val="56"/>
          <w:szCs w:val="44"/>
        </w:rPr>
      </w:pPr>
    </w:p>
    <w:p>
      <w:pPr>
        <w:spacing w:line="276" w:lineRule="auto"/>
        <w:ind w:firstLine="0" w:firstLineChars="0"/>
        <w:jc w:val="left"/>
        <w:rPr>
          <w:rFonts w:hint="eastAsia" w:ascii="宋体" w:hAnsi="宋体" w:eastAsia="宋体" w:cs="宋体"/>
          <w:sz w:val="56"/>
          <w:szCs w:val="44"/>
        </w:rPr>
      </w:pPr>
    </w:p>
    <w:p>
      <w:pPr>
        <w:spacing w:line="276" w:lineRule="auto"/>
        <w:ind w:firstLine="0" w:firstLineChars="0"/>
        <w:jc w:val="center"/>
        <w:rPr>
          <w:rFonts w:hint="eastAsia" w:ascii="宋体" w:hAnsi="宋体" w:eastAsia="宋体" w:cs="宋体"/>
          <w:sz w:val="96"/>
          <w:szCs w:val="96"/>
        </w:rPr>
      </w:pPr>
      <w:r>
        <w:rPr>
          <w:rFonts w:hint="eastAsia" w:ascii="宋体" w:hAnsi="宋体" w:eastAsia="宋体" w:cs="宋体"/>
          <w:sz w:val="56"/>
          <w:szCs w:val="56"/>
        </w:rPr>
        <w:t>资产全生命周期数字治理平台资产处置操作说明</w:t>
      </w:r>
    </w:p>
    <w:p>
      <w:pPr>
        <w:spacing w:line="276" w:lineRule="auto"/>
        <w:ind w:firstLine="0" w:firstLineChars="0"/>
        <w:jc w:val="center"/>
        <w:rPr>
          <w:rFonts w:hint="eastAsia" w:ascii="宋体" w:hAnsi="宋体" w:eastAsia="宋体" w:cs="宋体"/>
          <w:sz w:val="56"/>
          <w:szCs w:val="56"/>
        </w:rPr>
      </w:pPr>
    </w:p>
    <w:p>
      <w:pPr>
        <w:spacing w:line="276" w:lineRule="auto"/>
        <w:ind w:firstLine="0" w:firstLineChars="0"/>
        <w:jc w:val="center"/>
        <w:rPr>
          <w:rFonts w:hint="eastAsia" w:ascii="宋体" w:hAnsi="宋体" w:eastAsia="宋体" w:cs="宋体"/>
          <w:sz w:val="56"/>
          <w:szCs w:val="56"/>
        </w:rPr>
      </w:pPr>
    </w:p>
    <w:p>
      <w:pPr>
        <w:spacing w:line="276" w:lineRule="auto"/>
        <w:ind w:firstLine="0" w:firstLineChars="0"/>
        <w:jc w:val="center"/>
        <w:rPr>
          <w:rFonts w:hint="eastAsia" w:ascii="宋体" w:hAnsi="宋体" w:eastAsia="宋体" w:cs="宋体"/>
          <w:sz w:val="56"/>
          <w:szCs w:val="56"/>
        </w:rPr>
      </w:pPr>
    </w:p>
    <w:p>
      <w:pPr>
        <w:spacing w:line="276" w:lineRule="auto"/>
        <w:ind w:firstLine="0" w:firstLineChars="0"/>
        <w:jc w:val="center"/>
        <w:rPr>
          <w:rFonts w:hint="eastAsia" w:ascii="宋体" w:hAnsi="宋体" w:eastAsia="宋体" w:cs="宋体"/>
          <w:sz w:val="144"/>
          <w:szCs w:val="144"/>
        </w:rPr>
      </w:pPr>
      <w:r>
        <w:rPr>
          <w:rFonts w:hint="eastAsia" w:ascii="宋体" w:hAnsi="宋体" w:eastAsia="宋体" w:cs="宋体"/>
          <w:sz w:val="56"/>
          <w:szCs w:val="56"/>
        </w:rPr>
        <w:t>202</w:t>
      </w:r>
      <w:r>
        <w:rPr>
          <w:rFonts w:hint="eastAsia" w:ascii="宋体" w:hAnsi="宋体" w:eastAsia="宋体" w:cs="宋体"/>
          <w:sz w:val="56"/>
          <w:szCs w:val="56"/>
          <w:lang w:val="en-US" w:eastAsia="zh-CN"/>
        </w:rPr>
        <w:t>5</w:t>
      </w:r>
      <w:r>
        <w:rPr>
          <w:rFonts w:hint="eastAsia" w:ascii="宋体" w:hAnsi="宋体" w:eastAsia="宋体" w:cs="宋体"/>
          <w:sz w:val="56"/>
          <w:szCs w:val="56"/>
        </w:rPr>
        <w:t>年</w:t>
      </w:r>
      <w:r>
        <w:rPr>
          <w:rFonts w:hint="eastAsia" w:ascii="宋体" w:hAnsi="宋体" w:cs="宋体"/>
          <w:sz w:val="56"/>
          <w:szCs w:val="56"/>
          <w:lang w:val="en-US" w:eastAsia="zh-CN"/>
        </w:rPr>
        <w:t>4</w:t>
      </w:r>
      <w:r>
        <w:rPr>
          <w:rFonts w:hint="eastAsia" w:ascii="宋体" w:hAnsi="宋体" w:eastAsia="宋体" w:cs="宋体"/>
          <w:sz w:val="56"/>
          <w:szCs w:val="56"/>
        </w:rPr>
        <w:t>月</w:t>
      </w:r>
      <w:r>
        <w:rPr>
          <w:rFonts w:hint="eastAsia" w:ascii="宋体" w:hAnsi="宋体" w:eastAsia="宋体" w:cs="宋体"/>
          <w:b/>
          <w:sz w:val="144"/>
          <w:szCs w:val="144"/>
        </w:rPr>
        <w:br w:type="page"/>
      </w:r>
    </w:p>
    <w:p>
      <w:pPr>
        <w:pStyle w:val="2"/>
        <w:tabs>
          <w:tab w:val="left" w:pos="1141"/>
        </w:tabs>
        <w:ind w:left="0" w:leftChars="0" w:right="240" w:firstLine="0" w:firstLineChars="0"/>
        <w:rPr>
          <w:rFonts w:hint="eastAsia"/>
        </w:rPr>
      </w:pPr>
      <w:bookmarkStart w:id="0" w:name="_Toc4494"/>
      <w:r>
        <w:rPr>
          <w:rFonts w:hint="eastAsia"/>
          <w:lang w:val="en-US" w:eastAsia="zh-CN"/>
        </w:rPr>
        <w:t>普通老师</w:t>
      </w:r>
      <w:bookmarkEnd w:id="0"/>
      <w:bookmarkStart w:id="1" w:name="OLE_LINK1"/>
      <w:r>
        <w:rPr>
          <w:rFonts w:hint="eastAsia"/>
          <w:lang w:val="en-US" w:eastAsia="zh-CN"/>
        </w:rPr>
        <w:t>操作流程</w:t>
      </w:r>
    </w:p>
    <w:bookmarkEnd w:id="1"/>
    <w:p>
      <w:pPr>
        <w:pStyle w:val="3"/>
        <w:widowControl/>
        <w:numPr>
          <w:ilvl w:val="1"/>
          <w:numId w:val="3"/>
        </w:numPr>
        <w:tabs>
          <w:tab w:val="left" w:pos="576"/>
          <w:tab w:val="left" w:pos="718"/>
          <w:tab w:val="left" w:pos="1141"/>
        </w:tabs>
        <w:spacing w:beforeLines="-2147483648" w:beforeAutospacing="0" w:afterLines="-2147483648" w:afterAutospacing="0" w:line="416" w:lineRule="auto"/>
        <w:ind w:left="567" w:leftChars="0" w:hanging="567" w:firstLineChars="0"/>
        <w:jc w:val="left"/>
        <w:rPr>
          <w:rFonts w:hint="eastAsia"/>
          <w:b/>
          <w:bCs/>
          <w:kern w:val="0"/>
          <w:szCs w:val="32"/>
        </w:rPr>
      </w:pPr>
      <w:r>
        <w:rPr>
          <w:rFonts w:hint="eastAsia"/>
          <w:b/>
          <w:bCs/>
          <w:kern w:val="0"/>
          <w:szCs w:val="32"/>
        </w:rPr>
        <w:t>领用人发起报废申请</w:t>
      </w:r>
    </w:p>
    <w:p>
      <w:pPr>
        <w:ind w:firstLine="42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</w:rPr>
        <w:t>第一步：</w:t>
      </w:r>
      <w:r>
        <w:rPr>
          <w:rFonts w:hint="eastAsia" w:ascii="宋体" w:hAnsi="宋体" w:eastAsia="宋体" w:cs="宋体"/>
        </w:rPr>
        <w:t>教师登录管理平台后，依次点击【资产处置】→【申请办理业务】→【报废】，开始办理</w:t>
      </w:r>
      <w:r>
        <w:rPr>
          <w:rFonts w:hint="eastAsia" w:ascii="宋体" w:hAnsi="宋体" w:cs="宋体"/>
          <w:lang w:val="en-US" w:eastAsia="zh-CN"/>
        </w:rPr>
        <w:t>资产</w:t>
      </w:r>
      <w:r>
        <w:rPr>
          <w:rFonts w:hint="eastAsia" w:ascii="宋体" w:hAnsi="宋体" w:eastAsia="宋体" w:cs="宋体"/>
        </w:rPr>
        <w:t>报废业务，如图所示：</w:t>
      </w:r>
    </w:p>
    <w:p>
      <w:pPr>
        <w:ind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675" cy="2068830"/>
            <wp:effectExtent l="0" t="0" r="3175" b="7620"/>
            <wp:docPr id="1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566"/>
        </w:tabs>
        <w:ind w:firstLine="482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第二步：</w:t>
      </w:r>
      <w:r>
        <w:rPr>
          <w:rFonts w:hint="eastAsia" w:ascii="宋体" w:hAnsi="宋体" w:eastAsia="宋体" w:cs="宋体"/>
          <w:szCs w:val="21"/>
        </w:rPr>
        <w:t>通过一定查询条件，如领用单位、编号等信息进行筛选，查找到需要办理报废的设备，点击该资产右侧的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218440" cy="149860"/>
            <wp:effectExtent l="0" t="0" r="10160" b="254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1"/>
        </w:rPr>
        <w:t>号进行选择</w:t>
      </w:r>
      <w:r>
        <w:rPr>
          <w:rFonts w:hint="eastAsia" w:ascii="宋体" w:hAnsi="宋体" w:cs="宋体"/>
          <w:szCs w:val="21"/>
          <w:lang w:eastAsia="zh-CN"/>
        </w:rPr>
        <w:t>。</w:t>
      </w:r>
      <w:r>
        <w:rPr>
          <w:rFonts w:hint="eastAsia" w:ascii="宋体" w:hAnsi="宋体" w:cs="宋体"/>
          <w:szCs w:val="21"/>
          <w:lang w:val="en-US" w:eastAsia="zh-CN"/>
        </w:rPr>
        <w:t>也可以在整理好的Excel文件中，ctrl+c复制多个报废的资产编号，ctrl+v黏贴到编号栏中，实现快速查找。</w:t>
      </w:r>
      <w:bookmarkStart w:id="2" w:name="_GoBack"/>
      <w:bookmarkEnd w:id="2"/>
      <w:r>
        <w:rPr>
          <w:rFonts w:hint="eastAsia" w:ascii="宋体" w:hAnsi="宋体" w:eastAsia="宋体" w:cs="宋体"/>
          <w:szCs w:val="21"/>
        </w:rPr>
        <w:t>已经选择的设备信息在页面右侧会实时显示出来，选择完成后，点击【下一步】，如图所示：</w:t>
      </w:r>
    </w:p>
    <w:p>
      <w:pPr>
        <w:ind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310" cy="1631950"/>
            <wp:effectExtent l="0" t="0" r="2540" b="6350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第三步：</w:t>
      </w:r>
      <w:r>
        <w:rPr>
          <w:rFonts w:hint="eastAsia" w:ascii="宋体" w:hAnsi="宋体" w:eastAsia="宋体" w:cs="宋体"/>
          <w:szCs w:val="21"/>
        </w:rPr>
        <w:t>填写报废原因</w:t>
      </w:r>
      <w:r>
        <w:rPr>
          <w:rFonts w:hint="eastAsia" w:ascii="宋体" w:hAnsi="宋体" w:eastAsia="宋体" w:cs="宋体"/>
          <w:szCs w:val="21"/>
          <w:lang w:eastAsia="zh-CN"/>
        </w:rPr>
        <w:t>（</w:t>
      </w:r>
      <w:r>
        <w:rPr>
          <w:rFonts w:hint="eastAsia" w:ascii="宋体" w:hAnsi="宋体" w:eastAsia="宋体" w:cs="宋体"/>
          <w:szCs w:val="21"/>
          <w:lang w:val="en-US" w:eastAsia="zh-CN"/>
        </w:rPr>
        <w:t>可手动输入或在下拉框选择</w:t>
      </w:r>
      <w:r>
        <w:rPr>
          <w:rFonts w:hint="eastAsia" w:ascii="宋体" w:hAnsi="宋体" w:eastAsia="宋体" w:cs="宋体"/>
          <w:szCs w:val="21"/>
          <w:lang w:eastAsia="zh-CN"/>
        </w:rPr>
        <w:t>）</w:t>
      </w:r>
      <w:r>
        <w:rPr>
          <w:rFonts w:hint="eastAsia" w:ascii="宋体" w:hAnsi="宋体" w:eastAsia="宋体" w:cs="宋体"/>
          <w:szCs w:val="21"/>
        </w:rPr>
        <w:t>，点击【下一步】进入业务提交页，如图所示：</w:t>
      </w:r>
    </w:p>
    <w:p>
      <w:pPr>
        <w:ind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110105"/>
            <wp:effectExtent l="0" t="0" r="7620" b="4445"/>
            <wp:docPr id="9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第四步：</w:t>
      </w:r>
      <w:r>
        <w:rPr>
          <w:rFonts w:hint="eastAsia" w:ascii="宋体" w:hAnsi="宋体" w:eastAsia="宋体" w:cs="宋体"/>
          <w:szCs w:val="21"/>
        </w:rPr>
        <w:t>在业务提交页面，填写报废信息、上传报废实物照片，其中带“</w:t>
      </w:r>
      <w:r>
        <w:rPr>
          <w:rFonts w:hint="eastAsia" w:ascii="宋体" w:hAnsi="宋体" w:eastAsia="宋体" w:cs="宋体"/>
          <w:color w:val="FF0000"/>
          <w:szCs w:val="21"/>
        </w:rPr>
        <w:t>*</w:t>
      </w:r>
      <w:r>
        <w:rPr>
          <w:rFonts w:hint="eastAsia" w:ascii="宋体" w:hAnsi="宋体" w:eastAsia="宋体" w:cs="宋体"/>
          <w:szCs w:val="21"/>
        </w:rPr>
        <w:t>”为必填项，确认资产列表中的设备信息，点击【提交申请】，如图所示：</w:t>
      </w:r>
    </w:p>
    <w:p>
      <w:pPr>
        <w:ind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1867535"/>
            <wp:effectExtent l="0" t="0" r="9525" b="18415"/>
            <wp:docPr id="10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rcRect t="2656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1"/>
          <w:numId w:val="3"/>
        </w:numPr>
        <w:tabs>
          <w:tab w:val="left" w:pos="576"/>
          <w:tab w:val="left" w:pos="718"/>
          <w:tab w:val="left" w:pos="1141"/>
        </w:tabs>
        <w:spacing w:beforeLines="-2147483648" w:beforeAutospacing="0" w:afterLines="-2147483648" w:afterAutospacing="0" w:line="416" w:lineRule="auto"/>
        <w:ind w:left="567" w:leftChars="0" w:hanging="567" w:firstLineChars="0"/>
        <w:jc w:val="left"/>
        <w:rPr>
          <w:rFonts w:hint="eastAsia"/>
          <w:b/>
          <w:bCs/>
          <w:kern w:val="0"/>
          <w:szCs w:val="32"/>
        </w:rPr>
      </w:pPr>
      <w:r>
        <w:rPr>
          <w:rFonts w:hint="eastAsia"/>
          <w:b/>
          <w:bCs/>
          <w:kern w:val="0"/>
          <w:szCs w:val="32"/>
        </w:rPr>
        <w:t>如何查看报废记录</w:t>
      </w:r>
    </w:p>
    <w:p>
      <w:pPr>
        <w:ind w:firstLine="420" w:firstLineChars="0"/>
        <w:jc w:val="left"/>
        <w:rPr>
          <w:rFonts w:hint="eastAsia"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教师登录系统，点击【资产处置】找到自己办理的</w:t>
      </w:r>
      <w:r>
        <w:rPr>
          <w:rFonts w:hint="eastAsia" w:ascii="宋体" w:hAnsi="宋体" w:eastAsia="宋体" w:cs="宋体"/>
          <w:szCs w:val="24"/>
          <w:lang w:val="en-US" w:eastAsia="zh-CN"/>
        </w:rPr>
        <w:t>报废</w:t>
      </w:r>
      <w:r>
        <w:rPr>
          <w:rFonts w:hint="eastAsia" w:ascii="宋体" w:hAnsi="宋体" w:eastAsia="宋体" w:cs="宋体"/>
          <w:szCs w:val="24"/>
        </w:rPr>
        <w:t>业务，可查看办理业务流程，如图所示；</w:t>
      </w:r>
    </w:p>
    <w:p>
      <w:pPr>
        <w:ind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1263015"/>
            <wp:effectExtent l="0" t="0" r="7620" b="13335"/>
            <wp:docPr id="1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1"/>
          <w:numId w:val="3"/>
        </w:numPr>
        <w:tabs>
          <w:tab w:val="left" w:pos="576"/>
          <w:tab w:val="left" w:pos="718"/>
          <w:tab w:val="left" w:pos="1141"/>
        </w:tabs>
        <w:spacing w:beforeLines="-2147483648" w:beforeAutospacing="0" w:afterLines="-2147483648" w:afterAutospacing="0" w:line="416" w:lineRule="auto"/>
        <w:ind w:left="567" w:leftChars="0" w:hanging="567" w:firstLineChars="0"/>
        <w:jc w:val="left"/>
        <w:rPr>
          <w:rFonts w:hint="eastAsia"/>
          <w:b/>
          <w:bCs/>
          <w:kern w:val="0"/>
          <w:szCs w:val="32"/>
        </w:rPr>
      </w:pPr>
      <w:r>
        <w:rPr>
          <w:rFonts w:hint="eastAsia"/>
          <w:b/>
          <w:bCs/>
          <w:kern w:val="0"/>
          <w:szCs w:val="32"/>
        </w:rPr>
        <w:t>撤回报废申请</w:t>
      </w:r>
    </w:p>
    <w:p>
      <w:pPr>
        <w:widowControl/>
        <w:ind w:firstLine="42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21"/>
        </w:rPr>
        <w:t>教师登录系统台</w:t>
      </w:r>
      <w:r>
        <w:rPr>
          <w:rFonts w:hint="eastAsia" w:ascii="宋体" w:hAnsi="宋体" w:eastAsia="宋体" w:cs="宋体"/>
          <w:color w:val="000000"/>
          <w:kern w:val="0"/>
          <w:szCs w:val="24"/>
          <w:lang w:bidi="ar"/>
        </w:rPr>
        <w:t>，点击【处置业务】，找到要撤回的业务点击【撤回】，如图所示；</w:t>
      </w:r>
      <w:r>
        <w:rPr>
          <w:rFonts w:hint="eastAsia" w:ascii="宋体" w:hAnsi="宋体" w:eastAsia="宋体" w:cs="宋体"/>
        </w:rPr>
        <w:t xml:space="preserve"> </w:t>
      </w:r>
    </w:p>
    <w:p>
      <w:pPr>
        <w:ind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1005840"/>
            <wp:effectExtent l="0" t="0" r="2540" b="381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2"/>
                    <a:srcRect t="146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1141"/>
        </w:tabs>
        <w:ind w:left="0" w:leftChars="0" w:right="24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单位资产管理员操作流程</w:t>
      </w:r>
    </w:p>
    <w:p>
      <w:pPr>
        <w:pStyle w:val="3"/>
        <w:widowControl/>
        <w:numPr>
          <w:ilvl w:val="1"/>
          <w:numId w:val="4"/>
        </w:numPr>
        <w:tabs>
          <w:tab w:val="left" w:pos="576"/>
          <w:tab w:val="left" w:pos="718"/>
          <w:tab w:val="left" w:pos="1141"/>
        </w:tabs>
        <w:spacing w:beforeLines="-2147483648" w:beforeAutospacing="0" w:afterLines="-2147483648" w:afterAutospacing="0" w:line="416" w:lineRule="auto"/>
        <w:ind w:left="567" w:leftChars="0" w:hanging="567" w:firstLineChars="0"/>
        <w:jc w:val="left"/>
        <w:rPr>
          <w:rFonts w:hint="eastAsia"/>
          <w:b/>
          <w:bCs/>
          <w:kern w:val="0"/>
          <w:szCs w:val="32"/>
        </w:rPr>
      </w:pPr>
      <w:r>
        <w:rPr>
          <w:rFonts w:hint="eastAsia"/>
          <w:b/>
          <w:bCs/>
          <w:kern w:val="0"/>
          <w:szCs w:val="32"/>
        </w:rPr>
        <w:t>单位管理员发起报废申请</w:t>
      </w:r>
    </w:p>
    <w:p>
      <w:pPr>
        <w:ind w:firstLine="482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b/>
        </w:rPr>
        <w:t>第一步：</w:t>
      </w:r>
      <w:r>
        <w:rPr>
          <w:rFonts w:hint="eastAsia" w:ascii="Times New Roman" w:hAnsi="Times New Roman" w:eastAsia="宋体" w:cs="Times New Roman"/>
        </w:rPr>
        <w:t>单位管理员</w:t>
      </w:r>
      <w:r>
        <w:rPr>
          <w:rFonts w:ascii="Times New Roman" w:hAnsi="Times New Roman" w:eastAsia="宋体" w:cs="Times New Roman"/>
        </w:rPr>
        <w:t>登录管理平台后，依次点击</w:t>
      </w:r>
      <w:r>
        <w:rPr>
          <w:rFonts w:hint="eastAsia" w:ascii="Times New Roman" w:hAnsi="Times New Roman" w:eastAsia="宋体" w:cs="Times New Roman"/>
        </w:rPr>
        <w:t>【单位】-</w:t>
      </w:r>
      <w:r>
        <w:rPr>
          <w:rFonts w:ascii="Times New Roman" w:hAnsi="Times New Roman" w:eastAsia="宋体" w:cs="Times New Roman"/>
        </w:rPr>
        <w:t>【资产业务办理】</w:t>
      </w:r>
      <w:r>
        <w:rPr>
          <w:rFonts w:hint="eastAsia" w:ascii="Times New Roman" w:hAnsi="Times New Roman" w:eastAsia="宋体" w:cs="Times New Roman"/>
        </w:rPr>
        <w:t>-</w:t>
      </w:r>
      <w:r>
        <w:rPr>
          <w:rFonts w:ascii="Times New Roman" w:hAnsi="Times New Roman" w:eastAsia="宋体" w:cs="Times New Roman"/>
        </w:rPr>
        <w:t>【资产处置】</w:t>
      </w:r>
      <w:r>
        <w:rPr>
          <w:rFonts w:hint="eastAsia" w:ascii="Times New Roman" w:hAnsi="Times New Roman" w:eastAsia="宋体" w:cs="Times New Roman"/>
        </w:rPr>
        <w:t>-</w:t>
      </w:r>
      <w:r>
        <w:rPr>
          <w:rFonts w:ascii="Times New Roman" w:hAnsi="Times New Roman" w:eastAsia="宋体" w:cs="Times New Roman"/>
        </w:rPr>
        <w:t>【申请办理业务】</w:t>
      </w:r>
      <w:r>
        <w:rPr>
          <w:rFonts w:hint="eastAsia" w:ascii="Times New Roman" w:hAnsi="Times New Roman" w:eastAsia="宋体" w:cs="Times New Roman"/>
        </w:rPr>
        <w:t>-</w:t>
      </w:r>
      <w:r>
        <w:rPr>
          <w:rFonts w:ascii="Times New Roman" w:hAnsi="Times New Roman" w:eastAsia="宋体" w:cs="Times New Roman"/>
        </w:rPr>
        <w:t>【报废】，办理报废业务，</w:t>
      </w:r>
      <w:r>
        <w:rPr>
          <w:rFonts w:hint="eastAsia"/>
        </w:rPr>
        <w:t>如图所示：</w:t>
      </w:r>
    </w:p>
    <w:p>
      <w:pPr>
        <w:rPr>
          <w:rFonts w:ascii="Times New Roman" w:hAnsi="Times New Roman" w:eastAsia="宋体" w:cs="Times New Roman"/>
          <w:b/>
        </w:rPr>
      </w:pPr>
      <w:r>
        <w:drawing>
          <wp:inline distT="0" distB="0" distL="114300" distR="114300">
            <wp:extent cx="5757545" cy="1782445"/>
            <wp:effectExtent l="0" t="0" r="14605" b="8255"/>
            <wp:docPr id="11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566"/>
        </w:tabs>
        <w:ind w:firstLine="482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第二步：</w:t>
      </w:r>
      <w:r>
        <w:rPr>
          <w:rFonts w:ascii="Times New Roman" w:hAnsi="Times New Roman" w:eastAsia="宋体" w:cs="Times New Roman"/>
          <w:szCs w:val="21"/>
        </w:rPr>
        <w:t>通过一定查询条件，如领用单位、编号等信息进行筛选，查找到需要办理报废的设备，点击该资产右侧的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218440" cy="149860"/>
            <wp:effectExtent l="0" t="0" r="1016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1"/>
        </w:rPr>
        <w:t>号进行选择，已经选择的设备信息在页面右侧会实时显示出来，选择完成后，点击【下一步】，</w:t>
      </w:r>
      <w:r>
        <w:rPr>
          <w:rFonts w:hint="eastAsia"/>
        </w:rPr>
        <w:t>如图所示：</w:t>
      </w:r>
    </w:p>
    <w:p>
      <w:pPr>
        <w:jc w:val="center"/>
        <w:rPr>
          <w:rFonts w:ascii="Times New Roman" w:hAnsi="Times New Roman" w:eastAsia="宋体" w:cs="Times New Roman"/>
          <w:b/>
        </w:rPr>
      </w:pPr>
      <w:r>
        <w:drawing>
          <wp:inline distT="0" distB="0" distL="114300" distR="114300">
            <wp:extent cx="5172710" cy="1678940"/>
            <wp:effectExtent l="0" t="0" r="8890" b="16510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l="9929" t="14792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第三步：</w:t>
      </w:r>
      <w:r>
        <w:rPr>
          <w:rFonts w:ascii="Times New Roman" w:hAnsi="Times New Roman" w:eastAsia="宋体" w:cs="Times New Roman"/>
          <w:szCs w:val="21"/>
        </w:rPr>
        <w:t>填写报废原因，也可在下拉菜单选择，点击【下一步】进入业务提交页面，</w:t>
      </w:r>
      <w:r>
        <w:rPr>
          <w:rFonts w:hint="eastAsia"/>
        </w:rPr>
        <w:t>如图所示：</w:t>
      </w:r>
    </w:p>
    <w:p>
      <w:pPr>
        <w:rPr>
          <w:rFonts w:ascii="Times New Roman" w:hAnsi="Times New Roman" w:eastAsia="宋体" w:cs="Times New Roman"/>
          <w:b/>
        </w:rPr>
      </w:pPr>
      <w:r>
        <w:drawing>
          <wp:inline distT="0" distB="0" distL="114300" distR="114300">
            <wp:extent cx="5758180" cy="2766060"/>
            <wp:effectExtent l="0" t="0" r="13970" b="15240"/>
            <wp:docPr id="11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第四步：</w:t>
      </w:r>
      <w:r>
        <w:rPr>
          <w:rFonts w:ascii="Times New Roman" w:hAnsi="Times New Roman" w:eastAsia="宋体" w:cs="Times New Roman"/>
          <w:szCs w:val="21"/>
        </w:rPr>
        <w:t>在业务提交页面，填写报废信息、上传报废实物照片，其中带“</w:t>
      </w:r>
      <w:r>
        <w:rPr>
          <w:rFonts w:ascii="Times New Roman" w:hAnsi="Times New Roman" w:eastAsia="宋体" w:cs="Times New Roman"/>
          <w:color w:val="FF0000"/>
          <w:szCs w:val="21"/>
        </w:rPr>
        <w:t>*</w:t>
      </w:r>
      <w:r>
        <w:rPr>
          <w:rFonts w:ascii="Times New Roman" w:hAnsi="Times New Roman" w:eastAsia="宋体" w:cs="Times New Roman"/>
          <w:szCs w:val="21"/>
        </w:rPr>
        <w:t>”为必填项，确认资产列表中的设备信息，点击【提交申请】，</w:t>
      </w:r>
      <w:r>
        <w:rPr>
          <w:rFonts w:hint="eastAsia"/>
        </w:rPr>
        <w:t>如图所示：</w:t>
      </w:r>
    </w:p>
    <w:p>
      <w:pPr>
        <w:jc w:val="center"/>
      </w:pPr>
      <w:r>
        <w:drawing>
          <wp:inline distT="0" distB="0" distL="114300" distR="114300">
            <wp:extent cx="5755005" cy="2723515"/>
            <wp:effectExtent l="0" t="0" r="17145" b="635"/>
            <wp:docPr id="11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19040" cy="1412240"/>
            <wp:effectExtent l="0" t="0" r="10160" b="16510"/>
            <wp:docPr id="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875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141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1"/>
          <w:numId w:val="4"/>
        </w:numPr>
        <w:tabs>
          <w:tab w:val="left" w:pos="576"/>
          <w:tab w:val="left" w:pos="718"/>
          <w:tab w:val="left" w:pos="1141"/>
        </w:tabs>
        <w:spacing w:beforeLines="-2147483648" w:beforeAutospacing="0" w:afterLines="-2147483648" w:afterAutospacing="0" w:line="416" w:lineRule="auto"/>
        <w:ind w:left="567" w:leftChars="0" w:hanging="567" w:firstLineChars="0"/>
        <w:jc w:val="left"/>
        <w:rPr>
          <w:rFonts w:hint="eastAsia"/>
          <w:b/>
          <w:bCs/>
          <w:kern w:val="0"/>
          <w:szCs w:val="32"/>
        </w:rPr>
      </w:pPr>
      <w:r>
        <w:rPr>
          <w:rFonts w:hint="eastAsia"/>
          <w:b/>
          <w:bCs/>
          <w:kern w:val="0"/>
          <w:szCs w:val="32"/>
        </w:rPr>
        <w:t>单位资产管理员审核</w:t>
      </w:r>
    </w:p>
    <w:p>
      <w:pPr>
        <w:ind w:firstLine="420"/>
      </w:pPr>
      <w:r>
        <w:rPr>
          <w:rFonts w:hint="eastAsia"/>
          <w:lang w:val="en-US" w:eastAsia="zh-CN"/>
        </w:rPr>
        <w:t>普通</w:t>
      </w:r>
      <w:r>
        <w:rPr>
          <w:rFonts w:hint="eastAsia"/>
        </w:rPr>
        <w:t>教师提交报废业务后，任务会推送到单位管理员待办任务里，需点击【处理】进入审核界面，信息确认无误后可点击【批准】，如图所示；</w:t>
      </w:r>
    </w:p>
    <w:p>
      <w:pPr>
        <w:ind w:left="0" w:leftChars="0" w:firstLine="0" w:firstLineChars="0"/>
        <w:jc w:val="center"/>
      </w:pPr>
      <w:r>
        <w:drawing>
          <wp:inline distT="0" distB="0" distL="0" distR="0">
            <wp:extent cx="5709920" cy="2522220"/>
            <wp:effectExtent l="0" t="0" r="5080" b="11430"/>
            <wp:docPr id="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472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1510" cy="2722245"/>
            <wp:effectExtent l="0" t="0" r="2540" b="1905"/>
            <wp:docPr id="11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 w:eastAsia="宋体" w:cs="宋体"/>
        </w:rPr>
      </w:pPr>
    </w:p>
    <w:p>
      <w:pPr>
        <w:ind w:firstLine="0" w:firstLineChars="0"/>
        <w:rPr>
          <w:rFonts w:hint="eastAsia" w:ascii="宋体" w:hAnsi="宋体" w:eastAsia="宋体" w:cs="宋体"/>
        </w:rPr>
      </w:pPr>
    </w:p>
    <w:p>
      <w:pPr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499C0F"/>
    <w:multiLevelType w:val="multilevel"/>
    <w:tmpl w:val="84499C0F"/>
    <w:lvl w:ilvl="0" w:tentative="0">
      <w:start w:val="2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B87067BE"/>
    <w:multiLevelType w:val="multilevel"/>
    <w:tmpl w:val="B87067BE"/>
    <w:lvl w:ilvl="0" w:tentative="0">
      <w:start w:val="1"/>
      <w:numFmt w:val="decimal"/>
      <w:pStyle w:val="2"/>
      <w:suff w:val="space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3F6B7E7E"/>
    <w:multiLevelType w:val="multilevel"/>
    <w:tmpl w:val="3F6B7E7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6CF94CEA"/>
    <w:multiLevelType w:val="multilevel"/>
    <w:tmpl w:val="6CF94CEA"/>
    <w:lvl w:ilvl="0" w:tentative="0">
      <w:start w:val="1"/>
      <w:numFmt w:val="decimal"/>
      <w:suff w:val="space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suff w:val="space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suff w:val="space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1MDIxYjcyYTQ4OWQxM2FiMTA2ZmUzNTUxYzJlYzkifQ=="/>
    <w:docVar w:name="KSO_WPS_MARK_KEY" w:val="145749ee-c4d7-4382-bf40-34115e355eee"/>
  </w:docVars>
  <w:rsids>
    <w:rsidRoot w:val="00000000"/>
    <w:rsid w:val="047621E7"/>
    <w:rsid w:val="3256533B"/>
    <w:rsid w:val="536B446E"/>
    <w:rsid w:val="592A632E"/>
    <w:rsid w:val="7850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widowControl/>
      <w:numPr>
        <w:ilvl w:val="0"/>
        <w:numId w:val="1"/>
      </w:numPr>
      <w:spacing w:before="340" w:after="330" w:line="578" w:lineRule="auto"/>
      <w:ind w:right="100" w:rightChars="100"/>
      <w:jc w:val="left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widowControl/>
      <w:numPr>
        <w:ilvl w:val="2"/>
        <w:numId w:val="2"/>
      </w:numPr>
      <w:tabs>
        <w:tab w:val="left" w:pos="720"/>
      </w:tabs>
      <w:spacing w:before="260" w:after="260" w:line="416" w:lineRule="auto"/>
      <w:ind w:firstLine="0" w:firstLineChars="0"/>
      <w:jc w:val="left"/>
      <w:outlineLvl w:val="2"/>
    </w:pPr>
    <w:rPr>
      <w:rFonts w:ascii="Calibri" w:hAnsi="Calibri"/>
      <w:b/>
      <w:bCs/>
      <w:kern w:val="0"/>
      <w:sz w:val="28"/>
      <w:szCs w:val="32"/>
    </w:rPr>
  </w:style>
  <w:style w:type="paragraph" w:styleId="5">
    <w:name w:val="heading 4"/>
    <w:basedOn w:val="1"/>
    <w:next w:val="1"/>
    <w:qFormat/>
    <w:uiPriority w:val="9"/>
    <w:pPr>
      <w:keepNext/>
      <w:keepLines/>
      <w:widowControl/>
      <w:numPr>
        <w:ilvl w:val="3"/>
        <w:numId w:val="2"/>
      </w:numPr>
      <w:tabs>
        <w:tab w:val="left" w:pos="3699"/>
      </w:tabs>
      <w:spacing w:before="280" w:after="290" w:line="376" w:lineRule="auto"/>
      <w:ind w:right="210" w:rightChars="100" w:firstLine="0" w:firstLineChars="0"/>
      <w:jc w:val="left"/>
      <w:outlineLvl w:val="3"/>
    </w:pPr>
    <w:rPr>
      <w:rFonts w:ascii="Arial" w:hAnsi="Arial"/>
      <w:b/>
      <w:bCs/>
      <w:kern w:val="0"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763</Words>
  <Characters>768</Characters>
  <Lines>0</Lines>
  <Paragraphs>0</Paragraphs>
  <TotalTime>20</TotalTime>
  <ScaleCrop>false</ScaleCrop>
  <LinksUpToDate>false</LinksUpToDate>
  <CharactersWithSpaces>769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2025-04-15T08:41:00Z</dcterms:created>
  <dc:creator>lds6666</dc:creator>
  <cp:lastModifiedBy>lds6666</cp:lastModifiedBy>
  <dcterms:modified xsi:type="dcterms:W3CDTF">2025-04-16T07:58:26Z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8351BF7204EB481895740E61622C2E15</vt:lpwstr>
  </property>
</Properties>
</file>