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FDF40">
      <w:pPr>
        <w:spacing w:line="840" w:lineRule="exact"/>
        <w:ind w:left="216" w:leftChars="103" w:right="-55" w:rightChars="-26"/>
        <w:jc w:val="center"/>
        <w:rPr>
          <w:rFonts w:hint="eastAsia" w:ascii="宋体" w:hAnsi="宋体" w:cs="宋体"/>
          <w:b/>
          <w:bCs/>
          <w:color w:val="auto"/>
          <w:sz w:val="48"/>
          <w:szCs w:val="48"/>
          <w:highlight w:val="none"/>
        </w:rPr>
      </w:pPr>
    </w:p>
    <w:p w14:paraId="425F7587">
      <w:pPr>
        <w:spacing w:before="156" w:beforeLines="50" w:after="156" w:afterLines="50" w:line="400" w:lineRule="atLeast"/>
        <w:jc w:val="center"/>
        <w:outlineLvl w:val="9"/>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滁州学院2026年会峰校区供水管网物探、测绘及基础信息建设服务项目</w:t>
      </w:r>
    </w:p>
    <w:p w14:paraId="4F4C5F0B">
      <w:pPr>
        <w:spacing w:before="156" w:beforeLines="50" w:after="156" w:afterLines="50" w:line="400" w:lineRule="atLeast"/>
        <w:jc w:val="center"/>
        <w:outlineLvl w:val="9"/>
        <w:rPr>
          <w:rFonts w:hint="eastAsia" w:ascii="宋体" w:hAnsi="宋体" w:eastAsia="宋体" w:cs="宋体"/>
          <w:color w:val="auto"/>
          <w:sz w:val="28"/>
          <w:szCs w:val="28"/>
          <w:highlight w:val="none"/>
          <w:lang w:val="en-US" w:eastAsia="zh-CN"/>
        </w:rPr>
      </w:pPr>
      <w:bookmarkStart w:id="0" w:name="_Toc12642"/>
      <w:bookmarkStart w:id="1" w:name="_Toc15408"/>
      <w:bookmarkStart w:id="2" w:name="_Toc1430"/>
      <w:r>
        <w:rPr>
          <w:rFonts w:hint="eastAsia" w:ascii="宋体" w:hAnsi="宋体" w:cs="宋体"/>
          <w:b/>
          <w:bCs/>
          <w:color w:val="auto"/>
          <w:sz w:val="28"/>
          <w:szCs w:val="28"/>
          <w:highlight w:val="none"/>
        </w:rPr>
        <w:t>项目编号：</w:t>
      </w:r>
      <w:bookmarkEnd w:id="0"/>
      <w:bookmarkEnd w:id="1"/>
      <w:bookmarkEnd w:id="2"/>
      <w:r>
        <w:rPr>
          <w:rFonts w:hint="eastAsia" w:ascii="宋体" w:hAnsi="宋体" w:cs="宋体"/>
          <w:b/>
          <w:bCs/>
          <w:color w:val="auto"/>
          <w:sz w:val="28"/>
          <w:szCs w:val="28"/>
          <w:highlight w:val="none"/>
          <w:lang w:eastAsia="zh-CN"/>
        </w:rPr>
        <w:t>2026CG-007</w:t>
      </w:r>
    </w:p>
    <w:p w14:paraId="520C2EC5">
      <w:pPr>
        <w:pStyle w:val="105"/>
        <w:rPr>
          <w:rFonts w:hint="eastAsia" w:ascii="宋体" w:hAnsi="宋体" w:cs="宋体"/>
          <w:color w:val="auto"/>
          <w:highlight w:val="none"/>
        </w:rPr>
      </w:pPr>
    </w:p>
    <w:p w14:paraId="3AB8D195">
      <w:pPr>
        <w:tabs>
          <w:tab w:val="left" w:pos="420"/>
        </w:tabs>
        <w:spacing w:before="468" w:beforeLines="150" w:line="1700" w:lineRule="exact"/>
        <w:jc w:val="center"/>
        <w:outlineLvl w:val="9"/>
        <w:rPr>
          <w:rFonts w:hint="eastAsia" w:ascii="宋体" w:hAnsi="宋体" w:cs="宋体"/>
          <w:b/>
          <w:bCs/>
          <w:color w:val="auto"/>
          <w:sz w:val="48"/>
          <w:szCs w:val="48"/>
          <w:highlight w:val="none"/>
          <w14:shadow w14:blurRad="50800" w14:dist="38100" w14:dir="2700000" w14:sx="100000" w14:sy="100000" w14:kx="0" w14:ky="0" w14:algn="tl">
            <w14:srgbClr w14:val="000000">
              <w14:alpha w14:val="60000"/>
            </w14:srgbClr>
          </w14:shadow>
        </w:rPr>
      </w:pPr>
      <w:bookmarkStart w:id="3" w:name="_Toc9719"/>
      <w:bookmarkStart w:id="4" w:name="_Toc8538"/>
      <w:bookmarkStart w:id="5" w:name="_Toc21782"/>
      <w:r>
        <w:rPr>
          <w:rFonts w:hint="eastAsia" w:ascii="宋体" w:hAnsi="宋体" w:cs="宋体"/>
          <w:b/>
          <w:bCs/>
          <w:color w:val="auto"/>
          <w:sz w:val="48"/>
          <w:szCs w:val="48"/>
          <w:highlight w:val="none"/>
          <w14:shadow w14:blurRad="50800" w14:dist="38100" w14:dir="2700000" w14:sx="100000" w14:sy="100000" w14:kx="0" w14:ky="0" w14:algn="tl">
            <w14:srgbClr w14:val="000000">
              <w14:alpha w14:val="60000"/>
            </w14:srgbClr>
          </w14:shadow>
        </w:rPr>
        <w:t>竞争性磋商采购文件</w:t>
      </w:r>
      <w:bookmarkEnd w:id="3"/>
      <w:bookmarkEnd w:id="4"/>
      <w:bookmarkEnd w:id="5"/>
    </w:p>
    <w:p w14:paraId="1D25BF87">
      <w:pPr>
        <w:tabs>
          <w:tab w:val="left" w:pos="315"/>
          <w:tab w:val="left" w:pos="8820"/>
        </w:tabs>
        <w:spacing w:line="500" w:lineRule="exact"/>
        <w:ind w:right="267" w:rightChars="127"/>
        <w:jc w:val="center"/>
        <w:rPr>
          <w:rFonts w:hint="eastAsia" w:ascii="宋体" w:hAnsi="宋体" w:cs="宋体"/>
          <w:color w:val="auto"/>
          <w:sz w:val="44"/>
          <w:highlight w:val="none"/>
        </w:rPr>
      </w:pPr>
    </w:p>
    <w:p w14:paraId="4A6D0C34">
      <w:pPr>
        <w:tabs>
          <w:tab w:val="left" w:pos="315"/>
          <w:tab w:val="left" w:pos="8820"/>
        </w:tabs>
        <w:spacing w:line="1700" w:lineRule="exact"/>
        <w:ind w:right="267" w:rightChars="127"/>
        <w:rPr>
          <w:rFonts w:hint="eastAsia" w:ascii="宋体" w:hAnsi="宋体" w:cs="宋体"/>
          <w:color w:val="auto"/>
          <w:sz w:val="44"/>
          <w:highlight w:val="none"/>
        </w:rPr>
      </w:pPr>
    </w:p>
    <w:p w14:paraId="167B50F8">
      <w:pPr>
        <w:tabs>
          <w:tab w:val="left" w:pos="315"/>
          <w:tab w:val="left" w:pos="8820"/>
        </w:tabs>
        <w:spacing w:line="500" w:lineRule="exact"/>
        <w:ind w:right="267" w:rightChars="127"/>
        <w:jc w:val="center"/>
        <w:rPr>
          <w:rFonts w:hint="eastAsia" w:ascii="宋体" w:hAnsi="宋体" w:cs="宋体"/>
          <w:color w:val="auto"/>
          <w:sz w:val="44"/>
          <w:highlight w:val="none"/>
        </w:rPr>
      </w:pPr>
    </w:p>
    <w:p w14:paraId="3C1CA7BF">
      <w:pPr>
        <w:tabs>
          <w:tab w:val="left" w:pos="315"/>
          <w:tab w:val="left" w:pos="8820"/>
        </w:tabs>
        <w:spacing w:line="500" w:lineRule="exact"/>
        <w:ind w:right="267" w:rightChars="127"/>
        <w:jc w:val="center"/>
        <w:rPr>
          <w:rFonts w:hint="eastAsia" w:ascii="宋体" w:hAnsi="宋体" w:cs="宋体"/>
          <w:color w:val="auto"/>
          <w:sz w:val="44"/>
          <w:highlight w:val="none"/>
        </w:rPr>
      </w:pPr>
    </w:p>
    <w:p w14:paraId="3680A435">
      <w:pPr>
        <w:tabs>
          <w:tab w:val="left" w:pos="315"/>
          <w:tab w:val="left" w:pos="8820"/>
        </w:tabs>
        <w:spacing w:line="500" w:lineRule="exact"/>
        <w:ind w:right="267" w:rightChars="127"/>
        <w:rPr>
          <w:rFonts w:hint="eastAsia" w:ascii="宋体" w:hAnsi="宋体" w:cs="宋体"/>
          <w:color w:val="auto"/>
          <w:sz w:val="44"/>
          <w:highlight w:val="none"/>
        </w:rPr>
      </w:pPr>
    </w:p>
    <w:p w14:paraId="763C5EBA">
      <w:pPr>
        <w:pStyle w:val="25"/>
        <w:rPr>
          <w:rFonts w:hint="eastAsia" w:ascii="宋体" w:hAnsi="宋体" w:cs="宋体"/>
          <w:color w:val="auto"/>
          <w:sz w:val="44"/>
          <w:highlight w:val="none"/>
        </w:rPr>
      </w:pPr>
    </w:p>
    <w:p w14:paraId="0A7B672D">
      <w:pPr>
        <w:rPr>
          <w:rFonts w:hint="eastAsia"/>
          <w:color w:val="auto"/>
          <w:highlight w:val="none"/>
        </w:rPr>
      </w:pPr>
    </w:p>
    <w:p w14:paraId="523822A1">
      <w:pPr>
        <w:tabs>
          <w:tab w:val="left" w:pos="315"/>
          <w:tab w:val="left" w:pos="8820"/>
        </w:tabs>
        <w:spacing w:line="500" w:lineRule="exact"/>
        <w:ind w:right="267" w:rightChars="127"/>
        <w:rPr>
          <w:rFonts w:hint="eastAsia" w:ascii="宋体" w:hAnsi="宋体" w:cs="宋体"/>
          <w:color w:val="auto"/>
          <w:sz w:val="44"/>
          <w:highlight w:val="none"/>
        </w:rPr>
      </w:pPr>
    </w:p>
    <w:p w14:paraId="672AB9FA">
      <w:pPr>
        <w:tabs>
          <w:tab w:val="left" w:pos="315"/>
          <w:tab w:val="left" w:pos="8820"/>
        </w:tabs>
        <w:spacing w:line="500" w:lineRule="exact"/>
        <w:ind w:right="267" w:rightChars="127"/>
        <w:rPr>
          <w:rFonts w:hint="eastAsia" w:ascii="宋体" w:hAnsi="宋体" w:cs="宋体"/>
          <w:color w:val="auto"/>
          <w:sz w:val="44"/>
          <w:highlight w:val="none"/>
        </w:rPr>
      </w:pPr>
    </w:p>
    <w:p w14:paraId="640F3105">
      <w:pPr>
        <w:tabs>
          <w:tab w:val="left" w:pos="315"/>
          <w:tab w:val="left" w:pos="8820"/>
        </w:tabs>
        <w:spacing w:line="500" w:lineRule="exact"/>
        <w:ind w:right="267" w:rightChars="127"/>
        <w:rPr>
          <w:rFonts w:hint="eastAsia" w:ascii="宋体" w:hAnsi="宋体" w:cs="宋体"/>
          <w:color w:val="auto"/>
          <w:sz w:val="44"/>
          <w:highlight w:val="none"/>
        </w:rPr>
      </w:pPr>
    </w:p>
    <w:p w14:paraId="00507A78">
      <w:pPr>
        <w:tabs>
          <w:tab w:val="left" w:pos="2410"/>
        </w:tabs>
        <w:autoSpaceDE w:val="0"/>
        <w:autoSpaceDN w:val="0"/>
        <w:adjustRightInd w:val="0"/>
        <w:snapToGrid w:val="0"/>
        <w:spacing w:line="360" w:lineRule="auto"/>
        <w:jc w:val="left"/>
        <w:outlineLvl w:val="9"/>
        <w:rPr>
          <w:rFonts w:hint="eastAsia" w:ascii="宋体" w:hAnsi="宋体" w:eastAsia="宋体" w:cs="宋体"/>
          <w:b/>
          <w:color w:val="auto"/>
          <w:spacing w:val="20"/>
          <w:kern w:val="0"/>
          <w:sz w:val="30"/>
          <w:szCs w:val="30"/>
          <w:highlight w:val="none"/>
          <w:lang w:val="en-US" w:eastAsia="zh-CN"/>
        </w:rPr>
      </w:pPr>
      <w:bookmarkStart w:id="6" w:name="_Toc21624"/>
      <w:bookmarkStart w:id="7" w:name="_Toc11245"/>
      <w:bookmarkStart w:id="8" w:name="_Toc8090"/>
      <w:r>
        <w:rPr>
          <w:rFonts w:hint="eastAsia" w:ascii="宋体" w:hAnsi="宋体" w:cs="宋体"/>
          <w:b/>
          <w:color w:val="auto"/>
          <w:spacing w:val="20"/>
          <w:kern w:val="0"/>
          <w:sz w:val="30"/>
          <w:szCs w:val="30"/>
          <w:highlight w:val="none"/>
        </w:rPr>
        <w:t>项 目 编 号：</w:t>
      </w:r>
      <w:bookmarkEnd w:id="6"/>
      <w:bookmarkEnd w:id="7"/>
      <w:bookmarkEnd w:id="8"/>
      <w:r>
        <w:rPr>
          <w:rFonts w:hint="eastAsia" w:ascii="宋体" w:hAnsi="宋体" w:cs="宋体"/>
          <w:b/>
          <w:color w:val="auto"/>
          <w:spacing w:val="20"/>
          <w:kern w:val="0"/>
          <w:sz w:val="30"/>
          <w:szCs w:val="30"/>
          <w:highlight w:val="none"/>
          <w:lang w:eastAsia="zh-CN"/>
        </w:rPr>
        <w:t>2026CG-007</w:t>
      </w:r>
    </w:p>
    <w:p w14:paraId="3F06DB72">
      <w:pPr>
        <w:tabs>
          <w:tab w:val="left" w:pos="2410"/>
        </w:tabs>
        <w:autoSpaceDE w:val="0"/>
        <w:autoSpaceDN w:val="0"/>
        <w:adjustRightInd w:val="0"/>
        <w:snapToGrid w:val="0"/>
        <w:spacing w:line="360" w:lineRule="auto"/>
        <w:jc w:val="left"/>
        <w:outlineLvl w:val="9"/>
        <w:rPr>
          <w:rFonts w:hint="eastAsia" w:ascii="宋体" w:hAnsi="宋体" w:eastAsia="宋体" w:cs="宋体"/>
          <w:b/>
          <w:color w:val="auto"/>
          <w:spacing w:val="20"/>
          <w:kern w:val="0"/>
          <w:sz w:val="30"/>
          <w:szCs w:val="30"/>
          <w:highlight w:val="none"/>
          <w:lang w:eastAsia="zh-CN"/>
        </w:rPr>
      </w:pPr>
      <w:bookmarkStart w:id="9" w:name="_Toc27733"/>
      <w:bookmarkStart w:id="10" w:name="_Toc2774"/>
      <w:bookmarkStart w:id="11" w:name="_Toc30635"/>
      <w:r>
        <w:rPr>
          <w:rFonts w:hint="eastAsia" w:ascii="宋体" w:hAnsi="宋体" w:cs="宋体"/>
          <w:b/>
          <w:color w:val="auto"/>
          <w:spacing w:val="20"/>
          <w:kern w:val="0"/>
          <w:sz w:val="30"/>
          <w:szCs w:val="30"/>
          <w:highlight w:val="none"/>
        </w:rPr>
        <w:t>采   购  人：滁州学院</w:t>
      </w:r>
      <w:bookmarkEnd w:id="9"/>
      <w:bookmarkEnd w:id="10"/>
      <w:bookmarkEnd w:id="11"/>
    </w:p>
    <w:p w14:paraId="154552C9">
      <w:pPr>
        <w:tabs>
          <w:tab w:val="left" w:pos="2410"/>
        </w:tabs>
        <w:autoSpaceDE w:val="0"/>
        <w:autoSpaceDN w:val="0"/>
        <w:adjustRightInd w:val="0"/>
        <w:snapToGrid w:val="0"/>
        <w:spacing w:line="360" w:lineRule="auto"/>
        <w:jc w:val="left"/>
        <w:rPr>
          <w:rFonts w:hint="eastAsia" w:ascii="宋体" w:hAnsi="宋体" w:cs="宋体"/>
          <w:b/>
          <w:color w:val="auto"/>
          <w:spacing w:val="20"/>
          <w:kern w:val="0"/>
          <w:sz w:val="30"/>
          <w:szCs w:val="30"/>
          <w:highlight w:val="none"/>
        </w:rPr>
      </w:pPr>
      <w:r>
        <w:rPr>
          <w:rFonts w:hint="eastAsia" w:ascii="宋体" w:hAnsi="宋体" w:cs="宋体"/>
          <w:b/>
          <w:color w:val="auto"/>
          <w:spacing w:val="20"/>
          <w:kern w:val="0"/>
          <w:sz w:val="30"/>
          <w:szCs w:val="30"/>
          <w:highlight w:val="none"/>
        </w:rPr>
        <w:t>采购代理机构：安徽立地工程咨询有限公司</w:t>
      </w:r>
    </w:p>
    <w:p w14:paraId="6EABE9A0">
      <w:pPr>
        <w:tabs>
          <w:tab w:val="left" w:pos="2410"/>
        </w:tabs>
        <w:autoSpaceDE w:val="0"/>
        <w:autoSpaceDN w:val="0"/>
        <w:adjustRightInd w:val="0"/>
        <w:snapToGrid w:val="0"/>
        <w:spacing w:line="360" w:lineRule="auto"/>
        <w:jc w:val="left"/>
        <w:outlineLvl w:val="9"/>
        <w:rPr>
          <w:rFonts w:hint="eastAsia" w:ascii="宋体" w:hAnsi="宋体" w:eastAsia="宋体" w:cs="宋体"/>
          <w:b/>
          <w:color w:val="auto"/>
          <w:spacing w:val="20"/>
          <w:kern w:val="0"/>
          <w:sz w:val="32"/>
          <w:szCs w:val="32"/>
          <w:highlight w:val="none"/>
          <w:lang w:eastAsia="zh-CN"/>
        </w:rPr>
      </w:pPr>
      <w:bookmarkStart w:id="12" w:name="_Toc27009"/>
      <w:bookmarkStart w:id="13" w:name="_Toc18337"/>
      <w:bookmarkStart w:id="14" w:name="_Toc32163"/>
      <w:r>
        <w:rPr>
          <w:rFonts w:hint="eastAsia" w:ascii="宋体" w:hAnsi="宋体" w:cs="宋体"/>
          <w:b/>
          <w:color w:val="auto"/>
          <w:spacing w:val="20"/>
          <w:kern w:val="0"/>
          <w:sz w:val="30"/>
          <w:szCs w:val="30"/>
          <w:highlight w:val="none"/>
        </w:rPr>
        <w:t>采 购 时 间：202</w:t>
      </w:r>
      <w:r>
        <w:rPr>
          <w:rFonts w:hint="eastAsia" w:ascii="宋体" w:hAnsi="宋体" w:cs="宋体"/>
          <w:b/>
          <w:color w:val="auto"/>
          <w:spacing w:val="20"/>
          <w:kern w:val="0"/>
          <w:sz w:val="30"/>
          <w:szCs w:val="30"/>
          <w:highlight w:val="none"/>
          <w:lang w:val="en-US" w:eastAsia="zh-CN"/>
        </w:rPr>
        <w:t>6</w:t>
      </w:r>
      <w:r>
        <w:rPr>
          <w:rFonts w:hint="eastAsia" w:ascii="宋体" w:hAnsi="宋体" w:cs="宋体"/>
          <w:b/>
          <w:color w:val="auto"/>
          <w:spacing w:val="20"/>
          <w:kern w:val="0"/>
          <w:sz w:val="30"/>
          <w:szCs w:val="30"/>
          <w:highlight w:val="none"/>
        </w:rPr>
        <w:t>.</w:t>
      </w:r>
      <w:bookmarkEnd w:id="12"/>
      <w:bookmarkEnd w:id="13"/>
      <w:bookmarkEnd w:id="14"/>
      <w:r>
        <w:rPr>
          <w:rFonts w:hint="eastAsia" w:ascii="宋体" w:hAnsi="宋体" w:cs="宋体"/>
          <w:b/>
          <w:color w:val="auto"/>
          <w:spacing w:val="20"/>
          <w:kern w:val="0"/>
          <w:sz w:val="30"/>
          <w:szCs w:val="30"/>
          <w:highlight w:val="none"/>
          <w:lang w:val="en-US" w:eastAsia="zh-CN"/>
        </w:rPr>
        <w:t>5</w:t>
      </w:r>
    </w:p>
    <w:p w14:paraId="02B122EE">
      <w:pPr>
        <w:pStyle w:val="36"/>
        <w:ind w:firstLine="0" w:firstLineChars="0"/>
        <w:rPr>
          <w:rFonts w:hint="eastAsia" w:cs="宋体"/>
          <w:color w:val="auto"/>
          <w:highlight w:val="none"/>
        </w:rPr>
      </w:pPr>
    </w:p>
    <w:p w14:paraId="28712278">
      <w:pPr>
        <w:tabs>
          <w:tab w:val="left" w:pos="4620"/>
        </w:tabs>
        <w:spacing w:line="500" w:lineRule="exact"/>
        <w:jc w:val="center"/>
        <w:outlineLvl w:val="0"/>
        <w:rPr>
          <w:rFonts w:hint="eastAsia" w:ascii="宋体" w:hAnsi="宋体" w:cs="宋体"/>
          <w:b/>
          <w:color w:val="auto"/>
          <w:sz w:val="36"/>
          <w:szCs w:val="36"/>
          <w:highlight w:val="none"/>
        </w:rPr>
      </w:pPr>
      <w:bookmarkStart w:id="15" w:name="_Toc1128"/>
      <w:bookmarkStart w:id="16" w:name="_Toc6656"/>
      <w:bookmarkStart w:id="17" w:name="_Toc14698"/>
      <w:bookmarkStart w:id="18" w:name="_Toc10811"/>
      <w:r>
        <w:rPr>
          <w:rFonts w:hint="eastAsia" w:ascii="宋体" w:hAnsi="宋体" w:cs="宋体"/>
          <w:b/>
          <w:color w:val="auto"/>
          <w:sz w:val="36"/>
          <w:szCs w:val="36"/>
          <w:highlight w:val="none"/>
        </w:rPr>
        <w:t>目  录</w:t>
      </w:r>
      <w:bookmarkEnd w:id="15"/>
      <w:bookmarkEnd w:id="16"/>
      <w:bookmarkEnd w:id="17"/>
      <w:bookmarkEnd w:id="18"/>
    </w:p>
    <w:p w14:paraId="0D5AB52A">
      <w:pPr>
        <w:tabs>
          <w:tab w:val="left" w:pos="4620"/>
        </w:tabs>
        <w:spacing w:line="480" w:lineRule="exact"/>
        <w:jc w:val="both"/>
        <w:rPr>
          <w:rFonts w:hint="eastAsia" w:ascii="宋体" w:hAnsi="宋体" w:cs="宋体"/>
          <w:b/>
          <w:color w:val="auto"/>
          <w:sz w:val="24"/>
          <w:highlight w:val="none"/>
        </w:rPr>
      </w:pPr>
    </w:p>
    <w:p w14:paraId="3B6464E1">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TOC \o "1-3" \h \z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_Toc1128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rPr>
        <w:t>目  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86DDA3">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_Toc18521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第一章、</w:t>
      </w:r>
      <w:r>
        <w:rPr>
          <w:rFonts w:hint="eastAsia" w:ascii="宋体" w:hAnsi="宋体" w:eastAsia="宋体" w:cs="宋体"/>
          <w:color w:val="auto"/>
          <w:szCs w:val="24"/>
          <w:highlight w:val="none"/>
        </w:rPr>
        <w:t>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FCF467E">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_Toc10648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第二章、</w:t>
      </w:r>
      <w:r>
        <w:rPr>
          <w:rFonts w:hint="eastAsia" w:ascii="宋体" w:hAnsi="宋体" w:eastAsia="宋体" w:cs="宋体"/>
          <w:color w:val="auto"/>
          <w:szCs w:val="24"/>
          <w:highlight w:val="none"/>
        </w:rPr>
        <w:t>磋商须知前附表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163C124">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_Toc6038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第三章</w:t>
      </w:r>
      <w:r>
        <w:rPr>
          <w:rFonts w:hint="eastAsia" w:ascii="宋体" w:hAnsi="宋体" w:eastAsia="宋体" w:cs="宋体"/>
          <w:color w:val="auto"/>
          <w:szCs w:val="24"/>
          <w:highlight w:val="none"/>
        </w:rPr>
        <w:t>、磋商须知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9136D1E">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_Toc3482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第四章</w:t>
      </w:r>
      <w:r>
        <w:rPr>
          <w:rFonts w:hint="eastAsia" w:ascii="宋体" w:hAnsi="宋体" w:eastAsia="宋体" w:cs="宋体"/>
          <w:color w:val="auto"/>
          <w:szCs w:val="24"/>
          <w:highlight w:val="none"/>
        </w:rPr>
        <w:t>、采购项目服务需求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89B0CF2">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_Toc19462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第五章、</w:t>
      </w:r>
      <w:r>
        <w:rPr>
          <w:rFonts w:hint="eastAsia" w:ascii="宋体" w:hAnsi="宋体" w:eastAsia="宋体" w:cs="宋体"/>
          <w:color w:val="auto"/>
          <w:szCs w:val="24"/>
          <w:highlight w:val="none"/>
        </w:rPr>
        <w:t>合同条款及格式（服务类）</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CBA27EF">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_Toc19978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第六章、</w:t>
      </w:r>
      <w:r>
        <w:rPr>
          <w:rFonts w:hint="eastAsia" w:ascii="宋体" w:hAnsi="宋体" w:eastAsia="宋体" w:cs="宋体"/>
          <w:color w:val="auto"/>
          <w:szCs w:val="24"/>
          <w:highlight w:val="none"/>
        </w:rPr>
        <w:t>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68D653">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_Toc29716 </w:instrText>
      </w:r>
      <w:r>
        <w:rPr>
          <w:rFonts w:hint="eastAsia" w:ascii="宋体" w:hAnsi="宋体" w:eastAsia="宋体" w:cs="宋体"/>
          <w:bCs w:val="0"/>
          <w:color w:val="auto"/>
          <w:szCs w:val="24"/>
          <w:highlight w:val="none"/>
        </w:rPr>
        <w:fldChar w:fldCharType="separate"/>
      </w:r>
      <w:r>
        <w:rPr>
          <w:rFonts w:hint="eastAsia" w:ascii="宋体" w:hAnsi="宋体" w:eastAsia="宋体" w:cs="宋体"/>
          <w:bCs/>
          <w:color w:val="auto"/>
          <w:kern w:val="44"/>
          <w:szCs w:val="24"/>
          <w:highlight w:val="none"/>
        </w:rPr>
        <w:t>附件1 关于联合惩戒失信行为加强信用查询管理的通知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BBDBBFE">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_Toc4578 </w:instrText>
      </w:r>
      <w:r>
        <w:rPr>
          <w:rFonts w:hint="eastAsia" w:ascii="宋体" w:hAnsi="宋体" w:eastAsia="宋体" w:cs="宋体"/>
          <w:bCs w:val="0"/>
          <w:color w:val="auto"/>
          <w:szCs w:val="24"/>
          <w:highlight w:val="none"/>
        </w:rPr>
        <w:fldChar w:fldCharType="separate"/>
      </w:r>
      <w:r>
        <w:rPr>
          <w:rFonts w:hint="eastAsia" w:ascii="宋体" w:hAnsi="宋体" w:eastAsia="宋体" w:cs="宋体"/>
          <w:bCs/>
          <w:color w:val="auto"/>
          <w:kern w:val="44"/>
          <w:szCs w:val="24"/>
          <w:highlight w:val="none"/>
        </w:rPr>
        <w:t>附件2 “信用中国”查询的严重失信行为类别及判定依据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_Toc4578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06B0AAC">
      <w:pPr>
        <w:pStyle w:val="25"/>
        <w:tabs>
          <w:tab w:val="right" w:leader="dot" w:pos="9072"/>
        </w:tabs>
        <w:spacing w:line="440" w:lineRule="exact"/>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_Toc3113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第七章、</w:t>
      </w:r>
      <w:r>
        <w:rPr>
          <w:rFonts w:hint="eastAsia" w:ascii="宋体" w:hAnsi="宋体" w:eastAsia="宋体" w:cs="宋体"/>
          <w:color w:val="auto"/>
          <w:szCs w:val="24"/>
          <w:highlight w:val="none"/>
        </w:rPr>
        <w:t>采购人、采购代理机构对本竞争性磋商文件的确认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A72CDC9">
      <w:pPr>
        <w:pStyle w:val="13"/>
        <w:keepNext w:val="0"/>
        <w:keepLines w:val="0"/>
        <w:pageBreakBefore w:val="0"/>
        <w:widowControl w:val="0"/>
        <w:kinsoku/>
        <w:wordWrap/>
        <w:overflowPunct/>
        <w:topLinePunct w:val="0"/>
        <w:autoSpaceDE/>
        <w:autoSpaceDN/>
        <w:bidi w:val="0"/>
        <w:adjustRightInd/>
        <w:snapToGrid/>
        <w:spacing w:after="0" w:line="440" w:lineRule="exact"/>
        <w:textAlignment w:val="auto"/>
        <w:rPr>
          <w:rStyle w:val="47"/>
          <w:rFonts w:hint="eastAsia" w:ascii="宋体" w:hAnsi="宋体" w:cs="宋体"/>
          <w:b/>
          <w:color w:val="auto"/>
          <w:sz w:val="24"/>
          <w:highlight w:val="none"/>
        </w:rPr>
      </w:pPr>
      <w:r>
        <w:rPr>
          <w:rFonts w:hint="eastAsia" w:ascii="宋体" w:hAnsi="宋体" w:eastAsia="宋体" w:cs="宋体"/>
          <w:b w:val="0"/>
          <w:bCs w:val="0"/>
          <w:color w:val="auto"/>
          <w:sz w:val="24"/>
          <w:szCs w:val="24"/>
          <w:highlight w:val="none"/>
        </w:rPr>
        <w:fldChar w:fldCharType="end"/>
      </w:r>
    </w:p>
    <w:p w14:paraId="7F5889AE">
      <w:pPr>
        <w:pStyle w:val="13"/>
        <w:spacing w:before="156" w:beforeLines="50" w:after="156" w:afterLines="50" w:line="480" w:lineRule="exact"/>
        <w:rPr>
          <w:rFonts w:hint="eastAsia" w:ascii="宋体" w:hAnsi="宋体" w:cs="宋体"/>
          <w:color w:val="auto"/>
          <w:sz w:val="24"/>
          <w:szCs w:val="28"/>
          <w:highlight w:val="none"/>
        </w:rPr>
      </w:pPr>
    </w:p>
    <w:p w14:paraId="16F0B730">
      <w:pPr>
        <w:pStyle w:val="2"/>
        <w:spacing w:line="360" w:lineRule="auto"/>
        <w:jc w:val="center"/>
        <w:rPr>
          <w:rFonts w:hint="eastAsia" w:ascii="宋体" w:hAnsi="宋体" w:cs="宋体"/>
          <w:b/>
          <w:color w:val="auto"/>
          <w:szCs w:val="32"/>
          <w:highlight w:val="none"/>
        </w:rPr>
        <w:sectPr>
          <w:footerReference r:id="rId4" w:type="first"/>
          <w:footerReference r:id="rId3" w:type="default"/>
          <w:pgSz w:w="11906" w:h="16838"/>
          <w:pgMar w:top="1134" w:right="1417" w:bottom="1134" w:left="1417" w:header="283" w:footer="680" w:gutter="0"/>
          <w:pgNumType w:start="1"/>
          <w:cols w:space="720" w:num="1"/>
          <w:titlePg/>
          <w:rtlGutter w:val="0"/>
          <w:docGrid w:type="lines" w:linePitch="312" w:charSpace="0"/>
        </w:sectPr>
      </w:pPr>
    </w:p>
    <w:p w14:paraId="2389409B">
      <w:pPr>
        <w:pStyle w:val="2"/>
        <w:spacing w:before="156" w:beforeLines="50" w:after="156" w:afterLines="50" w:line="240" w:lineRule="auto"/>
        <w:jc w:val="center"/>
        <w:rPr>
          <w:rFonts w:hint="eastAsia" w:ascii="宋体" w:hAnsi="宋体" w:cs="宋体"/>
          <w:b/>
          <w:color w:val="auto"/>
          <w:sz w:val="32"/>
          <w:szCs w:val="32"/>
          <w:highlight w:val="none"/>
        </w:rPr>
      </w:pPr>
      <w:bookmarkStart w:id="19" w:name="_Toc20299"/>
      <w:bookmarkStart w:id="20" w:name="_Toc18521"/>
      <w:r>
        <w:rPr>
          <w:rFonts w:hint="eastAsia" w:ascii="宋体" w:hAnsi="宋体" w:cs="宋体"/>
          <w:b/>
          <w:color w:val="auto"/>
          <w:sz w:val="32"/>
          <w:szCs w:val="32"/>
          <w:highlight w:val="none"/>
          <w:lang w:val="en-US" w:eastAsia="zh-CN"/>
        </w:rPr>
        <w:t>第一章、</w:t>
      </w:r>
      <w:r>
        <w:rPr>
          <w:rFonts w:hint="eastAsia" w:ascii="宋体" w:hAnsi="宋体" w:cs="宋体"/>
          <w:b/>
          <w:color w:val="auto"/>
          <w:sz w:val="32"/>
          <w:szCs w:val="32"/>
          <w:highlight w:val="none"/>
        </w:rPr>
        <w:t>竞争性磋商公告</w:t>
      </w:r>
      <w:bookmarkEnd w:id="19"/>
      <w:bookmarkEnd w:id="20"/>
    </w:p>
    <w:p w14:paraId="2D588E45">
      <w:pPr>
        <w:keepNext w:val="0"/>
        <w:keepLines w:val="0"/>
        <w:pageBreakBefore w:val="0"/>
        <w:widowControl w:val="0"/>
        <w:kinsoku/>
        <w:overflowPunct/>
        <w:topLinePunct w:val="0"/>
        <w:bidi w:val="0"/>
        <w:snapToGrid/>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项目概况</w:t>
      </w:r>
      <w:r>
        <w:rPr>
          <w:rFonts w:hint="eastAsia" w:ascii="宋体" w:hAnsi="宋体" w:cs="宋体"/>
          <w:color w:val="auto"/>
          <w:sz w:val="24"/>
          <w:szCs w:val="24"/>
          <w:highlight w:val="none"/>
          <w:lang w:eastAsia="zh-CN"/>
        </w:rPr>
        <w:t>：</w:t>
      </w:r>
    </w:p>
    <w:p w14:paraId="15CE60A1">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滁州学院2026年会峰校区供水管网物探、测绘及基础信息建设服务项目</w:t>
      </w:r>
      <w:r>
        <w:rPr>
          <w:rFonts w:hint="eastAsia" w:ascii="宋体" w:hAnsi="宋体" w:cs="宋体"/>
          <w:color w:val="auto"/>
          <w:sz w:val="24"/>
          <w:szCs w:val="24"/>
          <w:highlight w:val="none"/>
        </w:rPr>
        <w:t>的潜在投标供应商应在滁州学院网站（http://zcc.chzu.edu.cn）资产与实验室管理处网页采购公告栏中下载磋商文件。并于</w:t>
      </w:r>
      <w:r>
        <w:rPr>
          <w:rFonts w:hint="eastAsia" w:ascii="黑体" w:hAnsi="黑体" w:eastAsia="黑体" w:cs="黑体"/>
          <w:b/>
          <w:bCs/>
          <w:color w:val="auto"/>
          <w:sz w:val="24"/>
          <w:szCs w:val="24"/>
          <w:highlight w:val="none"/>
          <w:lang w:eastAsia="zh-CN"/>
        </w:rPr>
        <w:t>2026年6月9日15时00分</w:t>
      </w:r>
      <w:r>
        <w:rPr>
          <w:rFonts w:hint="eastAsia" w:ascii="宋体" w:hAnsi="宋体" w:cs="宋体"/>
          <w:color w:val="auto"/>
          <w:sz w:val="24"/>
          <w:szCs w:val="24"/>
          <w:highlight w:val="none"/>
        </w:rPr>
        <w:t>（北京时间）前递交磋商文件。</w:t>
      </w:r>
    </w:p>
    <w:p w14:paraId="52E726DA">
      <w:pPr>
        <w:pStyle w:val="13"/>
        <w:keepNext w:val="0"/>
        <w:keepLines w:val="0"/>
        <w:pageBreakBefore w:val="0"/>
        <w:widowControl w:val="0"/>
        <w:kinsoku/>
        <w:overflowPunct/>
        <w:topLinePunct w:val="0"/>
        <w:bidi w:val="0"/>
        <w:snapToGrid/>
        <w:spacing w:before="156" w:beforeLines="50" w:after="156" w:afterLines="50" w:line="520" w:lineRule="exact"/>
        <w:jc w:val="left"/>
        <w:textAlignment w:val="auto"/>
        <w:outlineLvl w:val="9"/>
        <w:rPr>
          <w:rFonts w:hint="eastAsia" w:ascii="宋体" w:hAnsi="宋体" w:cs="宋体"/>
          <w:b/>
          <w:bCs/>
          <w:color w:val="auto"/>
          <w:sz w:val="24"/>
          <w:szCs w:val="24"/>
          <w:highlight w:val="none"/>
        </w:rPr>
      </w:pPr>
      <w:bookmarkStart w:id="21" w:name="_Toc17421"/>
      <w:bookmarkStart w:id="22" w:name="_Toc4263"/>
      <w:bookmarkStart w:id="23" w:name="_Toc32754"/>
      <w:r>
        <w:rPr>
          <w:rFonts w:hint="eastAsia" w:ascii="宋体" w:hAnsi="宋体" w:cs="宋体"/>
          <w:b/>
          <w:bCs/>
          <w:color w:val="auto"/>
          <w:sz w:val="24"/>
          <w:szCs w:val="24"/>
          <w:highlight w:val="none"/>
        </w:rPr>
        <w:t>（一）项目名称及内容</w:t>
      </w:r>
      <w:bookmarkEnd w:id="21"/>
      <w:bookmarkEnd w:id="22"/>
      <w:bookmarkEnd w:id="23"/>
    </w:p>
    <w:p w14:paraId="324317D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lang w:eastAsia="zh-CN"/>
        </w:rPr>
        <w:t>2026CG-007</w:t>
      </w:r>
    </w:p>
    <w:p w14:paraId="1A404BE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滁州学院2026年会峰校区供水管网物探、测绘及基础信息建设服务项目</w:t>
      </w:r>
    </w:p>
    <w:p w14:paraId="046CAF5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3、项目地点：滁州学院校区内 </w:t>
      </w:r>
    </w:p>
    <w:p w14:paraId="12C662A2">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4、项目单位：</w:t>
      </w:r>
      <w:r>
        <w:rPr>
          <w:rFonts w:hint="eastAsia" w:ascii="宋体" w:hAnsi="宋体" w:cs="宋体"/>
          <w:color w:val="auto"/>
          <w:sz w:val="24"/>
          <w:szCs w:val="24"/>
          <w:highlight w:val="none"/>
          <w:lang w:eastAsia="zh-CN"/>
        </w:rPr>
        <w:t>滁州学院</w:t>
      </w:r>
      <w:r>
        <w:rPr>
          <w:rFonts w:hint="eastAsia" w:ascii="宋体" w:hAnsi="宋体" w:cs="宋体"/>
          <w:color w:val="auto"/>
          <w:sz w:val="24"/>
          <w:szCs w:val="24"/>
          <w:highlight w:val="none"/>
        </w:rPr>
        <w:t xml:space="preserve"> </w:t>
      </w:r>
    </w:p>
    <w:p w14:paraId="096B25A1">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5、资金来源：财政资金</w:t>
      </w:r>
    </w:p>
    <w:p w14:paraId="422D239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6、项目预算：约49万元</w:t>
      </w:r>
    </w:p>
    <w:p w14:paraId="6E0764C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490000.00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，供应商的响应报价不得高于采购人发布的最高限价，否则按无效响应处理</w:t>
      </w:r>
    </w:p>
    <w:p w14:paraId="4A7D3E4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、标段（包别）划分：共一个标段</w:t>
      </w:r>
    </w:p>
    <w:p w14:paraId="31E54B7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u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lang w:val="en-US" w:eastAsia="zh-CN"/>
        </w:rPr>
        <w:t>合同签订后，根据采购人通知进场后50个日历天完成本项目所有服务，具体进场时间以采购人通知时间为准。</w:t>
      </w:r>
    </w:p>
    <w:p w14:paraId="491E6B0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bookmarkStart w:id="24" w:name="_Toc9566"/>
      <w:bookmarkStart w:id="25" w:name="_Toc13712"/>
      <w:bookmarkStart w:id="26" w:name="_Toc20639"/>
      <w:r>
        <w:rPr>
          <w:rFonts w:hint="eastAsia" w:ascii="宋体" w:hAnsi="宋体" w:eastAsia="宋体" w:cs="宋体"/>
          <w:color w:val="auto"/>
          <w:sz w:val="24"/>
          <w:szCs w:val="24"/>
          <w:highlight w:val="none"/>
          <w:lang w:val="en-US" w:eastAsia="zh-CN"/>
        </w:rPr>
        <w:t>10、项目概况：本项目位于滁州学院会峰校区，因会峰校区供水缺乏地下管网数据集，消防用水和生活用水混接，为理清滁州学院会峰校区地下供水管网管径及走向，加强校园节水管理，实现供水管网的精细化管理，为日常维护、安全保障，能源监控提供可靠保障，构建校园供水管网“可视、可查、可控”管理技术，对会峰校区供水管网进行物探物探、测绘及基础信息建设。</w:t>
      </w:r>
      <w:bookmarkEnd w:id="24"/>
      <w:bookmarkEnd w:id="25"/>
      <w:bookmarkEnd w:id="26"/>
    </w:p>
    <w:p w14:paraId="0684B9A9">
      <w:pPr>
        <w:keepNext w:val="0"/>
        <w:keepLines w:val="0"/>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11、质保期：</w:t>
      </w:r>
      <w:r>
        <w:rPr>
          <w:rFonts w:hint="eastAsia" w:ascii="宋体" w:hAnsi="宋体" w:cs="宋体"/>
          <w:color w:val="auto"/>
          <w:spacing w:val="0"/>
          <w:position w:val="0"/>
          <w:sz w:val="24"/>
          <w:szCs w:val="24"/>
          <w:highlight w:val="none"/>
          <w:lang w:eastAsia="zh-CN"/>
        </w:rPr>
        <w:t>基础质保期为2年，供应商可承诺更长质保期，并以承诺</w:t>
      </w:r>
      <w:r>
        <w:rPr>
          <w:rFonts w:hint="eastAsia" w:ascii="宋体" w:hAnsi="宋体" w:cs="宋体"/>
          <w:color w:val="auto"/>
          <w:spacing w:val="0"/>
          <w:position w:val="0"/>
          <w:sz w:val="24"/>
          <w:szCs w:val="24"/>
          <w:highlight w:val="none"/>
          <w:lang w:val="en-US" w:eastAsia="zh-CN"/>
        </w:rPr>
        <w:t>期限</w:t>
      </w:r>
      <w:r>
        <w:rPr>
          <w:rFonts w:hint="eastAsia" w:ascii="宋体" w:hAnsi="宋体" w:cs="宋体"/>
          <w:color w:val="auto"/>
          <w:spacing w:val="0"/>
          <w:position w:val="0"/>
          <w:sz w:val="24"/>
          <w:szCs w:val="24"/>
          <w:highlight w:val="none"/>
          <w:lang w:eastAsia="zh-CN"/>
        </w:rPr>
        <w:t>为准</w:t>
      </w:r>
      <w:r>
        <w:rPr>
          <w:rFonts w:hint="eastAsia" w:ascii="宋体" w:hAnsi="宋体" w:cs="宋体"/>
          <w:color w:val="auto"/>
          <w:sz w:val="24"/>
          <w:szCs w:val="24"/>
          <w:highlight w:val="none"/>
          <w:lang w:val="en-US" w:eastAsia="zh-CN"/>
        </w:rPr>
        <w:t>。</w:t>
      </w:r>
    </w:p>
    <w:p w14:paraId="32F1943C">
      <w:pPr>
        <w:pStyle w:val="13"/>
        <w:keepNext w:val="0"/>
        <w:keepLines w:val="0"/>
        <w:pageBreakBefore w:val="0"/>
        <w:widowControl w:val="0"/>
        <w:kinsoku/>
        <w:overflowPunct/>
        <w:topLinePunct w:val="0"/>
        <w:bidi w:val="0"/>
        <w:snapToGrid/>
        <w:spacing w:before="156" w:beforeLines="50" w:after="156" w:afterLines="50" w:line="520" w:lineRule="exact"/>
        <w:jc w:val="left"/>
        <w:textAlignment w:val="auto"/>
        <w:outlineLvl w:val="9"/>
        <w:rPr>
          <w:rFonts w:hint="eastAsia" w:ascii="宋体" w:hAnsi="宋体" w:cs="宋体"/>
          <w:b/>
          <w:bCs/>
          <w:color w:val="auto"/>
          <w:sz w:val="24"/>
          <w:szCs w:val="24"/>
          <w:highlight w:val="none"/>
        </w:rPr>
      </w:pPr>
      <w:bookmarkStart w:id="27" w:name="_Toc9676"/>
      <w:bookmarkStart w:id="28" w:name="_Toc19003"/>
      <w:bookmarkStart w:id="29" w:name="_Toc16475"/>
      <w:r>
        <w:rPr>
          <w:rFonts w:hint="eastAsia" w:ascii="宋体" w:hAnsi="宋体" w:cs="宋体"/>
          <w:b/>
          <w:bCs/>
          <w:color w:val="auto"/>
          <w:sz w:val="24"/>
          <w:szCs w:val="24"/>
          <w:highlight w:val="none"/>
        </w:rPr>
        <w:t>（二）磋商供应商资格</w:t>
      </w:r>
      <w:bookmarkEnd w:id="27"/>
      <w:bookmarkEnd w:id="28"/>
      <w:bookmarkEnd w:id="29"/>
    </w:p>
    <w:p w14:paraId="24A6FFDB">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1、供应商必须具有承担民事责任能力，且具有有效的营业执照（或三证合一有效证件）；</w:t>
      </w:r>
    </w:p>
    <w:p w14:paraId="44745916">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2、本项目的资格要求：供应商须具有自然资源主管部门颁发的测绘乙级及以上资质；</w:t>
      </w:r>
    </w:p>
    <w:p w14:paraId="1D3DE99C">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3、本项目负责人资格要求：供应商拟派本项目负责人须具有中华人民共和国注册测绘师资格证书；</w:t>
      </w:r>
    </w:p>
    <w:p w14:paraId="041DCB75">
      <w:pPr>
        <w:keepNext w:val="0"/>
        <w:keepLines w:val="0"/>
        <w:pageBreakBefore w:val="0"/>
        <w:widowControl w:val="0"/>
        <w:kinsoku/>
        <w:overflowPunct/>
        <w:topLinePunct w:val="0"/>
        <w:bidi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w:t>
      </w:r>
    </w:p>
    <w:p w14:paraId="0E48D7F1">
      <w:pPr>
        <w:keepNext w:val="0"/>
        <w:keepLines w:val="0"/>
        <w:pageBreakBefore w:val="0"/>
        <w:widowControl w:val="0"/>
        <w:kinsoku/>
        <w:overflowPunct/>
        <w:topLinePunct w:val="0"/>
        <w:bidi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、信誉要求：供应商不得存在以下情形：</w:t>
      </w:r>
    </w:p>
    <w:p w14:paraId="36D02C22">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eastAsia="宋体" w:cs="宋体"/>
          <w:color w:val="auto"/>
          <w:sz w:val="24"/>
          <w:szCs w:val="24"/>
          <w:highlight w:val="none"/>
        </w:rPr>
      </w:pPr>
      <w:bookmarkStart w:id="30" w:name="_Toc1223"/>
      <w:bookmarkStart w:id="31" w:name="_Toc2802"/>
      <w:bookmarkStart w:id="32" w:name="_Toc10851"/>
      <w:r>
        <w:rPr>
          <w:rFonts w:hint="eastAsia" w:ascii="宋体" w:hAnsi="宋体" w:eastAsia="宋体" w:cs="宋体"/>
          <w:color w:val="auto"/>
          <w:sz w:val="24"/>
          <w:szCs w:val="24"/>
          <w:highlight w:val="none"/>
        </w:rPr>
        <w:t>①被列入“信用中国”网站“失信被执行人”的；</w:t>
      </w:r>
    </w:p>
    <w:p w14:paraId="2FB4DA41">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②被列入“信用中国”网站“重大税收违法失信主体”的； </w:t>
      </w:r>
    </w:p>
    <w:p w14:paraId="703DFD13">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③被列入“信用中国”网站 “严重失信主体名单”的； </w:t>
      </w:r>
    </w:p>
    <w:p w14:paraId="4691E0D6">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④在“信用中国”网站上披露的仍在公示期的严重失信行为(具体行为类别及判定依据见“信用中国”查询的严重失信行为类别及判定依据)的。 </w:t>
      </w:r>
    </w:p>
    <w:p w14:paraId="175E601B">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⑤被列入国家企业信用信息公示系统网站“经营异常名录”或者“严重违法失信名单”的。</w:t>
      </w:r>
    </w:p>
    <w:p w14:paraId="66A27A3C">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⑥被列入中国政府采购网站“政府采购严重违法失信行为信息记录”的。 </w:t>
      </w:r>
    </w:p>
    <w:p w14:paraId="7C0E5067">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⑦前三年有行贿犯罪行为的单位和个人。 </w:t>
      </w:r>
    </w:p>
    <w:p w14:paraId="0087FEB8">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.供应商所属分公司、办事处等分支机构存在第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条信誉要求①-⑦项情形之一的，接受供应商参加本项目。 备注：第4、5条按照“关于联合惩戒失信行为加强信用查询管理的通知”查询或承诺。</w:t>
      </w:r>
    </w:p>
    <w:p w14:paraId="1F58878C">
      <w:pPr>
        <w:pStyle w:val="13"/>
        <w:keepNext w:val="0"/>
        <w:keepLines w:val="0"/>
        <w:pageBreakBefore w:val="0"/>
        <w:widowControl w:val="0"/>
        <w:kinsoku/>
        <w:overflowPunct/>
        <w:topLinePunct w:val="0"/>
        <w:bidi w:val="0"/>
        <w:snapToGrid/>
        <w:spacing w:before="156" w:beforeLines="50" w:after="156" w:afterLines="50" w:line="520" w:lineRule="exact"/>
        <w:jc w:val="left"/>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（三）磋商文件发售办法</w:t>
      </w:r>
      <w:bookmarkEnd w:id="30"/>
      <w:bookmarkEnd w:id="31"/>
      <w:bookmarkEnd w:id="32"/>
      <w:bookmarkStart w:id="537" w:name="_GoBack"/>
      <w:bookmarkEnd w:id="537"/>
    </w:p>
    <w:p w14:paraId="144BD266">
      <w:pPr>
        <w:pStyle w:val="13"/>
        <w:keepNext w:val="0"/>
        <w:keepLines w:val="0"/>
        <w:pageBreakBefore w:val="0"/>
        <w:widowControl w:val="0"/>
        <w:kinsoku/>
        <w:overflowPunct/>
        <w:topLinePunct w:val="0"/>
        <w:bidi w:val="0"/>
        <w:snapToGrid/>
        <w:spacing w:after="0" w:line="520" w:lineRule="exact"/>
        <w:ind w:firstLine="480" w:firstLineChars="200"/>
        <w:jc w:val="left"/>
        <w:textAlignment w:val="auto"/>
        <w:rPr>
          <w:rFonts w:hint="eastAsia" w:ascii="宋体" w:hAnsi="宋体" w:eastAsia="黑体" w:cs="宋体"/>
          <w:b/>
          <w:bCs/>
          <w:color w:val="auto"/>
          <w:sz w:val="24"/>
          <w:szCs w:val="24"/>
          <w:highlight w:val="none"/>
        </w:rPr>
      </w:pPr>
      <w:r>
        <w:rPr>
          <w:rFonts w:hint="eastAsia" w:ascii="宋体" w:hAnsi="宋体" w:cs="宋体"/>
          <w:color w:val="auto"/>
          <w:sz w:val="24"/>
          <w:szCs w:val="24"/>
          <w:highlight w:val="none"/>
        </w:rPr>
        <w:t>1、磋商文件发售时间：</w:t>
      </w:r>
      <w:r>
        <w:rPr>
          <w:rFonts w:hint="eastAsia" w:ascii="黑体" w:hAnsi="黑体" w:eastAsia="黑体" w:cs="黑体"/>
          <w:b/>
          <w:bCs/>
          <w:color w:val="auto"/>
          <w:sz w:val="24"/>
          <w:szCs w:val="24"/>
          <w:highlight w:val="none"/>
          <w:lang w:eastAsia="zh-CN"/>
        </w:rPr>
        <w:t>2026年5月28日</w:t>
      </w:r>
      <w:r>
        <w:rPr>
          <w:rFonts w:hint="eastAsia" w:ascii="黑体" w:hAnsi="黑体" w:eastAsia="黑体" w:cs="黑体"/>
          <w:b/>
          <w:bCs/>
          <w:color w:val="auto"/>
          <w:sz w:val="24"/>
          <w:szCs w:val="24"/>
          <w:highlight w:val="none"/>
        </w:rPr>
        <w:t>17时至</w:t>
      </w:r>
      <w:r>
        <w:rPr>
          <w:rFonts w:hint="eastAsia" w:ascii="黑体" w:hAnsi="黑体" w:eastAsia="黑体" w:cs="黑体"/>
          <w:b/>
          <w:bCs/>
          <w:color w:val="auto"/>
          <w:sz w:val="24"/>
          <w:szCs w:val="24"/>
          <w:highlight w:val="none"/>
          <w:lang w:eastAsia="zh-CN"/>
        </w:rPr>
        <w:t>2026年6月9日15时00分</w:t>
      </w:r>
    </w:p>
    <w:p w14:paraId="29B5C084">
      <w:pPr>
        <w:pStyle w:val="13"/>
        <w:keepNext w:val="0"/>
        <w:keepLines w:val="0"/>
        <w:pageBreakBefore w:val="0"/>
        <w:widowControl w:val="0"/>
        <w:kinsoku/>
        <w:overflowPunct/>
        <w:topLinePunct w:val="0"/>
        <w:bidi w:val="0"/>
        <w:snapToGrid/>
        <w:spacing w:after="0" w:line="520" w:lineRule="exact"/>
        <w:ind w:firstLine="480" w:firstLineChars="200"/>
        <w:jc w:val="left"/>
        <w:textAlignment w:val="auto"/>
        <w:outlineLvl w:val="9"/>
        <w:rPr>
          <w:rFonts w:hint="eastAsia" w:ascii="宋体" w:hAnsi="宋体" w:cs="宋体"/>
          <w:color w:val="auto"/>
          <w:sz w:val="24"/>
          <w:szCs w:val="24"/>
          <w:highlight w:val="none"/>
        </w:rPr>
      </w:pPr>
      <w:bookmarkStart w:id="33" w:name="_Toc16586"/>
      <w:bookmarkStart w:id="34" w:name="_Toc11993"/>
      <w:bookmarkStart w:id="35" w:name="_Toc1580"/>
      <w:r>
        <w:rPr>
          <w:rFonts w:hint="eastAsia" w:ascii="宋体" w:hAnsi="宋体" w:cs="宋体"/>
          <w:color w:val="auto"/>
          <w:sz w:val="24"/>
          <w:szCs w:val="24"/>
          <w:highlight w:val="none"/>
        </w:rPr>
        <w:t>2、磋商文件价格：每套人民币 0 元整，磋商文件售后不退。</w:t>
      </w:r>
      <w:bookmarkEnd w:id="33"/>
      <w:bookmarkEnd w:id="34"/>
      <w:bookmarkEnd w:id="35"/>
    </w:p>
    <w:p w14:paraId="24C719A2">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3、磋商文件等领取方式：从滁州学院网站（http://zcc.chzu.edu.cn）资产与实验室管理处网页采购公告栏处下载，如供应商不及时下载造成后果由供应商自负。 </w:t>
      </w:r>
    </w:p>
    <w:p w14:paraId="02F23815">
      <w:pPr>
        <w:pStyle w:val="13"/>
        <w:keepNext w:val="0"/>
        <w:keepLines w:val="0"/>
        <w:pageBreakBefore w:val="0"/>
        <w:widowControl w:val="0"/>
        <w:kinsoku/>
        <w:overflowPunct/>
        <w:topLinePunct w:val="0"/>
        <w:bidi w:val="0"/>
        <w:snapToGrid/>
        <w:spacing w:before="156" w:beforeLines="50" w:after="156" w:afterLines="50" w:line="520" w:lineRule="exact"/>
        <w:jc w:val="left"/>
        <w:textAlignment w:val="auto"/>
        <w:outlineLvl w:val="9"/>
        <w:rPr>
          <w:rFonts w:hint="eastAsia" w:ascii="宋体" w:hAnsi="宋体" w:cs="宋体"/>
          <w:b/>
          <w:bCs/>
          <w:color w:val="auto"/>
          <w:sz w:val="24"/>
          <w:szCs w:val="24"/>
          <w:highlight w:val="none"/>
        </w:rPr>
      </w:pPr>
      <w:bookmarkStart w:id="36" w:name="_Toc14810"/>
      <w:bookmarkStart w:id="37" w:name="_Toc21665"/>
      <w:bookmarkStart w:id="38" w:name="_Toc1264"/>
      <w:r>
        <w:rPr>
          <w:rFonts w:hint="eastAsia" w:ascii="宋体" w:hAnsi="宋体" w:cs="宋体"/>
          <w:b/>
          <w:bCs/>
          <w:color w:val="auto"/>
          <w:sz w:val="24"/>
          <w:szCs w:val="24"/>
          <w:highlight w:val="none"/>
        </w:rPr>
        <w:t>（四）磋商时间及地点</w:t>
      </w:r>
      <w:bookmarkEnd w:id="36"/>
      <w:bookmarkEnd w:id="37"/>
      <w:bookmarkEnd w:id="38"/>
    </w:p>
    <w:p w14:paraId="01242E24">
      <w:pPr>
        <w:pStyle w:val="13"/>
        <w:keepNext w:val="0"/>
        <w:keepLines w:val="0"/>
        <w:pageBreakBefore w:val="0"/>
        <w:widowControl w:val="0"/>
        <w:kinsoku/>
        <w:overflowPunct/>
        <w:topLinePunct w:val="0"/>
        <w:bidi w:val="0"/>
        <w:snapToGrid/>
        <w:spacing w:after="0" w:line="520" w:lineRule="exact"/>
        <w:ind w:firstLine="480" w:firstLineChars="200"/>
        <w:jc w:val="left"/>
        <w:textAlignment w:val="auto"/>
        <w:outlineLvl w:val="9"/>
        <w:rPr>
          <w:rFonts w:hint="eastAsia" w:ascii="宋体" w:hAnsi="宋体" w:cs="宋体"/>
          <w:color w:val="auto"/>
          <w:sz w:val="24"/>
          <w:szCs w:val="24"/>
          <w:highlight w:val="none"/>
        </w:rPr>
      </w:pPr>
      <w:bookmarkStart w:id="39" w:name="_Toc8567"/>
      <w:bookmarkStart w:id="40" w:name="_Toc32422"/>
      <w:bookmarkStart w:id="41" w:name="_Toc22122"/>
      <w:r>
        <w:rPr>
          <w:rFonts w:hint="eastAsia" w:ascii="宋体" w:hAnsi="宋体" w:cs="宋体"/>
          <w:color w:val="auto"/>
          <w:sz w:val="24"/>
          <w:szCs w:val="24"/>
          <w:highlight w:val="none"/>
        </w:rPr>
        <w:t>1、磋商时间：</w:t>
      </w:r>
      <w:bookmarkEnd w:id="39"/>
      <w:bookmarkEnd w:id="40"/>
      <w:bookmarkEnd w:id="41"/>
      <w:r>
        <w:rPr>
          <w:rFonts w:hint="eastAsia" w:ascii="黑体" w:hAnsi="黑体" w:eastAsia="黑体" w:cs="黑体"/>
          <w:b/>
          <w:bCs/>
          <w:color w:val="auto"/>
          <w:sz w:val="24"/>
          <w:szCs w:val="24"/>
          <w:highlight w:val="none"/>
          <w:lang w:eastAsia="zh-CN"/>
        </w:rPr>
        <w:t>2026年6月9日15时00分</w:t>
      </w:r>
    </w:p>
    <w:p w14:paraId="38049650">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2、磋商地点：滁州市丰乐大道1899号皖东国际车城A区写字楼A6栋3楼</w:t>
      </w:r>
    </w:p>
    <w:p w14:paraId="24B5EB74">
      <w:pPr>
        <w:pStyle w:val="13"/>
        <w:keepNext w:val="0"/>
        <w:keepLines w:val="0"/>
        <w:pageBreakBefore w:val="0"/>
        <w:widowControl w:val="0"/>
        <w:kinsoku/>
        <w:overflowPunct/>
        <w:topLinePunct w:val="0"/>
        <w:bidi w:val="0"/>
        <w:snapToGrid/>
        <w:spacing w:before="156" w:beforeLines="50" w:after="156" w:afterLines="50" w:line="520" w:lineRule="exact"/>
        <w:jc w:val="left"/>
        <w:textAlignment w:val="auto"/>
        <w:outlineLvl w:val="9"/>
        <w:rPr>
          <w:rFonts w:hint="default" w:ascii="宋体" w:hAnsi="宋体" w:eastAsia="宋体" w:cs="宋体"/>
          <w:b/>
          <w:bCs/>
          <w:color w:val="auto"/>
          <w:sz w:val="24"/>
          <w:szCs w:val="24"/>
          <w:highlight w:val="none"/>
          <w:lang w:val="en-US" w:eastAsia="zh-CN"/>
        </w:rPr>
      </w:pPr>
      <w:bookmarkStart w:id="42" w:name="_Toc6738"/>
      <w:bookmarkStart w:id="43" w:name="_Toc12781"/>
      <w:bookmarkStart w:id="44" w:name="_Toc744"/>
      <w:r>
        <w:rPr>
          <w:rFonts w:hint="eastAsia" w:ascii="宋体" w:hAnsi="宋体" w:cs="宋体"/>
          <w:b/>
          <w:bCs/>
          <w:color w:val="auto"/>
          <w:sz w:val="24"/>
          <w:szCs w:val="24"/>
          <w:highlight w:val="none"/>
        </w:rPr>
        <w:t>（五）响应文件</w:t>
      </w:r>
      <w:r>
        <w:rPr>
          <w:rFonts w:hint="eastAsia" w:ascii="宋体" w:hAnsi="宋体" w:cs="宋体"/>
          <w:b/>
          <w:bCs/>
          <w:color w:val="auto"/>
          <w:sz w:val="24"/>
          <w:szCs w:val="24"/>
          <w:highlight w:val="none"/>
          <w:lang w:val="en-US" w:eastAsia="zh-CN"/>
        </w:rPr>
        <w:t>开启</w:t>
      </w:r>
      <w:r>
        <w:rPr>
          <w:rFonts w:hint="eastAsia" w:ascii="宋体" w:hAnsi="宋体" w:cs="宋体"/>
          <w:b/>
          <w:bCs/>
          <w:color w:val="auto"/>
          <w:sz w:val="24"/>
          <w:szCs w:val="24"/>
          <w:highlight w:val="none"/>
        </w:rPr>
        <w:t>时间</w:t>
      </w:r>
      <w:bookmarkEnd w:id="42"/>
      <w:bookmarkEnd w:id="43"/>
      <w:bookmarkEnd w:id="44"/>
      <w:r>
        <w:rPr>
          <w:rFonts w:hint="eastAsia" w:ascii="宋体" w:hAnsi="宋体" w:cs="宋体"/>
          <w:b/>
          <w:bCs/>
          <w:color w:val="auto"/>
          <w:sz w:val="24"/>
          <w:szCs w:val="24"/>
          <w:highlight w:val="none"/>
          <w:lang w:val="en-US" w:eastAsia="zh-CN"/>
        </w:rPr>
        <w:t>和地点</w:t>
      </w:r>
    </w:p>
    <w:p w14:paraId="166CF7C0">
      <w:pPr>
        <w:pStyle w:val="13"/>
        <w:keepNext w:val="0"/>
        <w:keepLines w:val="0"/>
        <w:pageBreakBefore w:val="0"/>
        <w:widowControl w:val="0"/>
        <w:kinsoku/>
        <w:overflowPunct/>
        <w:topLinePunct w:val="0"/>
        <w:bidi w:val="0"/>
        <w:snapToGrid/>
        <w:spacing w:after="0" w:line="520" w:lineRule="exact"/>
        <w:ind w:firstLine="482" w:firstLineChars="200"/>
        <w:jc w:val="left"/>
        <w:textAlignment w:val="auto"/>
        <w:outlineLvl w:val="9"/>
        <w:rPr>
          <w:rFonts w:hint="eastAsia" w:ascii="黑体" w:hAnsi="黑体" w:eastAsia="黑体" w:cs="黑体"/>
          <w:b/>
          <w:bCs/>
          <w:color w:val="auto"/>
          <w:sz w:val="24"/>
          <w:szCs w:val="24"/>
          <w:highlight w:val="none"/>
        </w:rPr>
      </w:pPr>
      <w:bookmarkStart w:id="45" w:name="_Toc16180"/>
      <w:bookmarkStart w:id="46" w:name="_Toc28547"/>
      <w:bookmarkStart w:id="47" w:name="_Toc12093"/>
      <w:r>
        <w:rPr>
          <w:rFonts w:hint="eastAsia" w:ascii="黑体" w:hAnsi="黑体" w:eastAsia="黑体" w:cs="黑体"/>
          <w:b/>
          <w:bCs/>
          <w:color w:val="auto"/>
          <w:sz w:val="24"/>
          <w:szCs w:val="24"/>
          <w:highlight w:val="none"/>
          <w:lang w:val="en-US" w:eastAsia="zh-CN"/>
        </w:rPr>
        <w:t>时间：</w:t>
      </w:r>
      <w:bookmarkEnd w:id="45"/>
      <w:bookmarkEnd w:id="46"/>
      <w:bookmarkEnd w:id="47"/>
      <w:r>
        <w:rPr>
          <w:rFonts w:hint="eastAsia" w:ascii="黑体" w:hAnsi="黑体" w:eastAsia="黑体" w:cs="黑体"/>
          <w:b/>
          <w:bCs/>
          <w:color w:val="auto"/>
          <w:sz w:val="24"/>
          <w:szCs w:val="24"/>
          <w:highlight w:val="none"/>
          <w:lang w:eastAsia="zh-CN"/>
        </w:rPr>
        <w:t>2026年6月9日15时00分</w:t>
      </w:r>
    </w:p>
    <w:p w14:paraId="0588596A">
      <w:pPr>
        <w:pStyle w:val="13"/>
        <w:keepNext w:val="0"/>
        <w:keepLines w:val="0"/>
        <w:pageBreakBefore w:val="0"/>
        <w:widowControl w:val="0"/>
        <w:kinsoku/>
        <w:wordWrap w:val="0"/>
        <w:overflowPunct/>
        <w:topLinePunct w:val="0"/>
        <w:bidi w:val="0"/>
        <w:snapToGrid/>
        <w:spacing w:after="0" w:line="520" w:lineRule="exact"/>
        <w:ind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地点：</w:t>
      </w:r>
      <w:r>
        <w:rPr>
          <w:rFonts w:hint="eastAsia" w:ascii="宋体" w:hAnsi="宋体" w:cs="宋体"/>
          <w:color w:val="auto"/>
          <w:sz w:val="24"/>
          <w:szCs w:val="24"/>
          <w:highlight w:val="none"/>
        </w:rPr>
        <w:t>滁州市丰乐大道1899号皖东国际车城A区写字楼A6栋3楼</w:t>
      </w:r>
    </w:p>
    <w:p w14:paraId="72380D19">
      <w:pPr>
        <w:pStyle w:val="13"/>
        <w:keepNext w:val="0"/>
        <w:keepLines w:val="0"/>
        <w:pageBreakBefore w:val="0"/>
        <w:widowControl w:val="0"/>
        <w:numPr>
          <w:ilvl w:val="0"/>
          <w:numId w:val="0"/>
        </w:numPr>
        <w:kinsoku/>
        <w:overflowPunct/>
        <w:topLinePunct w:val="0"/>
        <w:bidi w:val="0"/>
        <w:snapToGrid/>
        <w:spacing w:before="156" w:beforeLines="50" w:after="156" w:afterLines="50" w:line="520" w:lineRule="exact"/>
        <w:jc w:val="left"/>
        <w:textAlignment w:val="auto"/>
        <w:outlineLvl w:val="9"/>
        <w:rPr>
          <w:rFonts w:hint="eastAsia" w:ascii="宋体" w:hAnsi="宋体" w:cs="宋体"/>
          <w:b/>
          <w:bCs/>
          <w:color w:val="auto"/>
          <w:sz w:val="24"/>
          <w:szCs w:val="24"/>
          <w:highlight w:val="none"/>
          <w:lang w:val="en-US" w:eastAsia="zh-CN"/>
        </w:rPr>
      </w:pPr>
      <w:bookmarkStart w:id="48" w:name="_Toc23345"/>
      <w:bookmarkStart w:id="49" w:name="_Toc5989"/>
      <w:bookmarkStart w:id="50" w:name="_Toc22852"/>
      <w:r>
        <w:rPr>
          <w:rFonts w:hint="eastAsia" w:ascii="宋体" w:hAnsi="宋体" w:cs="宋体"/>
          <w:b/>
          <w:bCs/>
          <w:color w:val="auto"/>
          <w:kern w:val="2"/>
          <w:sz w:val="24"/>
          <w:szCs w:val="24"/>
          <w:highlight w:val="none"/>
          <w:lang w:val="en-US" w:eastAsia="zh-CN" w:bidi="ar-SA"/>
        </w:rPr>
        <w:t>（六）</w:t>
      </w:r>
      <w:r>
        <w:rPr>
          <w:rFonts w:hint="eastAsia" w:ascii="宋体" w:hAnsi="宋体" w:cs="宋体"/>
          <w:b/>
          <w:bCs/>
          <w:color w:val="auto"/>
          <w:sz w:val="24"/>
          <w:szCs w:val="24"/>
          <w:highlight w:val="none"/>
          <w:lang w:val="en-US" w:eastAsia="zh-CN"/>
        </w:rPr>
        <w:t>公告期限</w:t>
      </w:r>
    </w:p>
    <w:p w14:paraId="08F6DD21">
      <w:pPr>
        <w:pStyle w:val="13"/>
        <w:keepNext w:val="0"/>
        <w:keepLines w:val="0"/>
        <w:pageBreakBefore w:val="0"/>
        <w:widowControl w:val="0"/>
        <w:kinsoku/>
        <w:wordWrap w:val="0"/>
        <w:overflowPunct/>
        <w:topLinePunct w:val="0"/>
        <w:bidi w:val="0"/>
        <w:snapToGrid/>
        <w:spacing w:before="0" w:beforeLines="0" w:after="0" w:afterLines="0" w:line="520" w:lineRule="exact"/>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自本公告发布之日起3个工作日。本次采购公告同时在</w:t>
      </w:r>
      <w:r>
        <w:rPr>
          <w:rFonts w:hint="eastAsia" w:ascii="宋体" w:hAnsi="宋体" w:cs="宋体"/>
          <w:color w:val="auto"/>
          <w:sz w:val="24"/>
          <w:szCs w:val="24"/>
          <w:highlight w:val="none"/>
        </w:rPr>
        <w:t>滁州学院网站（http://zcc.chzu.edu.cn）资产与实验室管理处网页采购公告栏</w:t>
      </w:r>
      <w:r>
        <w:rPr>
          <w:rFonts w:hint="eastAsia" w:ascii="宋体" w:hAnsi="宋体" w:eastAsia="宋体" w:cs="宋体"/>
          <w:b w:val="0"/>
          <w:bCs w:val="0"/>
          <w:color w:val="auto"/>
          <w:sz w:val="24"/>
          <w:szCs w:val="24"/>
          <w:highlight w:val="none"/>
          <w:lang w:val="en-US" w:eastAsia="zh-CN"/>
        </w:rPr>
        <w:t>、安徽省招标投标信息网（http://www.ahtba.org.cn/）上发布。</w:t>
      </w:r>
    </w:p>
    <w:p w14:paraId="3331AD9A">
      <w:pPr>
        <w:pStyle w:val="13"/>
        <w:keepNext w:val="0"/>
        <w:keepLines w:val="0"/>
        <w:pageBreakBefore w:val="0"/>
        <w:widowControl w:val="0"/>
        <w:kinsoku/>
        <w:overflowPunct/>
        <w:topLinePunct w:val="0"/>
        <w:bidi w:val="0"/>
        <w:snapToGrid/>
        <w:spacing w:before="156" w:beforeLines="50" w:after="156" w:afterLines="50" w:line="520" w:lineRule="exact"/>
        <w:jc w:val="left"/>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）磋商保证金金额及要求</w:t>
      </w:r>
      <w:bookmarkEnd w:id="48"/>
      <w:bookmarkEnd w:id="49"/>
      <w:bookmarkEnd w:id="50"/>
    </w:p>
    <w:p w14:paraId="0D1D567D">
      <w:pPr>
        <w:keepNext w:val="0"/>
        <w:keepLines w:val="0"/>
        <w:pageBreakBefore w:val="0"/>
        <w:widowControl w:val="0"/>
        <w:kinsoku/>
        <w:overflowPunct/>
        <w:topLinePunct w:val="0"/>
        <w:bidi w:val="0"/>
        <w:snapToGrid/>
        <w:spacing w:line="520" w:lineRule="exact"/>
        <w:ind w:firstLine="480" w:firstLineChars="200"/>
        <w:jc w:val="left"/>
        <w:textAlignment w:val="auto"/>
        <w:outlineLvl w:val="9"/>
        <w:rPr>
          <w:rFonts w:hint="eastAsia" w:ascii="宋体" w:hAnsi="宋体" w:cs="宋体"/>
          <w:color w:val="auto"/>
          <w:sz w:val="24"/>
          <w:szCs w:val="24"/>
          <w:highlight w:val="none"/>
        </w:rPr>
      </w:pPr>
      <w:bookmarkStart w:id="51" w:name="_Toc16585"/>
      <w:bookmarkStart w:id="52" w:name="_Toc27335"/>
      <w:bookmarkStart w:id="53" w:name="_Toc6856"/>
      <w:r>
        <w:rPr>
          <w:rFonts w:hint="eastAsia" w:ascii="宋体" w:hAnsi="宋体" w:cs="宋体"/>
          <w:color w:val="auto"/>
          <w:sz w:val="24"/>
          <w:szCs w:val="24"/>
          <w:highlight w:val="none"/>
        </w:rPr>
        <w:t>1.是否要求供应商提交保证金：☑不要求</w:t>
      </w:r>
      <w:bookmarkEnd w:id="51"/>
      <w:bookmarkEnd w:id="52"/>
      <w:bookmarkEnd w:id="53"/>
    </w:p>
    <w:p w14:paraId="073767E1">
      <w:pPr>
        <w:pStyle w:val="13"/>
        <w:keepNext w:val="0"/>
        <w:keepLines w:val="0"/>
        <w:pageBreakBefore w:val="0"/>
        <w:kinsoku/>
        <w:overflowPunct/>
        <w:topLinePunct w:val="0"/>
        <w:bidi w:val="0"/>
        <w:snapToGrid/>
        <w:spacing w:before="156" w:beforeLines="50" w:after="156" w:afterLines="50" w:line="520" w:lineRule="exact"/>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）其他补充事宜</w:t>
      </w:r>
    </w:p>
    <w:p w14:paraId="4A25FEDB">
      <w:pPr>
        <w:keepNext w:val="0"/>
        <w:keepLines w:val="0"/>
        <w:pageBreakBefore w:val="0"/>
        <w:kinsoku/>
        <w:wordWrap w:val="0"/>
        <w:overflowPunct/>
        <w:topLinePunct w:val="0"/>
        <w:bidi w:val="0"/>
        <w:snapToGrid/>
        <w:spacing w:line="520" w:lineRule="exact"/>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kern w:val="2"/>
          <w:sz w:val="24"/>
          <w:highlight w:val="none"/>
          <w:lang w:val="en-US" w:eastAsia="zh-CN"/>
        </w:rPr>
        <w:t>无。</w:t>
      </w:r>
    </w:p>
    <w:p w14:paraId="68B701FA">
      <w:pPr>
        <w:pStyle w:val="13"/>
        <w:keepNext w:val="0"/>
        <w:keepLines w:val="0"/>
        <w:pageBreakBefore w:val="0"/>
        <w:widowControl/>
        <w:kinsoku/>
        <w:overflowPunct/>
        <w:topLinePunct w:val="0"/>
        <w:bidi w:val="0"/>
        <w:snapToGrid/>
        <w:spacing w:before="156" w:beforeLines="50" w:after="156" w:afterLines="50" w:line="520" w:lineRule="exact"/>
        <w:jc w:val="left"/>
        <w:textAlignment w:val="auto"/>
        <w:outlineLvl w:val="9"/>
        <w:rPr>
          <w:rFonts w:hint="eastAsia" w:ascii="宋体" w:hAnsi="宋体" w:eastAsia="宋体" w:cs="宋体"/>
          <w:b/>
          <w:bCs/>
          <w:color w:val="auto"/>
          <w:sz w:val="24"/>
          <w:szCs w:val="24"/>
          <w:highlight w:val="none"/>
        </w:rPr>
      </w:pPr>
      <w:bookmarkStart w:id="54" w:name="_Toc14748"/>
      <w:bookmarkStart w:id="55" w:name="_Toc4908"/>
      <w:bookmarkStart w:id="56" w:name="_Toc17487"/>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）联系方法</w:t>
      </w:r>
      <w:bookmarkEnd w:id="54"/>
      <w:bookmarkEnd w:id="55"/>
      <w:bookmarkEnd w:id="56"/>
    </w:p>
    <w:p w14:paraId="00895681">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项目单位：</w:t>
      </w:r>
      <w:r>
        <w:rPr>
          <w:rFonts w:hint="eastAsia" w:ascii="宋体" w:hAnsi="宋体" w:cs="宋体"/>
          <w:color w:val="auto"/>
          <w:sz w:val="24"/>
          <w:szCs w:val="24"/>
          <w:highlight w:val="none"/>
          <w:lang w:eastAsia="zh-CN"/>
        </w:rPr>
        <w:t>滁州学院</w:t>
      </w:r>
    </w:p>
    <w:p w14:paraId="72DF21D8">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地址：安徽省滁州市会峰西路1号滁州学院会峰校区 </w:t>
      </w:r>
    </w:p>
    <w:p w14:paraId="58D33E7F">
      <w:pPr>
        <w:pStyle w:val="11"/>
        <w:keepNext w:val="0"/>
        <w:keepLines w:val="0"/>
        <w:pageBreakBefore w:val="0"/>
        <w:widowControl w:val="0"/>
        <w:kinsoku/>
        <w:overflowPunct/>
        <w:topLinePunct w:val="0"/>
        <w:bidi w:val="0"/>
        <w:snapToGrid/>
        <w:spacing w:line="5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采购联系人：</w:t>
      </w:r>
      <w:r>
        <w:rPr>
          <w:rFonts w:hint="eastAsia" w:ascii="宋体" w:hAnsi="宋体" w:cs="宋体"/>
          <w:color w:val="auto"/>
          <w:sz w:val="24"/>
          <w:szCs w:val="24"/>
          <w:highlight w:val="none"/>
          <w:lang w:eastAsia="zh-CN"/>
        </w:rPr>
        <w:t>尹老师</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李老师</w:t>
      </w:r>
    </w:p>
    <w:p w14:paraId="26864A91">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电话： </w:t>
      </w:r>
      <w:r>
        <w:rPr>
          <w:rFonts w:hint="eastAsia" w:ascii="宋体" w:hAnsi="宋体" w:cs="宋体"/>
          <w:color w:val="auto"/>
          <w:sz w:val="24"/>
          <w:szCs w:val="24"/>
          <w:highlight w:val="none"/>
          <w:lang w:val="en-US" w:eastAsia="zh-CN"/>
        </w:rPr>
        <w:t>0550-3512075</w:t>
      </w:r>
      <w:r>
        <w:rPr>
          <w:rFonts w:hint="eastAsia" w:ascii="宋体" w:hAnsi="宋体" w:cs="宋体"/>
          <w:color w:val="auto"/>
          <w:sz w:val="24"/>
          <w:szCs w:val="24"/>
          <w:highlight w:val="none"/>
        </w:rPr>
        <w:t>、0550-3512003</w:t>
      </w:r>
    </w:p>
    <w:p w14:paraId="77D1884A">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采购代理机构：安徽立地工程咨询有限公司</w:t>
      </w:r>
    </w:p>
    <w:p w14:paraId="5EC9EC9C">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地址：滁州市丰乐大道1899号皖东国际车城A区写字楼A6栋3楼</w:t>
      </w:r>
    </w:p>
    <w:p w14:paraId="5DD05304">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联系人：全晨曦</w:t>
      </w:r>
    </w:p>
    <w:p w14:paraId="2CF9C73B">
      <w:pPr>
        <w:keepNext w:val="0"/>
        <w:keepLines w:val="0"/>
        <w:pageBreakBefore w:val="0"/>
        <w:widowControl w:val="0"/>
        <w:kinsoku/>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电话：18075270227</w:t>
      </w:r>
    </w:p>
    <w:p w14:paraId="6A3DAF36">
      <w:pPr>
        <w:pStyle w:val="2"/>
        <w:keepNext/>
        <w:keepLines w:val="0"/>
        <w:pageBreakBefore/>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cs="宋体"/>
          <w:b/>
          <w:color w:val="auto"/>
          <w:sz w:val="32"/>
          <w:szCs w:val="32"/>
          <w:highlight w:val="none"/>
        </w:rPr>
      </w:pPr>
      <w:bookmarkStart w:id="57" w:name="_Toc28538"/>
      <w:bookmarkStart w:id="58" w:name="_Toc10648"/>
      <w:r>
        <w:rPr>
          <w:rFonts w:hint="eastAsia" w:ascii="宋体" w:hAnsi="宋体" w:cs="宋体"/>
          <w:b/>
          <w:color w:val="auto"/>
          <w:sz w:val="32"/>
          <w:szCs w:val="32"/>
          <w:highlight w:val="none"/>
          <w:lang w:val="en-US" w:eastAsia="zh-CN"/>
        </w:rPr>
        <w:t>第二章、</w:t>
      </w:r>
      <w:r>
        <w:rPr>
          <w:rFonts w:hint="eastAsia" w:ascii="宋体" w:hAnsi="宋体" w:cs="宋体"/>
          <w:b/>
          <w:color w:val="auto"/>
          <w:sz w:val="32"/>
          <w:szCs w:val="32"/>
          <w:highlight w:val="none"/>
        </w:rPr>
        <w:t>磋商须知前附表</w:t>
      </w:r>
      <w:bookmarkEnd w:id="57"/>
      <w:bookmarkEnd w:id="58"/>
    </w:p>
    <w:tbl>
      <w:tblPr>
        <w:tblStyle w:val="37"/>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15"/>
        <w:gridCol w:w="7905"/>
      </w:tblGrid>
      <w:tr w14:paraId="4FD7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6CCF303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15" w:type="dxa"/>
            <w:noWrap w:val="0"/>
            <w:vAlign w:val="center"/>
          </w:tcPr>
          <w:p w14:paraId="1C3FC91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905" w:type="dxa"/>
            <w:noWrap w:val="0"/>
            <w:vAlign w:val="center"/>
          </w:tcPr>
          <w:p w14:paraId="4C315AAC">
            <w:pPr>
              <w:pStyle w:val="100"/>
              <w:keepNext w:val="0"/>
              <w:keepLines w:val="0"/>
              <w:pageBreakBefore w:val="0"/>
              <w:widowControl w:val="0"/>
              <w:kinsoku/>
              <w:wordWrap/>
              <w:overflowPunct/>
              <w:topLinePunct w:val="0"/>
              <w:bidi w:val="0"/>
              <w:snapToGrid/>
              <w:spacing w:before="0" w:beforeAutospacing="0" w:after="0" w:afterAutospacing="0" w:line="44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说明与要求</w:t>
            </w:r>
          </w:p>
        </w:tc>
      </w:tr>
      <w:tr w14:paraId="0B95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7CE8689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815" w:type="dxa"/>
            <w:noWrap w:val="0"/>
            <w:vAlign w:val="center"/>
          </w:tcPr>
          <w:p w14:paraId="1618941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项目名称                              </w:t>
            </w:r>
          </w:p>
        </w:tc>
        <w:tc>
          <w:tcPr>
            <w:tcW w:w="7905" w:type="dxa"/>
            <w:noWrap w:val="0"/>
            <w:vAlign w:val="center"/>
          </w:tcPr>
          <w:p w14:paraId="288D1B5B">
            <w:pPr>
              <w:pStyle w:val="100"/>
              <w:keepNext w:val="0"/>
              <w:keepLines w:val="0"/>
              <w:pageBreakBefore w:val="0"/>
              <w:widowControl w:val="0"/>
              <w:kinsoku/>
              <w:wordWrap/>
              <w:overflowPunct/>
              <w:topLinePunct w:val="0"/>
              <w:bidi w:val="0"/>
              <w:snapToGrid/>
              <w:spacing w:before="0" w:beforeAutospacing="0" w:after="0" w:afterAutospacing="0" w:line="440" w:lineRule="exact"/>
              <w:jc w:val="both"/>
              <w:textAlignment w:val="auto"/>
              <w:rPr>
                <w:rFonts w:hint="eastAsia" w:ascii="宋体" w:hAnsi="宋体" w:eastAsia="宋体" w:cs="宋体"/>
                <w:b w:val="0"/>
                <w:bCs w:val="0"/>
                <w:color w:val="auto"/>
                <w:sz w:val="24"/>
                <w:szCs w:val="24"/>
                <w:highlight w:val="none"/>
              </w:rPr>
            </w:pPr>
            <w:r>
              <w:rPr>
                <w:rFonts w:hint="eastAsia" w:eastAsia="宋体" w:cs="宋体"/>
                <w:b w:val="0"/>
                <w:bCs w:val="0"/>
                <w:color w:val="auto"/>
                <w:kern w:val="2"/>
                <w:sz w:val="24"/>
                <w:szCs w:val="24"/>
                <w:highlight w:val="none"/>
                <w:lang w:eastAsia="zh-CN"/>
              </w:rPr>
              <w:t>滁州学院2026年会峰校区供水管网物探、测绘及基础信息建设服务项目</w:t>
            </w:r>
            <w:r>
              <w:rPr>
                <w:rFonts w:hint="eastAsia" w:ascii="宋体" w:hAnsi="宋体" w:eastAsia="宋体" w:cs="宋体"/>
                <w:b w:val="0"/>
                <w:bCs w:val="0"/>
                <w:color w:val="auto"/>
                <w:kern w:val="2"/>
                <w:sz w:val="24"/>
                <w:szCs w:val="24"/>
                <w:highlight w:val="none"/>
              </w:rPr>
              <w:t xml:space="preserve"> </w:t>
            </w:r>
          </w:p>
        </w:tc>
      </w:tr>
      <w:tr w14:paraId="2268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20" w:type="dxa"/>
            <w:noWrap w:val="0"/>
            <w:vAlign w:val="center"/>
          </w:tcPr>
          <w:p w14:paraId="6CBBDDB6">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815" w:type="dxa"/>
            <w:noWrap w:val="0"/>
            <w:vAlign w:val="center"/>
          </w:tcPr>
          <w:p w14:paraId="04A989A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tc>
        <w:tc>
          <w:tcPr>
            <w:tcW w:w="7905" w:type="dxa"/>
            <w:noWrap w:val="0"/>
            <w:vAlign w:val="center"/>
          </w:tcPr>
          <w:p w14:paraId="64A987DB">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2026CG-007</w:t>
            </w:r>
          </w:p>
        </w:tc>
      </w:tr>
      <w:tr w14:paraId="1626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633A7264">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815" w:type="dxa"/>
            <w:noWrap w:val="0"/>
            <w:vAlign w:val="center"/>
          </w:tcPr>
          <w:p w14:paraId="3B2E10F5">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w:t>
            </w:r>
          </w:p>
        </w:tc>
        <w:tc>
          <w:tcPr>
            <w:tcW w:w="7905" w:type="dxa"/>
            <w:noWrap w:val="0"/>
            <w:vAlign w:val="center"/>
          </w:tcPr>
          <w:p w14:paraId="57E854E8">
            <w:pPr>
              <w:pStyle w:val="100"/>
              <w:keepNext w:val="0"/>
              <w:keepLines w:val="0"/>
              <w:pageBreakBefore w:val="0"/>
              <w:widowControl w:val="0"/>
              <w:kinsoku/>
              <w:wordWrap/>
              <w:overflowPunct/>
              <w:topLinePunct w:val="0"/>
              <w:bidi w:val="0"/>
              <w:snapToGrid/>
              <w:spacing w:before="0" w:beforeAutospacing="0" w:after="0" w:afterAutospacing="0" w:line="440" w:lineRule="exact"/>
              <w:jc w:val="both"/>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名称：</w:t>
            </w:r>
            <w:r>
              <w:rPr>
                <w:rFonts w:hint="eastAsia" w:eastAsia="宋体" w:cs="宋体"/>
                <w:b w:val="0"/>
                <w:bCs w:val="0"/>
                <w:color w:val="auto"/>
                <w:kern w:val="2"/>
                <w:sz w:val="24"/>
                <w:szCs w:val="24"/>
                <w:highlight w:val="none"/>
                <w:lang w:eastAsia="zh-CN"/>
              </w:rPr>
              <w:t>滁州学院</w:t>
            </w:r>
          </w:p>
          <w:p w14:paraId="655FB973">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地址：安徽省滁州市会峰西路1号滁州学院会峰校区 </w:t>
            </w:r>
          </w:p>
          <w:p w14:paraId="5CFD4F8E">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尹老师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李老师</w:t>
            </w:r>
          </w:p>
          <w:p w14:paraId="7D35EC72">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u w:val="none" w:color="000000"/>
                <w:lang w:val="en-US" w:eastAsia="zh-CN"/>
              </w:rPr>
              <w:t>0550-3512075</w:t>
            </w:r>
            <w:r>
              <w:rPr>
                <w:rFonts w:hint="eastAsia" w:ascii="宋体" w:hAnsi="宋体" w:eastAsia="宋体" w:cs="宋体"/>
                <w:color w:val="auto"/>
                <w:sz w:val="24"/>
                <w:szCs w:val="24"/>
                <w:highlight w:val="none"/>
                <w:u w:val="none" w:color="000000"/>
              </w:rPr>
              <w:t>、0550-3512003</w:t>
            </w:r>
          </w:p>
        </w:tc>
      </w:tr>
      <w:tr w14:paraId="534D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5B44CAE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815" w:type="dxa"/>
            <w:noWrap w:val="0"/>
            <w:vAlign w:val="center"/>
          </w:tcPr>
          <w:p w14:paraId="3F8BD17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采购代理机构</w:t>
            </w:r>
          </w:p>
        </w:tc>
        <w:tc>
          <w:tcPr>
            <w:tcW w:w="7905" w:type="dxa"/>
            <w:noWrap w:val="0"/>
            <w:vAlign w:val="center"/>
          </w:tcPr>
          <w:p w14:paraId="3657A188">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名称：安徽立地工程咨询有限公司</w:t>
            </w:r>
          </w:p>
          <w:p w14:paraId="7459ABC7">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地址：滁州市丰乐大道1899号皖东国际车城A区写字楼A6栋3楼</w:t>
            </w:r>
          </w:p>
          <w:p w14:paraId="639CBEB5">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联系人：全晨曦</w:t>
            </w:r>
          </w:p>
          <w:p w14:paraId="1A20A998">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电话：18075270227</w:t>
            </w:r>
          </w:p>
        </w:tc>
      </w:tr>
      <w:tr w14:paraId="16B9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58016C6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815" w:type="dxa"/>
            <w:noWrap w:val="0"/>
            <w:vAlign w:val="center"/>
          </w:tcPr>
          <w:p w14:paraId="237085C0">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供应商资质</w:t>
            </w:r>
          </w:p>
        </w:tc>
        <w:tc>
          <w:tcPr>
            <w:tcW w:w="7905" w:type="dxa"/>
            <w:noWrap w:val="0"/>
            <w:vAlign w:val="center"/>
          </w:tcPr>
          <w:p w14:paraId="5A4975D5">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1、供应商必须具有承担民事责任能力，且具有有效的营业执照（或三证合一有效证件）；</w:t>
            </w:r>
          </w:p>
          <w:p w14:paraId="48168CCB">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2、本项目的资格要求：供应商须具有自然资源主管部门颁发的测绘乙级及以上资质；</w:t>
            </w:r>
          </w:p>
          <w:p w14:paraId="61842A50">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3、本项目负责人资格要求：供应商拟派本项目负责人须具有中华人民共和国注册测绘师资格证书；</w:t>
            </w:r>
          </w:p>
          <w:p w14:paraId="6FF21734">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w:t>
            </w:r>
          </w:p>
          <w:p w14:paraId="596905AC">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5、信誉要求：供应商不得存在以下情形：</w:t>
            </w:r>
          </w:p>
          <w:p w14:paraId="13102E76">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①被列入“信用中国”网站“失信被执行人”的；</w:t>
            </w:r>
          </w:p>
          <w:p w14:paraId="222DE522">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②被列入“信用中国”网站“重大税收违法失信主体”的； </w:t>
            </w:r>
          </w:p>
          <w:p w14:paraId="4BC37574">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③被列入“信用中国”网站 “严重失信主体名单”的； </w:t>
            </w:r>
          </w:p>
          <w:p w14:paraId="34A8F0AB">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④在“信用中国”网站上披露的仍在公示期的严重失信行为(具体行为类别及判定依据见“信用中国”查询的严重失信行为类别及判定依据)的。 </w:t>
            </w:r>
          </w:p>
          <w:p w14:paraId="5C567206">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⑤被列入国家企业信用信息公示系统网站“经营异常名录”或者“严重违法失信名单”的。</w:t>
            </w:r>
          </w:p>
          <w:p w14:paraId="67F4B641">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⑥被列入中国政府采购网站“政府采购严重违法失信行为信息记录”的。 </w:t>
            </w:r>
          </w:p>
          <w:p w14:paraId="2C9203C2">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⑦前三年有行贿犯罪行为的单位和个人。 </w:t>
            </w:r>
          </w:p>
          <w:p w14:paraId="774B4BC8">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lang w:val="en-US" w:eastAsia="zh-CN"/>
              </w:rPr>
              <w:t>6.供应商所属分公司、办事处等分支机构存在第5条信誉要求①-⑦项情形之一的，接受供应商参加本项目。 备注：第4、5条按照“关于联合惩戒失信行为加强信用查询管理的通知”查询或承诺。</w:t>
            </w:r>
          </w:p>
        </w:tc>
      </w:tr>
      <w:tr w14:paraId="19D4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noWrap w:val="0"/>
            <w:vAlign w:val="center"/>
          </w:tcPr>
          <w:p w14:paraId="701140D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815" w:type="dxa"/>
            <w:noWrap w:val="0"/>
            <w:vAlign w:val="center"/>
          </w:tcPr>
          <w:p w14:paraId="4F9E747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7905" w:type="dxa"/>
            <w:noWrap w:val="0"/>
            <w:vAlign w:val="center"/>
          </w:tcPr>
          <w:p w14:paraId="74126314">
            <w:pPr>
              <w:pStyle w:val="100"/>
              <w:keepNext w:val="0"/>
              <w:keepLines w:val="0"/>
              <w:pageBreakBefore w:val="0"/>
              <w:widowControl w:val="0"/>
              <w:kinsoku/>
              <w:wordWrap/>
              <w:overflowPunct/>
              <w:topLinePunct w:val="0"/>
              <w:bidi w:val="0"/>
              <w:snapToGrid/>
              <w:spacing w:before="0" w:beforeAutospacing="0" w:after="0" w:afterAutospacing="0" w:line="44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sym w:font="Wingdings 2" w:char="0052"/>
            </w:r>
            <w:r>
              <w:rPr>
                <w:rFonts w:hint="eastAsia" w:ascii="宋体" w:hAnsi="宋体" w:eastAsia="宋体" w:cs="宋体"/>
                <w:b w:val="0"/>
                <w:bCs w:val="0"/>
                <w:color w:val="auto"/>
                <w:kern w:val="2"/>
                <w:sz w:val="24"/>
                <w:szCs w:val="24"/>
                <w:highlight w:val="none"/>
              </w:rPr>
              <w:t xml:space="preserve">财政投资  </w:t>
            </w: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eq \o\ac(</w:instrText>
            </w:r>
            <w:r>
              <w:rPr>
                <w:rFonts w:hint="eastAsia" w:ascii="宋体" w:hAnsi="宋体" w:eastAsia="宋体" w:cs="宋体"/>
                <w:b w:val="0"/>
                <w:bCs w:val="0"/>
                <w:color w:val="auto"/>
                <w:kern w:val="2"/>
                <w:position w:val="-4"/>
                <w:sz w:val="36"/>
                <w:szCs w:val="24"/>
                <w:highlight w:val="none"/>
              </w:rPr>
              <w:instrText xml:space="preserve">□</w:instrText>
            </w:r>
            <w:r>
              <w:rPr>
                <w:rFonts w:hint="eastAsia" w:ascii="宋体" w:hAnsi="宋体" w:eastAsia="宋体" w:cs="宋体"/>
                <w:b w:val="0"/>
                <w:bCs w:val="0"/>
                <w:color w:val="auto"/>
                <w:kern w:val="2"/>
                <w:position w:val="0"/>
                <w:sz w:val="24"/>
                <w:szCs w:val="24"/>
                <w:highlight w:val="none"/>
              </w:rPr>
              <w:instrText xml:space="preserve">)</w:instrText>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kern w:val="2"/>
                <w:sz w:val="24"/>
                <w:szCs w:val="24"/>
                <w:highlight w:val="none"/>
              </w:rPr>
              <w:t>采购人自筹   □其他</w:t>
            </w:r>
          </w:p>
        </w:tc>
      </w:tr>
      <w:tr w14:paraId="3C2F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noWrap w:val="0"/>
            <w:vAlign w:val="center"/>
          </w:tcPr>
          <w:p w14:paraId="7C9B873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15" w:type="dxa"/>
            <w:noWrap w:val="0"/>
            <w:vAlign w:val="top"/>
          </w:tcPr>
          <w:p w14:paraId="312484B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标段划分</w:t>
            </w:r>
          </w:p>
        </w:tc>
        <w:tc>
          <w:tcPr>
            <w:tcW w:w="7905" w:type="dxa"/>
            <w:noWrap w:val="0"/>
            <w:vAlign w:val="center"/>
          </w:tcPr>
          <w:p w14:paraId="1026E698">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□不分包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分为1个包</w:t>
            </w:r>
          </w:p>
        </w:tc>
      </w:tr>
      <w:tr w14:paraId="3C3C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4096D479">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15" w:type="dxa"/>
            <w:noWrap w:val="0"/>
            <w:vAlign w:val="center"/>
          </w:tcPr>
          <w:p w14:paraId="5079E1F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付款方式</w:t>
            </w:r>
          </w:p>
        </w:tc>
        <w:tc>
          <w:tcPr>
            <w:tcW w:w="7905" w:type="dxa"/>
            <w:noWrap w:val="0"/>
            <w:vAlign w:val="center"/>
          </w:tcPr>
          <w:p w14:paraId="78682982">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项目完工并验收合格后付至</w:t>
            </w:r>
            <w:r>
              <w:rPr>
                <w:rFonts w:hint="eastAsia" w:ascii="宋体" w:hAnsi="宋体" w:cs="宋体"/>
                <w:b/>
                <w:bCs/>
                <w:color w:val="auto"/>
                <w:sz w:val="24"/>
                <w:szCs w:val="24"/>
                <w:highlight w:val="none"/>
                <w:lang w:val="en-US" w:eastAsia="zh-CN"/>
              </w:rPr>
              <w:t>合同价</w:t>
            </w:r>
            <w:r>
              <w:rPr>
                <w:rFonts w:hint="eastAsia" w:ascii="宋体" w:hAnsi="宋体" w:eastAsia="宋体" w:cs="宋体"/>
                <w:b/>
                <w:bCs/>
                <w:color w:val="auto"/>
                <w:sz w:val="24"/>
                <w:szCs w:val="24"/>
                <w:highlight w:val="none"/>
                <w:lang w:val="zh-CN" w:eastAsia="zh-CN"/>
              </w:rPr>
              <w:t>的100%</w:t>
            </w:r>
            <w:r>
              <w:rPr>
                <w:rFonts w:hint="eastAsia" w:ascii="宋体" w:hAnsi="宋体" w:cs="宋体"/>
                <w:b/>
                <w:bCs/>
                <w:color w:val="auto"/>
                <w:sz w:val="24"/>
                <w:szCs w:val="24"/>
                <w:highlight w:val="none"/>
                <w:lang w:val="zh-CN" w:eastAsia="zh-CN"/>
              </w:rPr>
              <w:t>。</w:t>
            </w:r>
          </w:p>
        </w:tc>
      </w:tr>
      <w:tr w14:paraId="4830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1303CD8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15" w:type="dxa"/>
            <w:noWrap w:val="0"/>
            <w:vAlign w:val="center"/>
          </w:tcPr>
          <w:p w14:paraId="2B7ACB9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联合体磋商</w:t>
            </w:r>
          </w:p>
        </w:tc>
        <w:tc>
          <w:tcPr>
            <w:tcW w:w="7905" w:type="dxa"/>
            <w:noWrap w:val="0"/>
            <w:vAlign w:val="center"/>
          </w:tcPr>
          <w:p w14:paraId="46DB2136">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不允许</w:t>
            </w:r>
          </w:p>
        </w:tc>
      </w:tr>
      <w:tr w14:paraId="5D67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noWrap w:val="0"/>
            <w:vAlign w:val="center"/>
          </w:tcPr>
          <w:p w14:paraId="6B52F3E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15" w:type="dxa"/>
            <w:noWrap w:val="0"/>
            <w:vAlign w:val="center"/>
          </w:tcPr>
          <w:p w14:paraId="6CA05B3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7905" w:type="dxa"/>
            <w:noWrap w:val="0"/>
            <w:vAlign w:val="center"/>
          </w:tcPr>
          <w:p w14:paraId="3DA70E02">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60日历天（从提交响应文件截止之日算起）</w:t>
            </w:r>
          </w:p>
        </w:tc>
      </w:tr>
      <w:tr w14:paraId="7451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68AE424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15" w:type="dxa"/>
            <w:noWrap w:val="0"/>
            <w:vAlign w:val="center"/>
          </w:tcPr>
          <w:p w14:paraId="4D6E8606">
            <w:pPr>
              <w:pStyle w:val="18"/>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u w:val="none" w:color="000000"/>
                <w:shd w:val="clear" w:color="auto" w:fill="FFFFFF"/>
              </w:rPr>
              <w:t>合同履行期限</w:t>
            </w:r>
          </w:p>
        </w:tc>
        <w:tc>
          <w:tcPr>
            <w:tcW w:w="7905" w:type="dxa"/>
            <w:noWrap w:val="0"/>
            <w:vAlign w:val="center"/>
          </w:tcPr>
          <w:p w14:paraId="4940524B">
            <w:pPr>
              <w:pStyle w:val="11"/>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cs="宋体"/>
                <w:b w:val="0"/>
                <w:bCs w:val="0"/>
                <w:color w:val="auto"/>
                <w:sz w:val="24"/>
                <w:szCs w:val="24"/>
                <w:highlight w:val="none"/>
                <w:lang w:val="en-US" w:eastAsia="zh-CN"/>
              </w:rPr>
              <w:t>合同签订后，根据采购人通知进场后50个日历天完成本项目所有服务，具体进场时间以采购人通知时间为准</w:t>
            </w:r>
            <w:r>
              <w:rPr>
                <w:rFonts w:hint="eastAsia" w:ascii="宋体" w:hAnsi="宋体" w:eastAsia="宋体" w:cs="宋体"/>
                <w:b w:val="0"/>
                <w:bCs w:val="0"/>
                <w:color w:val="auto"/>
                <w:sz w:val="24"/>
                <w:szCs w:val="24"/>
                <w:highlight w:val="none"/>
                <w:lang w:val="en-US" w:eastAsia="zh-CN"/>
              </w:rPr>
              <w:t>。</w:t>
            </w:r>
          </w:p>
        </w:tc>
      </w:tr>
      <w:tr w14:paraId="021D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0" w:type="dxa"/>
            <w:noWrap w:val="0"/>
            <w:vAlign w:val="center"/>
          </w:tcPr>
          <w:p w14:paraId="5DC1604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15" w:type="dxa"/>
            <w:noWrap w:val="0"/>
            <w:vAlign w:val="center"/>
          </w:tcPr>
          <w:p w14:paraId="10D07AC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磋商保证金金额</w:t>
            </w:r>
          </w:p>
        </w:tc>
        <w:tc>
          <w:tcPr>
            <w:tcW w:w="7905" w:type="dxa"/>
            <w:noWrap w:val="0"/>
            <w:vAlign w:val="center"/>
          </w:tcPr>
          <w:p w14:paraId="1AF72CD9">
            <w:pPr>
              <w:pStyle w:val="13"/>
              <w:keepNext w:val="0"/>
              <w:keepLines w:val="0"/>
              <w:pageBreakBefore w:val="0"/>
              <w:widowControl w:val="0"/>
              <w:kinsoku/>
              <w:wordWrap/>
              <w:overflowPunct/>
              <w:topLinePunct w:val="0"/>
              <w:bidi w:val="0"/>
              <w:snapToGrid/>
              <w:spacing w:after="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本项目不采用</w:t>
            </w:r>
          </w:p>
        </w:tc>
      </w:tr>
      <w:tr w14:paraId="5B2E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0" w:type="dxa"/>
            <w:noWrap w:val="0"/>
            <w:vAlign w:val="center"/>
          </w:tcPr>
          <w:p w14:paraId="32BEE98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15" w:type="dxa"/>
            <w:noWrap w:val="0"/>
            <w:vAlign w:val="center"/>
          </w:tcPr>
          <w:p w14:paraId="422FB88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质疑和答疑</w:t>
            </w:r>
          </w:p>
        </w:tc>
        <w:tc>
          <w:tcPr>
            <w:tcW w:w="7905" w:type="dxa"/>
            <w:noWrap w:val="0"/>
            <w:vAlign w:val="center"/>
          </w:tcPr>
          <w:p w14:paraId="3BFEDFCB">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请于</w:t>
            </w:r>
            <w:r>
              <w:rPr>
                <w:rFonts w:hint="eastAsia" w:ascii="宋体" w:hAnsi="宋体" w:cs="宋体"/>
                <w:b/>
                <w:color w:val="auto"/>
                <w:sz w:val="24"/>
                <w:szCs w:val="24"/>
                <w:highlight w:val="none"/>
                <w:lang w:eastAsia="zh-CN"/>
              </w:rPr>
              <w:t>2026年</w:t>
            </w: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lang w:eastAsia="zh-CN"/>
              </w:rPr>
              <w:t>月</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lang w:eastAsia="zh-CN"/>
              </w:rPr>
              <w:t>日</w:t>
            </w:r>
            <w:r>
              <w:rPr>
                <w:rStyle w:val="47"/>
                <w:rFonts w:hint="eastAsia" w:ascii="宋体" w:hAnsi="宋体" w:eastAsia="宋体" w:cs="宋体"/>
                <w:b/>
                <w:color w:val="auto"/>
                <w:sz w:val="24"/>
                <w:szCs w:val="24"/>
                <w:highlight w:val="none"/>
                <w:u w:val="none"/>
              </w:rPr>
              <w:t>17时前</w:t>
            </w:r>
            <w:r>
              <w:rPr>
                <w:rStyle w:val="47"/>
                <w:rFonts w:hint="eastAsia" w:ascii="宋体" w:hAnsi="宋体" w:eastAsia="宋体" w:cs="宋体"/>
                <w:bCs/>
                <w:color w:val="auto"/>
                <w:sz w:val="24"/>
                <w:szCs w:val="24"/>
                <w:highlight w:val="none"/>
                <w:u w:val="none"/>
              </w:rPr>
              <w:t>，将疑问以书面形式（加盖公章）送至资产与实验室管理处（会峰校区行政楼220）或以邮件的形式发送至（ahldzb@126.com）代理邮箱，采购人将在</w:t>
            </w:r>
            <w:r>
              <w:rPr>
                <w:rStyle w:val="47"/>
                <w:rFonts w:hint="eastAsia" w:ascii="宋体" w:hAnsi="宋体" w:cs="宋体"/>
                <w:b/>
                <w:color w:val="auto"/>
                <w:sz w:val="24"/>
                <w:szCs w:val="24"/>
                <w:highlight w:val="none"/>
                <w:u w:val="none"/>
                <w:lang w:eastAsia="zh-CN"/>
              </w:rPr>
              <w:t>2026年6月</w:t>
            </w:r>
            <w:r>
              <w:rPr>
                <w:rStyle w:val="47"/>
                <w:rFonts w:hint="eastAsia" w:ascii="宋体" w:hAnsi="宋体" w:cs="宋体"/>
                <w:b/>
                <w:color w:val="auto"/>
                <w:sz w:val="24"/>
                <w:szCs w:val="24"/>
                <w:highlight w:val="none"/>
                <w:u w:val="none"/>
                <w:lang w:val="en-US" w:eastAsia="zh-CN"/>
              </w:rPr>
              <w:t>3</w:t>
            </w:r>
            <w:r>
              <w:rPr>
                <w:rStyle w:val="47"/>
                <w:rFonts w:hint="eastAsia" w:ascii="宋体" w:hAnsi="宋体" w:cs="宋体"/>
                <w:b/>
                <w:color w:val="auto"/>
                <w:sz w:val="24"/>
                <w:szCs w:val="24"/>
                <w:highlight w:val="none"/>
                <w:u w:val="none"/>
                <w:lang w:eastAsia="zh-CN"/>
              </w:rPr>
              <w:t>日</w:t>
            </w:r>
            <w:r>
              <w:rPr>
                <w:rFonts w:hint="eastAsia" w:ascii="宋体" w:hAnsi="宋体" w:eastAsia="宋体" w:cs="宋体"/>
                <w:b/>
                <w:color w:val="auto"/>
                <w:sz w:val="24"/>
                <w:szCs w:val="24"/>
                <w:highlight w:val="none"/>
              </w:rPr>
              <w:t>17时前</w:t>
            </w:r>
            <w:r>
              <w:rPr>
                <w:rFonts w:hint="eastAsia" w:ascii="宋体" w:hAnsi="宋体" w:eastAsia="宋体" w:cs="宋体"/>
                <w:bCs/>
                <w:color w:val="auto"/>
                <w:sz w:val="24"/>
                <w:szCs w:val="24"/>
                <w:highlight w:val="none"/>
              </w:rPr>
              <w:t>以澄清公告形式在滁州学院网站（http://zcc.chzu.edu.cn）资产与实验室管理处网页采购公告栏处予以公告，请各潜在供应商注意查看有关澄清内容，如不及时查看造成后果由供应商自负。</w:t>
            </w:r>
          </w:p>
          <w:p w14:paraId="79661387">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供应商请注意：</w:t>
            </w:r>
            <w:r>
              <w:rPr>
                <w:rFonts w:hint="eastAsia" w:ascii="宋体" w:hAnsi="宋体" w:eastAsia="宋体" w:cs="宋体"/>
                <w:bCs/>
                <w:color w:val="auto"/>
                <w:sz w:val="24"/>
                <w:szCs w:val="24"/>
                <w:highlight w:val="none"/>
              </w:rPr>
              <w:t>采购代理机构对磋商文件进行的澄清、更正或更改，将在网站上及时发布，该公告内容为磋商文件的组成部分，对供应商具有同样约束力效力。供应商应主动上网查询。采购代理机构不承担供应商未及时关注相关信息引发的相关责任。</w:t>
            </w:r>
          </w:p>
        </w:tc>
      </w:tr>
      <w:tr w14:paraId="45AE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775A272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15" w:type="dxa"/>
            <w:noWrap w:val="0"/>
            <w:vAlign w:val="center"/>
          </w:tcPr>
          <w:p w14:paraId="2DBC0A9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勘查现场</w:t>
            </w:r>
          </w:p>
        </w:tc>
        <w:tc>
          <w:tcPr>
            <w:tcW w:w="7905" w:type="dxa"/>
            <w:noWrap w:val="0"/>
            <w:vAlign w:val="center"/>
          </w:tcPr>
          <w:p w14:paraId="4B705623">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t>不组织勘察；</w:t>
            </w:r>
            <w:r>
              <w:rPr>
                <w:rFonts w:hint="eastAsia" w:ascii="宋体" w:hAnsi="宋体" w:eastAsia="宋体" w:cs="宋体"/>
                <w:color w:val="auto"/>
                <w:sz w:val="24"/>
                <w:szCs w:val="24"/>
                <w:highlight w:val="none"/>
              </w:rPr>
              <w:t>可自行勘察，</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p>
        </w:tc>
      </w:tr>
      <w:tr w14:paraId="14BF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1881715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15" w:type="dxa"/>
            <w:noWrap w:val="0"/>
            <w:vAlign w:val="center"/>
          </w:tcPr>
          <w:p w14:paraId="627D33A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响应文件份数</w:t>
            </w:r>
          </w:p>
        </w:tc>
        <w:tc>
          <w:tcPr>
            <w:tcW w:w="7905" w:type="dxa"/>
            <w:noWrap w:val="0"/>
            <w:vAlign w:val="center"/>
          </w:tcPr>
          <w:p w14:paraId="289E4F79">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正本壹份，副本贰份。</w:t>
            </w:r>
          </w:p>
        </w:tc>
      </w:tr>
      <w:tr w14:paraId="30B1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48530E63">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815" w:type="dxa"/>
            <w:noWrap w:val="0"/>
            <w:vAlign w:val="center"/>
          </w:tcPr>
          <w:p w14:paraId="083CD7D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封套上写明</w:t>
            </w:r>
          </w:p>
        </w:tc>
        <w:tc>
          <w:tcPr>
            <w:tcW w:w="7905" w:type="dxa"/>
            <w:noWrap w:val="0"/>
            <w:vAlign w:val="center"/>
          </w:tcPr>
          <w:p w14:paraId="420F935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1、供应商名称以及标注“正本”或 “副本”字样，密封处应加盖单位公章。</w:t>
            </w:r>
          </w:p>
          <w:p w14:paraId="5AEA195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2、项目名称：                        </w:t>
            </w:r>
          </w:p>
          <w:p w14:paraId="24805D41">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3、项目编号：                       </w:t>
            </w:r>
          </w:p>
          <w:p w14:paraId="04C2B78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4、标明 “请勿在（填入前附表中规定的磋商日期和时间）之前启封”字样。</w:t>
            </w:r>
          </w:p>
          <w:p w14:paraId="19962537">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 xml:space="preserve">5、供应商名称：  </w:t>
            </w:r>
          </w:p>
        </w:tc>
      </w:tr>
      <w:tr w14:paraId="69E5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19960C28">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w:t>
            </w:r>
          </w:p>
        </w:tc>
        <w:tc>
          <w:tcPr>
            <w:tcW w:w="1815" w:type="dxa"/>
            <w:noWrap w:val="0"/>
            <w:vAlign w:val="center"/>
          </w:tcPr>
          <w:p w14:paraId="5B61C24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装订、密封要求</w:t>
            </w:r>
          </w:p>
        </w:tc>
        <w:tc>
          <w:tcPr>
            <w:tcW w:w="7905" w:type="dxa"/>
            <w:noWrap w:val="0"/>
            <w:vAlign w:val="center"/>
          </w:tcPr>
          <w:p w14:paraId="27221437">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磋商文件的正本和副本应采用胶装（或其他方式）左侧装订，不得采用活页夹等可随时拆换的方式装订，不得有零散页。磋商文件应按照“磋商文件格式”的目录次序装订。</w:t>
            </w:r>
            <w:r>
              <w:rPr>
                <w:rFonts w:hint="eastAsia" w:ascii="宋体" w:hAnsi="宋体" w:eastAsia="宋体" w:cs="宋体"/>
                <w:b/>
                <w:bCs/>
                <w:color w:val="auto"/>
                <w:sz w:val="24"/>
                <w:szCs w:val="24"/>
                <w:highlight w:val="none"/>
              </w:rPr>
              <w:t>资格证明文件正副本密封在资格证明文件袋内，技术标正副本密封在技术标文件袋内，商务标正副本密封在商务标文件袋内。</w:t>
            </w:r>
          </w:p>
        </w:tc>
      </w:tr>
      <w:tr w14:paraId="2365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20" w:type="dxa"/>
            <w:noWrap w:val="0"/>
            <w:vAlign w:val="center"/>
          </w:tcPr>
          <w:p w14:paraId="7F9CCDE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815" w:type="dxa"/>
            <w:noWrap w:val="0"/>
            <w:vAlign w:val="center"/>
          </w:tcPr>
          <w:p w14:paraId="6D1040D3">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最高限价</w:t>
            </w:r>
          </w:p>
        </w:tc>
        <w:tc>
          <w:tcPr>
            <w:tcW w:w="7905" w:type="dxa"/>
            <w:noWrap w:val="0"/>
            <w:vAlign w:val="center"/>
          </w:tcPr>
          <w:p w14:paraId="795C2018">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，供应商的响应报价不得高于采购人发布的最高限价，否则按无效响应处理</w:t>
            </w:r>
            <w:r>
              <w:rPr>
                <w:rFonts w:hint="eastAsia" w:ascii="宋体" w:hAnsi="宋体" w:cs="宋体"/>
                <w:color w:val="auto"/>
                <w:sz w:val="24"/>
                <w:szCs w:val="24"/>
                <w:highlight w:val="none"/>
                <w:lang w:val="en-US" w:eastAsia="zh-CN"/>
              </w:rPr>
              <w:t>。</w:t>
            </w:r>
          </w:p>
        </w:tc>
      </w:tr>
      <w:tr w14:paraId="291A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0480248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815" w:type="dxa"/>
            <w:noWrap w:val="0"/>
            <w:vAlign w:val="center"/>
          </w:tcPr>
          <w:p w14:paraId="284C9A2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磋商文件提交截止时间、地点及递交方式</w:t>
            </w:r>
          </w:p>
        </w:tc>
        <w:tc>
          <w:tcPr>
            <w:tcW w:w="7905" w:type="dxa"/>
            <w:noWrap w:val="0"/>
            <w:vAlign w:val="center"/>
          </w:tcPr>
          <w:p w14:paraId="49E3CA5E">
            <w:pPr>
              <w:pStyle w:val="13"/>
              <w:keepNext w:val="0"/>
              <w:keepLines w:val="0"/>
              <w:pageBreakBefore w:val="0"/>
              <w:widowControl w:val="0"/>
              <w:kinsoku/>
              <w:wordWrap/>
              <w:overflowPunct/>
              <w:topLinePunct w:val="0"/>
              <w:bidi w:val="0"/>
              <w:snapToGrid/>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收件人：安徽立地工程咨询有限公司</w:t>
            </w:r>
          </w:p>
          <w:p w14:paraId="2D6536D7">
            <w:pPr>
              <w:pStyle w:val="13"/>
              <w:keepNext w:val="0"/>
              <w:keepLines w:val="0"/>
              <w:pageBreakBefore w:val="0"/>
              <w:widowControl w:val="0"/>
              <w:kinsoku/>
              <w:wordWrap/>
              <w:overflowPunct/>
              <w:topLinePunct w:val="0"/>
              <w:bidi w:val="0"/>
              <w:snapToGrid/>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磋商提交截止时间：</w:t>
            </w:r>
            <w:r>
              <w:rPr>
                <w:rFonts w:hint="eastAsia" w:ascii="宋体" w:hAnsi="宋体" w:cs="宋体"/>
                <w:b/>
                <w:bCs/>
                <w:color w:val="auto"/>
                <w:sz w:val="24"/>
                <w:szCs w:val="24"/>
                <w:highlight w:val="none"/>
                <w:lang w:eastAsia="zh-CN"/>
              </w:rPr>
              <w:t>2026年6月9日15时00分</w:t>
            </w:r>
          </w:p>
          <w:p w14:paraId="6F9D54A3">
            <w:pPr>
              <w:keepNext w:val="0"/>
              <w:keepLines w:val="0"/>
              <w:pageBreakBefore w:val="0"/>
              <w:widowControl w:val="0"/>
              <w:kinsoku/>
              <w:wordWrap w:val="0"/>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磋商地点：滁州市丰乐大道1899号皖东国际车城A区写字楼A6栋3楼会议室</w:t>
            </w:r>
          </w:p>
        </w:tc>
      </w:tr>
      <w:tr w14:paraId="4B00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250484DF">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815" w:type="dxa"/>
            <w:noWrap w:val="0"/>
            <w:vAlign w:val="center"/>
          </w:tcPr>
          <w:p w14:paraId="5ADC0D1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开启</w:t>
            </w:r>
            <w:r>
              <w:rPr>
                <w:rFonts w:hint="eastAsia" w:ascii="宋体" w:hAnsi="宋体" w:eastAsia="宋体" w:cs="宋体"/>
                <w:color w:val="auto"/>
                <w:sz w:val="24"/>
                <w:szCs w:val="24"/>
                <w:highlight w:val="none"/>
              </w:rPr>
              <w:t>时间及地点</w:t>
            </w:r>
          </w:p>
        </w:tc>
        <w:tc>
          <w:tcPr>
            <w:tcW w:w="7905" w:type="dxa"/>
            <w:noWrap w:val="0"/>
            <w:vAlign w:val="center"/>
          </w:tcPr>
          <w:p w14:paraId="5AAA11F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磋商时间：同磋商截止时间</w:t>
            </w:r>
          </w:p>
          <w:p w14:paraId="1129A317">
            <w:pPr>
              <w:keepNext w:val="0"/>
              <w:keepLines w:val="0"/>
              <w:pageBreakBefore w:val="0"/>
              <w:widowControl w:val="0"/>
              <w:kinsoku/>
              <w:wordWrap w:val="0"/>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磋商地点：滁州市丰乐大道1899号皖东国际车城A区写字楼A6栋3楼会议室</w:t>
            </w:r>
          </w:p>
        </w:tc>
      </w:tr>
      <w:tr w14:paraId="22E2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16DD014D">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815" w:type="dxa"/>
            <w:noWrap w:val="0"/>
            <w:vAlign w:val="center"/>
          </w:tcPr>
          <w:p w14:paraId="58078355">
            <w:pPr>
              <w:pStyle w:val="18"/>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磋商小组的组建</w:t>
            </w:r>
          </w:p>
        </w:tc>
        <w:tc>
          <w:tcPr>
            <w:tcW w:w="7905" w:type="dxa"/>
            <w:noWrap w:val="0"/>
            <w:vAlign w:val="center"/>
          </w:tcPr>
          <w:p w14:paraId="7266132E">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磋商小组由采购人</w:t>
            </w:r>
            <w:r>
              <w:rPr>
                <w:rFonts w:hint="eastAsia" w:ascii="宋体" w:hAnsi="宋体" w:eastAsia="宋体" w:cs="宋体"/>
                <w:b/>
                <w:bCs/>
                <w:color w:val="auto"/>
                <w:sz w:val="24"/>
                <w:szCs w:val="24"/>
                <w:highlight w:val="none"/>
                <w:lang w:val="en-US" w:eastAsia="zh-CN"/>
              </w:rPr>
              <w:t>依法</w:t>
            </w:r>
            <w:r>
              <w:rPr>
                <w:rFonts w:hint="eastAsia" w:ascii="宋体" w:hAnsi="宋体" w:eastAsia="宋体" w:cs="宋体"/>
                <w:b/>
                <w:bCs/>
                <w:color w:val="auto"/>
                <w:sz w:val="24"/>
                <w:szCs w:val="24"/>
                <w:highlight w:val="none"/>
              </w:rPr>
              <w:t>组建。</w:t>
            </w:r>
          </w:p>
        </w:tc>
      </w:tr>
      <w:tr w14:paraId="11DF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2E2C0683">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15" w:type="dxa"/>
            <w:noWrap w:val="0"/>
            <w:vAlign w:val="center"/>
          </w:tcPr>
          <w:p w14:paraId="2004CA38">
            <w:pPr>
              <w:pStyle w:val="18"/>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是否授权磋商小组确定成交人</w:t>
            </w:r>
          </w:p>
        </w:tc>
        <w:tc>
          <w:tcPr>
            <w:tcW w:w="7905" w:type="dxa"/>
            <w:noWrap w:val="0"/>
            <w:vAlign w:val="center"/>
          </w:tcPr>
          <w:p w14:paraId="3C1DD1C5">
            <w:pPr>
              <w:pStyle w:val="18"/>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是，推荐的成交人数：</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名。</w:t>
            </w:r>
          </w:p>
        </w:tc>
      </w:tr>
      <w:tr w14:paraId="6E38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46570757">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815" w:type="dxa"/>
            <w:noWrap w:val="0"/>
            <w:vAlign w:val="center"/>
          </w:tcPr>
          <w:p w14:paraId="019E278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7905" w:type="dxa"/>
            <w:noWrap w:val="0"/>
            <w:vAlign w:val="center"/>
          </w:tcPr>
          <w:p w14:paraId="18415612">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综合评分法，详见磋商文件。</w:t>
            </w:r>
          </w:p>
        </w:tc>
      </w:tr>
      <w:tr w14:paraId="45F2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noWrap w:val="0"/>
            <w:vAlign w:val="center"/>
          </w:tcPr>
          <w:p w14:paraId="4BA37105">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815" w:type="dxa"/>
            <w:noWrap w:val="0"/>
            <w:vAlign w:val="center"/>
          </w:tcPr>
          <w:p w14:paraId="053974F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成交服务费</w:t>
            </w:r>
          </w:p>
        </w:tc>
        <w:tc>
          <w:tcPr>
            <w:tcW w:w="7905" w:type="dxa"/>
            <w:noWrap w:val="0"/>
            <w:vAlign w:val="center"/>
          </w:tcPr>
          <w:p w14:paraId="4C82D9CF">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参照</w:t>
            </w:r>
            <w:r>
              <w:rPr>
                <w:rFonts w:hint="eastAsia" w:ascii="宋体" w:hAnsi="宋体" w:eastAsia="宋体" w:cs="宋体"/>
                <w:bCs/>
                <w:color w:val="auto"/>
                <w:sz w:val="24"/>
                <w:szCs w:val="24"/>
                <w:highlight w:val="none"/>
              </w:rPr>
              <w:t>计价格[2002]1980 号文规定标准的80%向所代理项目的中标（成交）人收取采购代理服务费。上述费用由成交人在领取成交通知书前一次性支付给代理机构。</w:t>
            </w:r>
          </w:p>
          <w:p w14:paraId="56466AB7">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注：</w:t>
            </w:r>
            <w:r>
              <w:rPr>
                <w:rFonts w:hint="eastAsia" w:ascii="宋体" w:hAnsi="宋体" w:eastAsia="宋体" w:cs="宋体"/>
                <w:bCs/>
                <w:color w:val="auto"/>
                <w:sz w:val="24"/>
                <w:szCs w:val="24"/>
                <w:highlight w:val="none"/>
              </w:rPr>
              <w:t>项目中标（成交）金额</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eastAsia="zh-CN"/>
              </w:rPr>
              <w:t>万元</w:t>
            </w:r>
            <w:r>
              <w:rPr>
                <w:rFonts w:hint="eastAsia" w:ascii="宋体" w:hAnsi="宋体" w:eastAsia="宋体" w:cs="宋体"/>
                <w:bCs/>
                <w:color w:val="auto"/>
                <w:sz w:val="24"/>
                <w:szCs w:val="24"/>
                <w:highlight w:val="none"/>
              </w:rPr>
              <w:t>以下，代理服务费不足3500元的小额项目，按3500元固定标准收取。项目为多包的小额项目，每包增加500元代理费</w:t>
            </w:r>
            <w:r>
              <w:rPr>
                <w:rFonts w:hint="eastAsia" w:ascii="宋体" w:hAnsi="宋体" w:eastAsia="宋体" w:cs="宋体"/>
                <w:bCs/>
                <w:color w:val="auto"/>
                <w:sz w:val="24"/>
                <w:szCs w:val="24"/>
                <w:highlight w:val="none"/>
                <w:lang w:eastAsia="zh-CN"/>
              </w:rPr>
              <w:t>。</w:t>
            </w:r>
          </w:p>
          <w:p w14:paraId="57DE54BD">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若项目一个包允许多家供应商中标（成交），由同时中标（成交）人均摊代理服务费（四舍五入取整）；一招多年的服务项目以一个年度的中标（成交）金额计费。</w:t>
            </w:r>
          </w:p>
        </w:tc>
      </w:tr>
      <w:tr w14:paraId="0F2C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0" w:type="dxa"/>
            <w:noWrap w:val="0"/>
            <w:vAlign w:val="center"/>
          </w:tcPr>
          <w:p w14:paraId="43FA942E">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815" w:type="dxa"/>
            <w:noWrap w:val="0"/>
            <w:vAlign w:val="center"/>
          </w:tcPr>
          <w:p w14:paraId="72201F5D">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履约担保</w:t>
            </w:r>
          </w:p>
        </w:tc>
        <w:tc>
          <w:tcPr>
            <w:tcW w:w="7905" w:type="dxa"/>
            <w:noWrap w:val="0"/>
            <w:vAlign w:val="top"/>
          </w:tcPr>
          <w:p w14:paraId="3C558BA5">
            <w:pPr>
              <w:keepNext w:val="0"/>
              <w:keepLines w:val="0"/>
              <w:pageBreakBefore w:val="0"/>
              <w:widowControl w:val="0"/>
              <w:kinsoku/>
              <w:wordWrap/>
              <w:overflowPunct/>
              <w:topLinePunct w:val="0"/>
              <w:bidi w:val="0"/>
              <w:snapToGrid/>
              <w:spacing w:line="440" w:lineRule="exact"/>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履约担保的形式：转账</w:t>
            </w:r>
          </w:p>
          <w:p w14:paraId="57CFE8EA">
            <w:pPr>
              <w:keepNext w:val="0"/>
              <w:keepLines w:val="0"/>
              <w:pageBreakBefore w:val="0"/>
              <w:widowControl w:val="0"/>
              <w:kinsoku/>
              <w:wordWrap/>
              <w:overflowPunct/>
              <w:topLinePunct w:val="0"/>
              <w:bidi w:val="0"/>
              <w:snapToGrid/>
              <w:spacing w:line="440" w:lineRule="exact"/>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履约担保的金额：中标价款的2.5%</w:t>
            </w:r>
          </w:p>
          <w:p w14:paraId="24CA3877">
            <w:pPr>
              <w:keepNext w:val="0"/>
              <w:keepLines w:val="0"/>
              <w:pageBreakBefore w:val="0"/>
              <w:widowControl w:val="0"/>
              <w:kinsoku/>
              <w:wordWrap/>
              <w:overflowPunct/>
              <w:topLinePunct w:val="0"/>
              <w:bidi w:val="0"/>
              <w:snapToGrid/>
              <w:spacing w:line="440" w:lineRule="exact"/>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缴纳时间：签订合同前</w:t>
            </w:r>
          </w:p>
          <w:p w14:paraId="2E284BE1">
            <w:pPr>
              <w:keepNext w:val="0"/>
              <w:keepLines w:val="0"/>
              <w:pageBreakBefore w:val="0"/>
              <w:widowControl w:val="0"/>
              <w:kinsoku/>
              <w:wordWrap/>
              <w:overflowPunct/>
              <w:topLinePunct w:val="0"/>
              <w:bidi w:val="0"/>
              <w:snapToGrid/>
              <w:spacing w:line="440" w:lineRule="exact"/>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成交人在签订合同前需将中标价款2.5%的履约保证金交至学校指定账户，待项目服务期满并经采购人验收合格后，一次性退还履约保证金。</w:t>
            </w:r>
          </w:p>
          <w:p w14:paraId="25640D99">
            <w:pPr>
              <w:keepNext w:val="0"/>
              <w:keepLines w:val="0"/>
              <w:pageBreakBefore w:val="0"/>
              <w:widowControl w:val="0"/>
              <w:kinsoku/>
              <w:wordWrap/>
              <w:overflowPunct/>
              <w:topLinePunct w:val="0"/>
              <w:bidi w:val="0"/>
              <w:snapToGrid/>
              <w:spacing w:line="440" w:lineRule="exact"/>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单位：滁州学院</w:t>
            </w:r>
          </w:p>
          <w:p w14:paraId="042DBBB8">
            <w:pPr>
              <w:keepNext w:val="0"/>
              <w:keepLines w:val="0"/>
              <w:pageBreakBefore w:val="0"/>
              <w:widowControl w:val="0"/>
              <w:kinsoku/>
              <w:wordWrap/>
              <w:overflowPunct/>
              <w:topLinePunct w:val="0"/>
              <w:bidi w:val="0"/>
              <w:snapToGrid/>
              <w:spacing w:line="440" w:lineRule="exact"/>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开户行：工行醉翁亭支行</w:t>
            </w:r>
          </w:p>
          <w:p w14:paraId="5D273882">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rPr>
              <w:t>账号：1313062809024904784</w:t>
            </w:r>
          </w:p>
        </w:tc>
      </w:tr>
      <w:tr w14:paraId="385F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3BCE3A9B">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815" w:type="dxa"/>
            <w:noWrap w:val="0"/>
            <w:vAlign w:val="center"/>
          </w:tcPr>
          <w:p w14:paraId="2B5C495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采购人联系方式</w:t>
            </w:r>
          </w:p>
        </w:tc>
        <w:tc>
          <w:tcPr>
            <w:tcW w:w="7905" w:type="dxa"/>
            <w:noWrap w:val="0"/>
            <w:vAlign w:val="center"/>
          </w:tcPr>
          <w:p w14:paraId="72398239">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详见磋商公告</w:t>
            </w:r>
          </w:p>
        </w:tc>
      </w:tr>
      <w:tr w14:paraId="533A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720" w:type="dxa"/>
            <w:noWrap w:val="0"/>
            <w:vAlign w:val="center"/>
          </w:tcPr>
          <w:p w14:paraId="41E5719F">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815" w:type="dxa"/>
            <w:noWrap w:val="0"/>
            <w:vAlign w:val="center"/>
          </w:tcPr>
          <w:p w14:paraId="176C4BE9">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905" w:type="dxa"/>
            <w:noWrap w:val="0"/>
            <w:vAlign w:val="center"/>
          </w:tcPr>
          <w:p w14:paraId="2AD1B85E">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①本项目的法定代表人（或委托代理人）必须按照本文件要求的时间、地点手持身份证原件参加磋商会议，否则其磋商文件将被拒绝。</w:t>
            </w:r>
          </w:p>
          <w:p w14:paraId="2ED6250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②本磋商文件前后条款若有不一致之处，在澄清答疑时又未作出明确时，各供应商的磋商文件只要满足其中任一条款均视为对磋商文件的响应。</w:t>
            </w:r>
          </w:p>
          <w:p w14:paraId="76F3811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③磋商小组只依靠供应商递交的磋商文件及其按照磋商文件要求提供的所有证明材料进行评审，而不依靠任何外来的证明材料。</w:t>
            </w:r>
          </w:p>
          <w:p w14:paraId="797E11B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④</w:t>
            </w:r>
            <w:r>
              <w:rPr>
                <w:rFonts w:hint="eastAsia" w:ascii="宋体" w:hAnsi="宋体" w:eastAsia="宋体" w:cs="宋体"/>
                <w:color w:val="auto"/>
                <w:sz w:val="24"/>
                <w:szCs w:val="24"/>
                <w:highlight w:val="none"/>
              </w:rPr>
              <w:t>投标供应商对采购文件内容有疑问的，须在采购文件规定的质疑截止时间前，向采购人（或代理机构）提出询问或者质疑，未在规定质疑截止时间内提出异议的，该质疑不予受理，并视同投标供应商认可采购文件所有内容。</w:t>
            </w:r>
          </w:p>
          <w:p w14:paraId="23213C78">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u w:val="none" w:color="000000"/>
              </w:rPr>
              <w:t xml:space="preserve">⑤本文件的最终解释权归采购人、采购代理机构所有。 </w:t>
            </w:r>
          </w:p>
        </w:tc>
      </w:tr>
      <w:tr w14:paraId="06D2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2E8F25D0">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bookmarkStart w:id="59" w:name="_Toc427106469"/>
            <w:bookmarkStart w:id="60" w:name="_Toc427016280"/>
            <w:r>
              <w:rPr>
                <w:rFonts w:hint="eastAsia" w:ascii="宋体" w:hAnsi="宋体" w:eastAsia="宋体" w:cs="宋体"/>
                <w:color w:val="auto"/>
                <w:sz w:val="24"/>
                <w:szCs w:val="24"/>
                <w:highlight w:val="none"/>
                <w:lang w:val="en-US" w:eastAsia="zh-CN"/>
              </w:rPr>
              <w:t>28</w:t>
            </w:r>
          </w:p>
        </w:tc>
        <w:tc>
          <w:tcPr>
            <w:tcW w:w="1815" w:type="dxa"/>
            <w:noWrap w:val="0"/>
            <w:vAlign w:val="center"/>
          </w:tcPr>
          <w:p w14:paraId="36512B0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7905" w:type="dxa"/>
            <w:noWrap w:val="0"/>
            <w:vAlign w:val="center"/>
          </w:tcPr>
          <w:p w14:paraId="465292DE">
            <w:pPr>
              <w:pStyle w:val="10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sz w:val="24"/>
                <w:szCs w:val="24"/>
                <w:highlight w:val="none"/>
              </w:rPr>
              <w:t>本项目将对排名第一的成交候选供应商经磋商小组评审认可的供应商业绩进行公示。</w:t>
            </w:r>
          </w:p>
        </w:tc>
      </w:tr>
    </w:tbl>
    <w:p w14:paraId="214BC15B">
      <w:pPr>
        <w:pStyle w:val="2"/>
        <w:pageBreakBefore/>
        <w:spacing w:before="156" w:beforeLines="50" w:after="156" w:afterLines="50" w:line="440" w:lineRule="exact"/>
        <w:jc w:val="center"/>
        <w:rPr>
          <w:rFonts w:hint="eastAsia" w:ascii="宋体" w:hAnsi="宋体" w:cs="宋体"/>
          <w:b/>
          <w:color w:val="auto"/>
          <w:sz w:val="32"/>
          <w:szCs w:val="32"/>
          <w:highlight w:val="none"/>
        </w:rPr>
      </w:pPr>
      <w:bookmarkStart w:id="61" w:name="_Toc22457"/>
      <w:bookmarkStart w:id="62" w:name="_Toc6038"/>
      <w:r>
        <w:rPr>
          <w:rFonts w:hint="eastAsia" w:ascii="宋体" w:hAnsi="宋体" w:cs="宋体"/>
          <w:b/>
          <w:color w:val="auto"/>
          <w:sz w:val="32"/>
          <w:szCs w:val="32"/>
          <w:highlight w:val="none"/>
          <w:lang w:val="en-US" w:eastAsia="zh-CN"/>
        </w:rPr>
        <w:t>第三章</w:t>
      </w:r>
      <w:r>
        <w:rPr>
          <w:rFonts w:hint="eastAsia" w:ascii="宋体" w:hAnsi="宋体" w:cs="宋体"/>
          <w:b/>
          <w:color w:val="auto"/>
          <w:sz w:val="32"/>
          <w:szCs w:val="32"/>
          <w:highlight w:val="none"/>
        </w:rPr>
        <w:t>、磋商须知</w:t>
      </w:r>
      <w:bookmarkEnd w:id="59"/>
      <w:bookmarkEnd w:id="60"/>
      <w:bookmarkEnd w:id="61"/>
      <w:bookmarkEnd w:id="62"/>
    </w:p>
    <w:p w14:paraId="0F5CD3D0">
      <w:pPr>
        <w:jc w:val="center"/>
        <w:outlineLvl w:val="9"/>
        <w:rPr>
          <w:rFonts w:hint="eastAsia" w:ascii="宋体" w:hAnsi="宋体" w:eastAsia="宋体" w:cs="宋体"/>
          <w:bCs/>
          <w:color w:val="auto"/>
          <w:sz w:val="28"/>
          <w:szCs w:val="28"/>
          <w:highlight w:val="none"/>
        </w:rPr>
      </w:pPr>
      <w:bookmarkStart w:id="63" w:name="_Toc290"/>
      <w:bookmarkStart w:id="64" w:name="_Toc519783883"/>
      <w:bookmarkStart w:id="65" w:name="_Toc7624"/>
      <w:bookmarkStart w:id="66" w:name="_Toc427016281"/>
      <w:bookmarkStart w:id="67" w:name="_Toc2268"/>
      <w:bookmarkStart w:id="68" w:name="_Toc427106470"/>
      <w:r>
        <w:rPr>
          <w:rFonts w:hint="eastAsia" w:ascii="宋体" w:hAnsi="宋体" w:eastAsia="宋体" w:cs="宋体"/>
          <w:bCs/>
          <w:color w:val="auto"/>
          <w:sz w:val="28"/>
          <w:szCs w:val="28"/>
          <w:highlight w:val="none"/>
        </w:rPr>
        <w:t>（一）总则</w:t>
      </w:r>
      <w:bookmarkEnd w:id="63"/>
      <w:bookmarkEnd w:id="64"/>
      <w:bookmarkEnd w:id="65"/>
      <w:bookmarkEnd w:id="66"/>
      <w:bookmarkEnd w:id="67"/>
      <w:bookmarkEnd w:id="68"/>
    </w:p>
    <w:p w14:paraId="4093CE5E">
      <w:pPr>
        <w:spacing w:line="440" w:lineRule="exact"/>
        <w:ind w:firstLine="482" w:firstLineChars="200"/>
        <w:outlineLvl w:val="9"/>
        <w:rPr>
          <w:rFonts w:hint="eastAsia" w:ascii="宋体" w:hAnsi="宋体" w:eastAsia="宋体" w:cs="宋体"/>
          <w:b/>
          <w:color w:val="auto"/>
          <w:sz w:val="24"/>
          <w:szCs w:val="24"/>
          <w:highlight w:val="none"/>
        </w:rPr>
      </w:pPr>
      <w:bookmarkStart w:id="69" w:name="_Toc22507"/>
      <w:bookmarkStart w:id="70" w:name="_Toc12168"/>
      <w:bookmarkStart w:id="71" w:name="_Toc7617"/>
      <w:r>
        <w:rPr>
          <w:rFonts w:hint="eastAsia" w:ascii="宋体" w:hAnsi="宋体" w:eastAsia="宋体" w:cs="宋体"/>
          <w:b/>
          <w:color w:val="auto"/>
          <w:sz w:val="24"/>
          <w:szCs w:val="24"/>
          <w:highlight w:val="none"/>
        </w:rPr>
        <w:t>1.适用范围</w:t>
      </w:r>
      <w:bookmarkEnd w:id="69"/>
      <w:bookmarkEnd w:id="70"/>
      <w:bookmarkEnd w:id="71"/>
    </w:p>
    <w:p w14:paraId="0EF81E6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1.1本磋商文件仅适用于本次磋商所述的货物、工程和服务项目采购。</w:t>
      </w:r>
    </w:p>
    <w:p w14:paraId="343FB8FF">
      <w:pPr>
        <w:spacing w:line="440" w:lineRule="exact"/>
        <w:ind w:firstLine="482" w:firstLineChars="200"/>
        <w:outlineLvl w:val="9"/>
        <w:rPr>
          <w:rFonts w:hint="eastAsia" w:ascii="宋体" w:hAnsi="宋体" w:eastAsia="宋体" w:cs="宋体"/>
          <w:b/>
          <w:color w:val="auto"/>
          <w:sz w:val="24"/>
          <w:szCs w:val="24"/>
          <w:highlight w:val="none"/>
        </w:rPr>
      </w:pPr>
      <w:bookmarkStart w:id="72" w:name="_Toc23341"/>
      <w:bookmarkStart w:id="73" w:name="_Toc10878"/>
      <w:bookmarkStart w:id="74" w:name="_Toc1163"/>
      <w:r>
        <w:rPr>
          <w:rFonts w:hint="eastAsia" w:ascii="宋体" w:hAnsi="宋体" w:eastAsia="宋体" w:cs="宋体"/>
          <w:b/>
          <w:color w:val="auto"/>
          <w:sz w:val="24"/>
          <w:szCs w:val="24"/>
          <w:highlight w:val="none"/>
        </w:rPr>
        <w:t>2.有关定义</w:t>
      </w:r>
      <w:bookmarkEnd w:id="72"/>
      <w:bookmarkEnd w:id="73"/>
      <w:bookmarkEnd w:id="74"/>
    </w:p>
    <w:p w14:paraId="28E460B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w:t>
      </w:r>
      <w:r>
        <w:rPr>
          <w:rFonts w:hint="eastAsia" w:ascii="宋体" w:hAnsi="宋体" w:cs="宋体"/>
          <w:color w:val="auto"/>
          <w:spacing w:val="4"/>
          <w:sz w:val="24"/>
          <w:szCs w:val="24"/>
          <w:highlight w:val="none"/>
          <w:lang w:val="en-US" w:eastAsia="zh-CN"/>
        </w:rPr>
        <w:t>滁州学院</w:t>
      </w:r>
      <w:r>
        <w:rPr>
          <w:rFonts w:hint="eastAsia" w:ascii="宋体" w:hAnsi="宋体" w:eastAsia="宋体" w:cs="宋体"/>
          <w:color w:val="auto"/>
          <w:sz w:val="24"/>
          <w:szCs w:val="24"/>
          <w:highlight w:val="none"/>
        </w:rPr>
        <w:t>。</w:t>
      </w:r>
    </w:p>
    <w:p w14:paraId="6620CB5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2.2“采购代理机构”系指安徽立地工程咨询有限公司。</w:t>
      </w:r>
    </w:p>
    <w:p w14:paraId="1618A68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“供应商”系指响应采购人要求提交响应文件的单位。</w:t>
      </w:r>
    </w:p>
    <w:p w14:paraId="541B307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“磋商小组”：是指按照《</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和评标方法暂行规定》的规定组建的专门负责本次采购的评标工作的临时机构。</w:t>
      </w:r>
    </w:p>
    <w:p w14:paraId="7BA53C5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“服务”系指磋商文件规定供应商须承担服务的义务。</w:t>
      </w:r>
    </w:p>
    <w:p w14:paraId="21DB74A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2.6“日期”指日历天。</w:t>
      </w:r>
    </w:p>
    <w:p w14:paraId="530D1E6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2.7磋商文件中所规定的“书面形式”，是指任何手写的、打印或印刷的形式，包括电报和传真发送。</w:t>
      </w:r>
    </w:p>
    <w:p w14:paraId="063918EC">
      <w:pPr>
        <w:spacing w:line="440" w:lineRule="exact"/>
        <w:ind w:firstLine="480" w:firstLineChars="200"/>
        <w:outlineLvl w:val="9"/>
        <w:rPr>
          <w:rFonts w:hint="eastAsia" w:ascii="宋体" w:hAnsi="宋体" w:eastAsia="宋体" w:cs="宋体"/>
          <w:color w:val="auto"/>
          <w:sz w:val="24"/>
          <w:szCs w:val="24"/>
          <w:highlight w:val="none"/>
        </w:rPr>
      </w:pPr>
      <w:bookmarkStart w:id="75" w:name="_Toc31595"/>
      <w:bookmarkStart w:id="76" w:name="_Toc32564"/>
      <w:bookmarkStart w:id="77" w:name="_Toc32252"/>
      <w:r>
        <w:rPr>
          <w:rFonts w:hint="eastAsia" w:ascii="宋体" w:hAnsi="宋体" w:eastAsia="宋体" w:cs="宋体"/>
          <w:color w:val="auto"/>
          <w:sz w:val="24"/>
          <w:szCs w:val="24"/>
          <w:highlight w:val="none"/>
        </w:rPr>
        <w:t>2.8“磋商文件”系指采购代理机构发布的磋商文件。</w:t>
      </w:r>
      <w:bookmarkEnd w:id="75"/>
      <w:bookmarkEnd w:id="76"/>
      <w:bookmarkEnd w:id="77"/>
    </w:p>
    <w:p w14:paraId="42E991E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2.9“响应文件”系指供应商按照磋商文件要求编制并提交的实质性响应及承诺文件。</w:t>
      </w:r>
    </w:p>
    <w:p w14:paraId="34E4C5F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2.10时限（年份、月份等）计算：系指从磋商之日向前追溯X年/月（“X”为“一”及以后整数）起算。除非本磋商文件另有规定，否则业绩时间均以合同签订之日为追溯结点。</w:t>
      </w:r>
    </w:p>
    <w:p w14:paraId="3F15AE4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业绩：系指符合本磋商文件规定且已服务完毕的与最终用户签订的合同及相关证明。供应商与其关联公司（如母公司、控股公司、参股公司、分公司、子公司、同一法定代表人的公司等）之间签订的合同，均不予认可。</w:t>
      </w:r>
    </w:p>
    <w:p w14:paraId="728955B3">
      <w:pPr>
        <w:spacing w:line="440" w:lineRule="exact"/>
        <w:ind w:firstLine="482" w:firstLineChars="200"/>
        <w:outlineLvl w:val="9"/>
        <w:rPr>
          <w:rFonts w:hint="eastAsia" w:ascii="宋体" w:hAnsi="宋体" w:eastAsia="宋体" w:cs="宋体"/>
          <w:b/>
          <w:color w:val="auto"/>
          <w:sz w:val="24"/>
          <w:szCs w:val="24"/>
          <w:highlight w:val="none"/>
        </w:rPr>
      </w:pPr>
      <w:bookmarkStart w:id="78" w:name="_Toc12678"/>
      <w:bookmarkStart w:id="79" w:name="_Toc19564"/>
      <w:bookmarkStart w:id="80" w:name="_Toc30542"/>
      <w:r>
        <w:rPr>
          <w:rFonts w:hint="eastAsia" w:ascii="宋体" w:hAnsi="宋体" w:eastAsia="宋体" w:cs="宋体"/>
          <w:b/>
          <w:color w:val="auto"/>
          <w:sz w:val="24"/>
          <w:szCs w:val="24"/>
          <w:highlight w:val="none"/>
        </w:rPr>
        <w:t>3.磋商费用</w:t>
      </w:r>
      <w:bookmarkEnd w:id="78"/>
      <w:bookmarkEnd w:id="79"/>
      <w:bookmarkEnd w:id="80"/>
    </w:p>
    <w:p w14:paraId="489DBEF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3.1无论磋商结果如何，供应商应自行承担其编制与提交响应文件所涉及的一切费用。</w:t>
      </w:r>
    </w:p>
    <w:p w14:paraId="63B43EAF">
      <w:pPr>
        <w:spacing w:line="440" w:lineRule="exact"/>
        <w:ind w:firstLine="482" w:firstLineChars="200"/>
        <w:outlineLvl w:val="9"/>
        <w:rPr>
          <w:rFonts w:hint="eastAsia" w:ascii="宋体" w:hAnsi="宋体" w:eastAsia="宋体" w:cs="宋体"/>
          <w:b/>
          <w:color w:val="auto"/>
          <w:sz w:val="24"/>
          <w:szCs w:val="24"/>
          <w:highlight w:val="none"/>
        </w:rPr>
      </w:pPr>
      <w:bookmarkStart w:id="81" w:name="_Toc10674"/>
      <w:bookmarkStart w:id="82" w:name="_Toc28581"/>
      <w:bookmarkStart w:id="83" w:name="_Toc28232"/>
      <w:r>
        <w:rPr>
          <w:rFonts w:hint="eastAsia" w:ascii="宋体" w:hAnsi="宋体" w:eastAsia="宋体" w:cs="宋体"/>
          <w:b/>
          <w:color w:val="auto"/>
          <w:sz w:val="24"/>
          <w:szCs w:val="24"/>
          <w:highlight w:val="none"/>
        </w:rPr>
        <w:t>4.合格的供应商</w:t>
      </w:r>
      <w:bookmarkEnd w:id="81"/>
      <w:bookmarkEnd w:id="82"/>
      <w:bookmarkEnd w:id="83"/>
    </w:p>
    <w:p w14:paraId="4EEBFCB0">
      <w:pPr>
        <w:spacing w:line="440" w:lineRule="exact"/>
        <w:ind w:firstLine="480" w:firstLineChars="200"/>
        <w:outlineLvl w:val="9"/>
        <w:rPr>
          <w:rFonts w:hint="eastAsia" w:ascii="宋体" w:hAnsi="宋体" w:eastAsia="宋体" w:cs="宋体"/>
          <w:color w:val="auto"/>
          <w:sz w:val="24"/>
          <w:szCs w:val="24"/>
          <w:highlight w:val="none"/>
        </w:rPr>
      </w:pPr>
      <w:bookmarkStart w:id="84" w:name="_Toc23212"/>
      <w:bookmarkStart w:id="85" w:name="_Toc29089"/>
      <w:bookmarkStart w:id="86" w:name="_Toc3034"/>
      <w:r>
        <w:rPr>
          <w:rFonts w:hint="eastAsia" w:ascii="宋体" w:hAnsi="宋体" w:eastAsia="宋体" w:cs="宋体"/>
          <w:color w:val="auto"/>
          <w:sz w:val="24"/>
          <w:szCs w:val="24"/>
          <w:highlight w:val="none"/>
        </w:rPr>
        <w:t>4.1合格的供应商应符合磋商文件载明的供应商资格。</w:t>
      </w:r>
      <w:bookmarkEnd w:id="84"/>
      <w:bookmarkEnd w:id="85"/>
      <w:bookmarkEnd w:id="86"/>
    </w:p>
    <w:p w14:paraId="419E4BE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4.1.1除非磋商文件认可，否则母、子公司之间的业绩、资质不得互用。</w:t>
      </w:r>
    </w:p>
    <w:p w14:paraId="01FEF38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4.2单位负责人为同一人或者存在直接控股、管理关系的不同供应商，不得参加同一合同项下的采购活动。</w:t>
      </w:r>
    </w:p>
    <w:p w14:paraId="2DFBDB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4.3除单一来源采购项目外，为采购项目提供整体设计、规范编制或者项目管理、监理、检测等服务的供应商，不得再参加该采购项目的其他采购活动。</w:t>
      </w:r>
    </w:p>
    <w:p w14:paraId="783E232C">
      <w:pPr>
        <w:spacing w:line="440" w:lineRule="exact"/>
        <w:ind w:firstLine="482" w:firstLineChars="200"/>
        <w:outlineLvl w:val="9"/>
        <w:rPr>
          <w:rFonts w:hint="eastAsia" w:ascii="宋体" w:hAnsi="宋体" w:eastAsia="宋体" w:cs="宋体"/>
          <w:b/>
          <w:color w:val="auto"/>
          <w:sz w:val="24"/>
          <w:szCs w:val="24"/>
          <w:highlight w:val="none"/>
        </w:rPr>
      </w:pPr>
      <w:bookmarkStart w:id="87" w:name="_Toc23200"/>
      <w:bookmarkStart w:id="88" w:name="_Toc18607"/>
      <w:bookmarkStart w:id="89" w:name="_Toc9435"/>
      <w:r>
        <w:rPr>
          <w:rFonts w:hint="eastAsia" w:ascii="宋体" w:hAnsi="宋体" w:eastAsia="宋体" w:cs="宋体"/>
          <w:b/>
          <w:color w:val="auto"/>
          <w:sz w:val="24"/>
          <w:szCs w:val="24"/>
          <w:highlight w:val="none"/>
        </w:rPr>
        <w:t>5.踏勘现场</w:t>
      </w:r>
      <w:bookmarkEnd w:id="87"/>
      <w:bookmarkEnd w:id="88"/>
      <w:bookmarkEnd w:id="89"/>
      <w:r>
        <w:rPr>
          <w:rFonts w:hint="eastAsia" w:ascii="宋体" w:hAnsi="宋体" w:eastAsia="宋体" w:cs="宋体"/>
          <w:b/>
          <w:color w:val="auto"/>
          <w:sz w:val="24"/>
          <w:szCs w:val="24"/>
          <w:highlight w:val="none"/>
        </w:rPr>
        <w:t xml:space="preserve"> </w:t>
      </w:r>
    </w:p>
    <w:p w14:paraId="30860672">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5.1供应商应自行对服务现场和周围环境进行勘察，以获取编制响应文件和签署合同所需的资料。勘查现场</w:t>
      </w:r>
      <w:r>
        <w:rPr>
          <w:rFonts w:hint="eastAsia" w:ascii="宋体" w:hAnsi="宋体" w:eastAsia="宋体" w:cs="宋体"/>
          <w:color w:val="auto"/>
          <w:sz w:val="24"/>
          <w:szCs w:val="24"/>
          <w:highlight w:val="none"/>
        </w:rPr>
        <w:t>的方式、地址及联系方式见磋商公告。</w:t>
      </w:r>
    </w:p>
    <w:p w14:paraId="3A533F4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勘查现场所发生的费用由供应商自己承担。采购人向供应商提供的有关本项目的资料和数据，是采购人现有的能使供应商利用的资料。采购人对供应商由此而做出的推论、理解和结论概不负责。供应商因自身原因未进行实地踏勘的，成交后签订合同时和履约过程中，不得以不完全了解现场情况为由，提出任何形式的增加合同外造价或索赔的要求。</w:t>
      </w:r>
    </w:p>
    <w:p w14:paraId="4270B61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5.3除非有特殊要求，磋商文件不单独提供供货或服务所在地的自然环境、气候条件、公用设施等情况，供应商被视为熟悉上述与履行合同有关的一切情况。</w:t>
      </w:r>
    </w:p>
    <w:p w14:paraId="7CD8DFD3">
      <w:pPr>
        <w:spacing w:line="440" w:lineRule="exact"/>
        <w:ind w:firstLine="482" w:firstLineChars="200"/>
        <w:outlineLvl w:val="9"/>
        <w:rPr>
          <w:rFonts w:hint="eastAsia" w:ascii="宋体" w:hAnsi="宋体" w:eastAsia="宋体" w:cs="宋体"/>
          <w:b/>
          <w:color w:val="auto"/>
          <w:sz w:val="24"/>
          <w:szCs w:val="24"/>
          <w:highlight w:val="none"/>
        </w:rPr>
      </w:pPr>
      <w:bookmarkStart w:id="90" w:name="_Toc31446"/>
      <w:bookmarkStart w:id="91" w:name="_Toc13929"/>
      <w:bookmarkStart w:id="92" w:name="_Toc8222"/>
      <w:r>
        <w:rPr>
          <w:rFonts w:hint="eastAsia" w:ascii="宋体" w:hAnsi="宋体" w:eastAsia="宋体" w:cs="宋体"/>
          <w:b/>
          <w:color w:val="auto"/>
          <w:sz w:val="24"/>
          <w:szCs w:val="24"/>
          <w:highlight w:val="none"/>
        </w:rPr>
        <w:t>6.知识产权</w:t>
      </w:r>
      <w:bookmarkEnd w:id="90"/>
      <w:bookmarkEnd w:id="91"/>
      <w:bookmarkEnd w:id="92"/>
    </w:p>
    <w:p w14:paraId="0EF30148">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供应商必须保证，采购人在中华人民共和国境内使用磋商货物、资料、技术、服务或其任何一部分时，享有不受限制的无偿使用权，不会产生因第三方提出侵犯其专利权、商标权或其它知识产权而引起的法律或经济纠纷。如供应商不拥有相应的知识产权，则在磋商报价中必须包括合法获取该知识产权的一切相关费用。</w:t>
      </w:r>
    </w:p>
    <w:p w14:paraId="5B782FC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6.2供应商如欲在项目实施过程中采用自有知识成果，须在响应文件中声明，并提供相关知识产权证明文件。使用该知识成果后，供应商须提供开发接口和开发手册等技术文档。</w:t>
      </w:r>
    </w:p>
    <w:p w14:paraId="36D38C96">
      <w:pPr>
        <w:spacing w:line="440" w:lineRule="exact"/>
        <w:ind w:firstLine="482" w:firstLineChars="200"/>
        <w:outlineLvl w:val="9"/>
        <w:rPr>
          <w:rFonts w:hint="eastAsia" w:ascii="宋体" w:hAnsi="宋体" w:eastAsia="宋体" w:cs="宋体"/>
          <w:b/>
          <w:color w:val="auto"/>
          <w:sz w:val="24"/>
          <w:szCs w:val="24"/>
          <w:highlight w:val="none"/>
        </w:rPr>
      </w:pPr>
      <w:bookmarkStart w:id="93" w:name="_Toc4575"/>
      <w:bookmarkStart w:id="94" w:name="_Toc22077"/>
      <w:bookmarkStart w:id="95" w:name="_Toc9797"/>
      <w:r>
        <w:rPr>
          <w:rFonts w:hint="eastAsia" w:ascii="宋体" w:hAnsi="宋体" w:eastAsia="宋体" w:cs="宋体"/>
          <w:b/>
          <w:color w:val="auto"/>
          <w:sz w:val="24"/>
          <w:szCs w:val="24"/>
          <w:highlight w:val="none"/>
        </w:rPr>
        <w:t>7.纪律与保密</w:t>
      </w:r>
      <w:bookmarkEnd w:id="93"/>
      <w:bookmarkEnd w:id="94"/>
      <w:bookmarkEnd w:id="95"/>
    </w:p>
    <w:p w14:paraId="5E60C453">
      <w:pPr>
        <w:spacing w:line="440" w:lineRule="exact"/>
        <w:ind w:firstLine="480" w:firstLineChars="200"/>
        <w:outlineLvl w:val="9"/>
        <w:rPr>
          <w:rFonts w:hint="eastAsia" w:ascii="宋体" w:hAnsi="宋体" w:eastAsia="宋体" w:cs="宋体"/>
          <w:color w:val="auto"/>
          <w:sz w:val="24"/>
          <w:szCs w:val="24"/>
          <w:highlight w:val="none"/>
        </w:rPr>
      </w:pPr>
      <w:bookmarkStart w:id="96" w:name="_Toc11718"/>
      <w:bookmarkStart w:id="97" w:name="_Toc13995"/>
      <w:bookmarkStart w:id="98" w:name="_Toc23513"/>
      <w:r>
        <w:rPr>
          <w:rFonts w:hint="eastAsia" w:ascii="宋体" w:hAnsi="宋体" w:eastAsia="宋体" w:cs="宋体"/>
          <w:color w:val="auto"/>
          <w:sz w:val="24"/>
          <w:szCs w:val="24"/>
          <w:highlight w:val="none"/>
        </w:rPr>
        <w:t>7.1供应商的响应行为应遵守中国的有关法律法规和规章。</w:t>
      </w:r>
      <w:bookmarkEnd w:id="96"/>
      <w:bookmarkEnd w:id="97"/>
      <w:bookmarkEnd w:id="98"/>
    </w:p>
    <w:p w14:paraId="3FDA8A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7.2供应商不得相互串通磋商报价，不得妨碍其他供应商的公平竞争，不得损害采购人或其他供应商的合法权益，供应商不得以向采购人、磋商小组成员行贿或者其他不正当手段谋取成交资格。</w:t>
      </w:r>
    </w:p>
    <w:p w14:paraId="3568001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有下列情形之一的，属于供应商相互串通参加磋商：</w:t>
      </w:r>
    </w:p>
    <w:p w14:paraId="26EF05C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7.2.1供应商直接或者间接从采购人或者采购代理机构处获得其他供应商的相关情况并修改其响应文件；</w:t>
      </w:r>
    </w:p>
    <w:p w14:paraId="5675A6E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7.2.2供应商按照采购人或者采购代理机构的授意撤换、修改响应文件；</w:t>
      </w:r>
    </w:p>
    <w:p w14:paraId="5976A93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7.2.3供应商之间协商报价、技术方案等响应文件的实质性内容；</w:t>
      </w:r>
    </w:p>
    <w:p w14:paraId="3F7617E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7.2.4属于同一集团、协会、商会等组织成员的供应商按照该组织要求协同参加采购活动；</w:t>
      </w:r>
    </w:p>
    <w:p w14:paraId="5705C535">
      <w:pPr>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7.2.5供应商之间事先约定由某一特定的供应商成交；</w:t>
      </w:r>
    </w:p>
    <w:p w14:paraId="4622604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7.2.6供应商之间商定部分供应商放弃参加采购活动或者放弃成交资格；</w:t>
      </w:r>
    </w:p>
    <w:p w14:paraId="7637D7D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7.2.7供应商与采购人或者采购代理机构之间、供应商相互之间，为谋求特定供应商成交或者排斥其他供应商的其他串通行为。</w:t>
      </w:r>
    </w:p>
    <w:p w14:paraId="412870A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7.3在确定成交供应商之前，供应商不得与采购人就磋商价格、磋商方案等实质性内容进行谈判，也不得私下接触磋商小组成员。</w:t>
      </w:r>
    </w:p>
    <w:p w14:paraId="278E8CE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7.4在确定成交供应商之前，供应商试图在响应文件审查、澄清、比较和评价时对磋商小组、采购人和某采购代理机构施加任何影响都可能导致其响应无效。</w:t>
      </w:r>
    </w:p>
    <w:p w14:paraId="6C552B5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由采购人向供应商提供的图纸、详细资料、样品、模型、模件和所有其他资料，被视为保密资料，仅被用于它所规定的用途。除非得到采购人的同意，不能向任何第三方透露。磋商结束后，应采购人要求，供应商应归还所有从采购人处获得的保密资料。</w:t>
      </w:r>
    </w:p>
    <w:p w14:paraId="64D19E1E">
      <w:pPr>
        <w:spacing w:line="440" w:lineRule="exact"/>
        <w:ind w:firstLine="482" w:firstLineChars="200"/>
        <w:outlineLvl w:val="9"/>
        <w:rPr>
          <w:rFonts w:hint="eastAsia" w:ascii="宋体" w:hAnsi="宋体" w:eastAsia="宋体" w:cs="宋体"/>
          <w:b/>
          <w:color w:val="auto"/>
          <w:sz w:val="24"/>
          <w:szCs w:val="24"/>
          <w:highlight w:val="none"/>
        </w:rPr>
      </w:pPr>
      <w:bookmarkStart w:id="99" w:name="_Toc16176"/>
      <w:bookmarkStart w:id="100" w:name="_Toc29502"/>
      <w:bookmarkStart w:id="101" w:name="_Toc9426"/>
      <w:r>
        <w:rPr>
          <w:rFonts w:hint="eastAsia" w:ascii="宋体" w:hAnsi="宋体" w:eastAsia="宋体" w:cs="宋体"/>
          <w:b/>
          <w:color w:val="auto"/>
          <w:sz w:val="24"/>
          <w:szCs w:val="24"/>
          <w:highlight w:val="none"/>
        </w:rPr>
        <w:t>8.联合体磋商（本项目不采用）</w:t>
      </w:r>
      <w:bookmarkEnd w:id="99"/>
      <w:bookmarkEnd w:id="100"/>
      <w:bookmarkEnd w:id="101"/>
    </w:p>
    <w:p w14:paraId="4DF5AF5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8.1除非本项目明确要求不接受联合体形式磋商外，两个或两个以上供应商可以组成一个联合体磋商，以一个供应商的身份磋商。</w:t>
      </w:r>
    </w:p>
    <w:p w14:paraId="51953E7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8.2以联合体形式参加磋商的，联合体各方均应当符合有关法规规定的条件。</w:t>
      </w:r>
    </w:p>
    <w:p w14:paraId="27980F3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联合体各方之间应当签订联合体协议，明确约定联合体各方应当承担的工作和相应的责任，并将联合体协议连同响应文件一并提交某采购代理机构。由同一专业的单位组成的联合体，按照同一资质等级较低的单位确定资质等级。联合体各方签订联合体协议后，不得再以自己的名义单独在同一项目中磋商，也不得组成新的联合体参加同一项目磋商。</w:t>
      </w:r>
    </w:p>
    <w:p w14:paraId="3E7281F3">
      <w:pPr>
        <w:spacing w:line="440" w:lineRule="exact"/>
        <w:ind w:firstLine="480" w:firstLineChars="200"/>
        <w:outlineLvl w:val="9"/>
        <w:rPr>
          <w:rFonts w:hint="eastAsia" w:ascii="宋体" w:hAnsi="宋体" w:eastAsia="宋体" w:cs="宋体"/>
          <w:bCs/>
          <w:color w:val="auto"/>
          <w:sz w:val="24"/>
          <w:szCs w:val="24"/>
          <w:highlight w:val="none"/>
        </w:rPr>
      </w:pPr>
      <w:bookmarkStart w:id="102" w:name="_Toc25282"/>
      <w:bookmarkStart w:id="103" w:name="_Toc32374"/>
      <w:bookmarkStart w:id="104" w:name="_Toc13407"/>
      <w:r>
        <w:rPr>
          <w:rFonts w:hint="eastAsia" w:ascii="宋体" w:hAnsi="宋体" w:eastAsia="宋体" w:cs="宋体"/>
          <w:bCs/>
          <w:color w:val="auto"/>
          <w:sz w:val="24"/>
          <w:szCs w:val="24"/>
          <w:highlight w:val="none"/>
        </w:rPr>
        <w:t>9.</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专用章的效力</w:t>
      </w:r>
      <w:bookmarkEnd w:id="102"/>
      <w:bookmarkEnd w:id="103"/>
      <w:bookmarkEnd w:id="104"/>
    </w:p>
    <w:p w14:paraId="73A30B7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9.1磋商</w:t>
      </w:r>
      <w:r>
        <w:rPr>
          <w:rFonts w:hint="eastAsia" w:ascii="宋体" w:hAnsi="宋体" w:eastAsia="宋体" w:cs="宋体"/>
          <w:color w:val="auto"/>
          <w:sz w:val="24"/>
          <w:szCs w:val="24"/>
          <w:highlight w:val="none"/>
        </w:rPr>
        <w:t>文件中明确要求加盖公章的，供应商必须加盖供应商公章。在有授权文件（原件）表明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专用章法律效力等同于供应商公章的情况下，可以加盖</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专用章，否则将导致响应无效。</w:t>
      </w:r>
    </w:p>
    <w:p w14:paraId="783B9448">
      <w:pPr>
        <w:spacing w:line="440" w:lineRule="exact"/>
        <w:ind w:firstLine="482" w:firstLineChars="200"/>
        <w:outlineLvl w:val="9"/>
        <w:rPr>
          <w:rFonts w:hint="eastAsia" w:ascii="宋体" w:hAnsi="宋体" w:eastAsia="宋体" w:cs="宋体"/>
          <w:b/>
          <w:color w:val="auto"/>
          <w:sz w:val="24"/>
          <w:szCs w:val="24"/>
          <w:highlight w:val="none"/>
        </w:rPr>
      </w:pPr>
      <w:bookmarkStart w:id="105" w:name="_Toc13544"/>
      <w:bookmarkStart w:id="106" w:name="_Toc29218"/>
      <w:bookmarkStart w:id="107" w:name="_Toc19948"/>
      <w:r>
        <w:rPr>
          <w:rFonts w:hint="eastAsia" w:ascii="宋体" w:hAnsi="宋体" w:eastAsia="宋体" w:cs="宋体"/>
          <w:b/>
          <w:color w:val="auto"/>
          <w:sz w:val="24"/>
          <w:szCs w:val="24"/>
          <w:highlight w:val="none"/>
        </w:rPr>
        <w:t>10.合同标的转让与分包</w:t>
      </w:r>
      <w:bookmarkEnd w:id="105"/>
      <w:bookmarkEnd w:id="106"/>
      <w:bookmarkEnd w:id="107"/>
    </w:p>
    <w:p w14:paraId="6805206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10.1成交供应商不得向他人转让成交项目，也不得将成交项目肢解后分别向他人转让。 </w:t>
      </w:r>
    </w:p>
    <w:p w14:paraId="1DD7140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10.2经采购人同意，磋商供应商根据采购项目的实际情况，拟在成交后将成交项目的非主体、非关键性工作交由他人完成的，应在磋商文件中载明。接受分包的人应当具备相应的资格条件，并不得再次分包。</w:t>
      </w:r>
    </w:p>
    <w:p w14:paraId="23F4009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10.3成交供应商应当就采购项目和分包项目向采购人负责，分包供应商就分包项目承担责任。</w:t>
      </w:r>
    </w:p>
    <w:p w14:paraId="38E55ABB">
      <w:pPr>
        <w:spacing w:line="440" w:lineRule="exact"/>
        <w:ind w:firstLine="482" w:firstLineChars="200"/>
        <w:outlineLvl w:val="9"/>
        <w:rPr>
          <w:rFonts w:hint="eastAsia" w:ascii="宋体" w:hAnsi="宋体" w:eastAsia="宋体" w:cs="宋体"/>
          <w:b/>
          <w:bCs/>
          <w:color w:val="auto"/>
          <w:sz w:val="24"/>
          <w:szCs w:val="24"/>
          <w:highlight w:val="none"/>
        </w:rPr>
      </w:pPr>
      <w:bookmarkStart w:id="108" w:name="_Toc6654"/>
      <w:bookmarkStart w:id="109" w:name="_Toc4394"/>
      <w:bookmarkStart w:id="110" w:name="_Toc12377"/>
      <w:r>
        <w:rPr>
          <w:rFonts w:hint="eastAsia" w:ascii="宋体" w:hAnsi="宋体" w:eastAsia="宋体" w:cs="宋体"/>
          <w:b/>
          <w:bCs/>
          <w:color w:val="auto"/>
          <w:sz w:val="24"/>
          <w:szCs w:val="24"/>
          <w:highlight w:val="none"/>
        </w:rPr>
        <w:t>11.采购信息的发布</w:t>
      </w:r>
      <w:bookmarkEnd w:id="108"/>
      <w:bookmarkEnd w:id="109"/>
      <w:bookmarkEnd w:id="110"/>
    </w:p>
    <w:p w14:paraId="208A0CC6">
      <w:pPr>
        <w:wordWrap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11.1与本次采购活动相关的信息，可登录滁州学院网站（http://zcc.chzu.edu.cn）资产与实验室管理处网页采购公告栏</w:t>
      </w:r>
      <w:r>
        <w:rPr>
          <w:rFonts w:hint="eastAsia" w:ascii="宋体" w:hAnsi="宋体" w:eastAsia="宋体" w:cs="宋体"/>
          <w:color w:val="auto"/>
          <w:sz w:val="24"/>
          <w:szCs w:val="24"/>
          <w:highlight w:val="none"/>
          <w:lang w:val="en-US" w:eastAsia="zh-CN"/>
        </w:rPr>
        <w:t>查询</w:t>
      </w:r>
    </w:p>
    <w:p w14:paraId="0115BBCC">
      <w:pPr>
        <w:jc w:val="center"/>
        <w:outlineLvl w:val="9"/>
        <w:rPr>
          <w:rFonts w:hint="eastAsia" w:ascii="宋体" w:hAnsi="宋体" w:eastAsia="宋体" w:cs="宋体"/>
          <w:color w:val="auto"/>
          <w:sz w:val="28"/>
          <w:szCs w:val="28"/>
          <w:highlight w:val="none"/>
        </w:rPr>
      </w:pPr>
      <w:bookmarkStart w:id="111" w:name="_Toc427016282"/>
      <w:bookmarkStart w:id="112" w:name="_Toc519783884"/>
      <w:bookmarkStart w:id="113" w:name="_Toc461097053"/>
      <w:bookmarkStart w:id="114" w:name="_Toc9431"/>
      <w:bookmarkStart w:id="115" w:name="_Toc22470"/>
      <w:bookmarkStart w:id="116" w:name="_Toc25049"/>
      <w:r>
        <w:rPr>
          <w:rFonts w:hint="eastAsia" w:ascii="宋体" w:hAnsi="宋体" w:eastAsia="宋体" w:cs="宋体"/>
          <w:color w:val="auto"/>
          <w:sz w:val="28"/>
          <w:szCs w:val="28"/>
          <w:highlight w:val="none"/>
        </w:rPr>
        <w:t>（二）磋商文件</w:t>
      </w:r>
      <w:bookmarkEnd w:id="111"/>
      <w:bookmarkEnd w:id="112"/>
      <w:bookmarkEnd w:id="113"/>
      <w:r>
        <w:rPr>
          <w:rFonts w:hint="eastAsia" w:ascii="宋体" w:hAnsi="宋体" w:eastAsia="宋体" w:cs="宋体"/>
          <w:color w:val="auto"/>
          <w:sz w:val="28"/>
          <w:szCs w:val="28"/>
          <w:highlight w:val="none"/>
        </w:rPr>
        <w:t>说明</w:t>
      </w:r>
      <w:bookmarkEnd w:id="114"/>
      <w:bookmarkEnd w:id="115"/>
      <w:bookmarkEnd w:id="116"/>
    </w:p>
    <w:p w14:paraId="660E66A8">
      <w:pPr>
        <w:spacing w:line="440" w:lineRule="exact"/>
        <w:ind w:firstLine="472" w:firstLineChars="196"/>
        <w:outlineLvl w:val="9"/>
        <w:rPr>
          <w:rFonts w:hint="eastAsia" w:ascii="宋体" w:hAnsi="宋体" w:cs="宋体"/>
          <w:b/>
          <w:color w:val="auto"/>
          <w:sz w:val="24"/>
          <w:szCs w:val="24"/>
          <w:highlight w:val="none"/>
        </w:rPr>
      </w:pPr>
      <w:bookmarkStart w:id="117" w:name="_Toc2426"/>
      <w:bookmarkStart w:id="118" w:name="_Toc25442"/>
      <w:bookmarkStart w:id="119" w:name="_Toc14148"/>
      <w:r>
        <w:rPr>
          <w:rFonts w:hint="eastAsia" w:ascii="宋体" w:hAnsi="宋体" w:cs="宋体"/>
          <w:b/>
          <w:color w:val="auto"/>
          <w:sz w:val="24"/>
          <w:szCs w:val="24"/>
          <w:highlight w:val="none"/>
        </w:rPr>
        <w:t>12.磋商文件构成</w:t>
      </w:r>
      <w:bookmarkEnd w:id="117"/>
      <w:bookmarkEnd w:id="118"/>
      <w:bookmarkEnd w:id="119"/>
    </w:p>
    <w:p w14:paraId="4A2A160A">
      <w:pPr>
        <w:spacing w:line="440" w:lineRule="exact"/>
        <w:ind w:firstLine="470" w:firstLineChars="196"/>
        <w:outlineLvl w:val="9"/>
        <w:rPr>
          <w:rFonts w:hint="eastAsia" w:ascii="宋体" w:hAnsi="宋体" w:cs="宋体"/>
          <w:color w:val="auto"/>
          <w:sz w:val="24"/>
          <w:szCs w:val="24"/>
          <w:highlight w:val="none"/>
        </w:rPr>
      </w:pPr>
      <w:bookmarkStart w:id="120" w:name="_Toc25479"/>
      <w:bookmarkStart w:id="121" w:name="_Toc22570"/>
      <w:bookmarkStart w:id="122" w:name="_Toc5356"/>
      <w:r>
        <w:rPr>
          <w:rFonts w:hint="eastAsia" w:ascii="宋体" w:hAnsi="宋体" w:cs="宋体"/>
          <w:color w:val="auto"/>
          <w:sz w:val="24"/>
          <w:szCs w:val="24"/>
          <w:highlight w:val="none"/>
        </w:rPr>
        <w:t>12.1磋商文件包括以下部分：</w:t>
      </w:r>
      <w:bookmarkEnd w:id="120"/>
      <w:bookmarkEnd w:id="121"/>
      <w:bookmarkEnd w:id="122"/>
    </w:p>
    <w:p w14:paraId="53B5A803">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第一章 </w:t>
      </w:r>
      <w:r>
        <w:rPr>
          <w:rFonts w:hint="eastAsia" w:ascii="宋体" w:hAnsi="宋体" w:cs="宋体"/>
          <w:color w:val="auto"/>
          <w:sz w:val="24"/>
          <w:szCs w:val="24"/>
          <w:highlight w:val="none"/>
        </w:rPr>
        <w:t>磋商公告；</w:t>
      </w:r>
    </w:p>
    <w:p w14:paraId="4A12576B">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第二章 </w:t>
      </w:r>
      <w:r>
        <w:rPr>
          <w:rFonts w:hint="eastAsia" w:ascii="宋体" w:hAnsi="宋体" w:cs="宋体"/>
          <w:color w:val="auto"/>
          <w:sz w:val="24"/>
          <w:szCs w:val="24"/>
          <w:highlight w:val="none"/>
        </w:rPr>
        <w:t>磋商须知前附表；</w:t>
      </w:r>
    </w:p>
    <w:p w14:paraId="23964901">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第三章 </w:t>
      </w:r>
      <w:r>
        <w:rPr>
          <w:rFonts w:hint="eastAsia" w:ascii="宋体" w:hAnsi="宋体" w:cs="宋体"/>
          <w:color w:val="auto"/>
          <w:sz w:val="24"/>
          <w:szCs w:val="24"/>
          <w:highlight w:val="none"/>
        </w:rPr>
        <w:t>磋商须知；</w:t>
      </w:r>
    </w:p>
    <w:p w14:paraId="089CDCE2">
      <w:pPr>
        <w:spacing w:line="440" w:lineRule="exact"/>
        <w:ind w:firstLine="470" w:firstLineChars="19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第四章 磋商评审办法</w:t>
      </w:r>
    </w:p>
    <w:p w14:paraId="65CC385E">
      <w:pPr>
        <w:spacing w:line="440" w:lineRule="exact"/>
        <w:ind w:firstLine="470" w:firstLineChars="196"/>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第五章 采购项目服务需求</w:t>
      </w:r>
    </w:p>
    <w:p w14:paraId="66884789">
      <w:pPr>
        <w:spacing w:line="440" w:lineRule="exact"/>
        <w:ind w:firstLine="470" w:firstLineChars="19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第六章 合同条款及格式</w:t>
      </w:r>
    </w:p>
    <w:p w14:paraId="209676BE">
      <w:pPr>
        <w:spacing w:line="440" w:lineRule="exact"/>
        <w:ind w:firstLine="470" w:firstLineChars="19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第七章 响应文件格式</w:t>
      </w:r>
    </w:p>
    <w:p w14:paraId="56490298">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第八章 采购人、采购代理机构对本文件确认等</w:t>
      </w:r>
      <w:r>
        <w:rPr>
          <w:rFonts w:hint="eastAsia" w:ascii="宋体" w:hAnsi="宋体" w:cs="宋体"/>
          <w:color w:val="auto"/>
          <w:sz w:val="24"/>
          <w:szCs w:val="24"/>
          <w:highlight w:val="none"/>
        </w:rPr>
        <w:t>；</w:t>
      </w:r>
    </w:p>
    <w:p w14:paraId="125702F9">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12.2 供应商应认真阅读磋商文件中所有的事项、格式、条件、条款和规范等要求。</w:t>
      </w:r>
    </w:p>
    <w:p w14:paraId="7164F866">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12.3供应商应当按照磋商文件的要求编制响应文件。响应文件应对磋商文件提出的要求和条件作出实质性响应。</w:t>
      </w:r>
    </w:p>
    <w:p w14:paraId="35AFF5B9">
      <w:pPr>
        <w:spacing w:line="440" w:lineRule="exact"/>
        <w:ind w:firstLine="550"/>
        <w:rPr>
          <w:rFonts w:hint="eastAsia" w:ascii="宋体" w:hAnsi="宋体" w:cs="宋体"/>
          <w:color w:val="auto"/>
          <w:sz w:val="24"/>
          <w:szCs w:val="24"/>
          <w:highlight w:val="none"/>
        </w:rPr>
      </w:pPr>
      <w:r>
        <w:rPr>
          <w:rFonts w:hint="eastAsia" w:ascii="宋体" w:hAnsi="宋体" w:cs="宋体"/>
          <w:color w:val="auto"/>
          <w:sz w:val="24"/>
          <w:szCs w:val="24"/>
          <w:highlight w:val="none"/>
        </w:rPr>
        <w:t>12.4供应商获取磋商文件后，应仔细检查磋商文件的所有内容，如有残缺等问题应自获得磋商文件后于答疑截止时间前向某采购代理机构提出，否则，由此引起的损失由供应商自行承担。</w:t>
      </w:r>
    </w:p>
    <w:p w14:paraId="07CD27FA">
      <w:pPr>
        <w:spacing w:line="440" w:lineRule="exact"/>
        <w:ind w:firstLine="472" w:firstLineChars="196"/>
        <w:outlineLvl w:val="9"/>
        <w:rPr>
          <w:rFonts w:hint="eastAsia" w:ascii="宋体" w:hAnsi="宋体" w:cs="宋体"/>
          <w:b/>
          <w:color w:val="auto"/>
          <w:sz w:val="24"/>
          <w:szCs w:val="24"/>
          <w:highlight w:val="none"/>
        </w:rPr>
      </w:pPr>
      <w:bookmarkStart w:id="123" w:name="_Toc4219"/>
      <w:bookmarkStart w:id="124" w:name="_Toc1908"/>
      <w:bookmarkStart w:id="125" w:name="_Toc16279"/>
      <w:r>
        <w:rPr>
          <w:rFonts w:hint="eastAsia" w:ascii="宋体" w:hAnsi="宋体" w:cs="宋体"/>
          <w:b/>
          <w:color w:val="auto"/>
          <w:sz w:val="24"/>
          <w:szCs w:val="24"/>
          <w:highlight w:val="none"/>
        </w:rPr>
        <w:t>13.答疑及磋商文件的澄清与修改</w:t>
      </w:r>
      <w:bookmarkEnd w:id="123"/>
      <w:bookmarkEnd w:id="124"/>
      <w:bookmarkEnd w:id="125"/>
    </w:p>
    <w:p w14:paraId="53074EEF">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13.1供应商如果对磋商文件内容有相关疑问，可以于磋商须知前附表列明的答疑接受时间前，向采购人或代理机构提出。</w:t>
      </w:r>
    </w:p>
    <w:p w14:paraId="596E94F1">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13.2采购人或代理机构对磋商文件进行的答疑、澄清、变更或补充，将在网站上及时发布，该公告内容为磋商文件的组成部分，对供应商具有同样约束力。当磋商文件、磋商文件的答疑、澄清、变更或补充等在同一内容的表述上不一致时，以最后发出的书面文件为准。供应商应主动上网查询。采购人或代理机构不承担供应商未及时关注相关信息引发的相关责任。</w:t>
      </w:r>
    </w:p>
    <w:p w14:paraId="04AC4AC0">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13.3答疑、澄清、变更或补充的内容可能影响响应文件编制的，采购人或代理机构可以视采购具体情况，延长响应文件提交截止时间和磋商时间，并在磋商文件要求提交响应文件的截止时间前，在网站上发布延期公告。在上述情况下，采购人或代理机构和供应商在磋商截止期方面的全部权力、责任和义务，将适用于延长后新的磋商截止期。</w:t>
      </w:r>
    </w:p>
    <w:p w14:paraId="35D18EE1">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13.4特殊情况下，采购人或代理机构发布澄清、更正或更改公告后，征得供应商同意，可不改变响应文件提交截止时间和磋商时间。</w:t>
      </w:r>
    </w:p>
    <w:p w14:paraId="350A31A7">
      <w:pPr>
        <w:jc w:val="center"/>
        <w:outlineLvl w:val="9"/>
        <w:rPr>
          <w:rFonts w:hint="eastAsia" w:ascii="宋体" w:hAnsi="宋体" w:eastAsia="宋体" w:cs="宋体"/>
          <w:color w:val="auto"/>
          <w:sz w:val="28"/>
          <w:szCs w:val="28"/>
          <w:highlight w:val="none"/>
        </w:rPr>
      </w:pPr>
      <w:bookmarkStart w:id="126" w:name="_Toc28274"/>
      <w:bookmarkStart w:id="127" w:name="_Toc427016283"/>
      <w:bookmarkStart w:id="128" w:name="_Toc25140"/>
      <w:bookmarkStart w:id="129" w:name="_Toc519783885"/>
      <w:bookmarkStart w:id="130" w:name="_Toc461097054"/>
      <w:bookmarkStart w:id="131" w:name="_Toc32408"/>
      <w:r>
        <w:rPr>
          <w:rFonts w:hint="eastAsia" w:ascii="宋体" w:hAnsi="宋体" w:eastAsia="宋体" w:cs="宋体"/>
          <w:color w:val="auto"/>
          <w:sz w:val="28"/>
          <w:szCs w:val="28"/>
          <w:highlight w:val="none"/>
        </w:rPr>
        <w:t>（三）响应文件</w:t>
      </w:r>
      <w:bookmarkEnd w:id="126"/>
      <w:bookmarkEnd w:id="127"/>
      <w:bookmarkEnd w:id="128"/>
      <w:bookmarkEnd w:id="129"/>
      <w:bookmarkEnd w:id="130"/>
      <w:bookmarkEnd w:id="131"/>
    </w:p>
    <w:p w14:paraId="7D791EE5">
      <w:pPr>
        <w:spacing w:line="440" w:lineRule="exact"/>
        <w:ind w:firstLine="472" w:firstLineChars="196"/>
        <w:outlineLvl w:val="9"/>
        <w:rPr>
          <w:rFonts w:hint="eastAsia" w:ascii="宋体" w:hAnsi="宋体" w:eastAsia="宋体" w:cs="宋体"/>
          <w:b/>
          <w:color w:val="auto"/>
          <w:sz w:val="24"/>
          <w:szCs w:val="24"/>
          <w:highlight w:val="none"/>
        </w:rPr>
      </w:pPr>
      <w:bookmarkStart w:id="132" w:name="_Toc30405"/>
      <w:bookmarkStart w:id="133" w:name="_Toc12584"/>
      <w:bookmarkStart w:id="134" w:name="_Toc17956"/>
      <w:r>
        <w:rPr>
          <w:rFonts w:hint="eastAsia" w:ascii="宋体" w:hAnsi="宋体" w:eastAsia="宋体" w:cs="宋体"/>
          <w:b/>
          <w:color w:val="auto"/>
          <w:sz w:val="24"/>
          <w:szCs w:val="24"/>
          <w:highlight w:val="none"/>
        </w:rPr>
        <w:t>14.响应文件构成与格式</w:t>
      </w:r>
      <w:bookmarkEnd w:id="132"/>
      <w:bookmarkEnd w:id="133"/>
      <w:bookmarkEnd w:id="134"/>
    </w:p>
    <w:p w14:paraId="33D4AABC">
      <w:pPr>
        <w:spacing w:line="440" w:lineRule="exact"/>
        <w:ind w:firstLine="470" w:firstLineChars="196"/>
        <w:rPr>
          <w:rFonts w:hint="eastAsia" w:ascii="宋体" w:hAnsi="宋体" w:eastAsia="宋体" w:cs="宋体"/>
          <w:color w:val="auto"/>
          <w:sz w:val="24"/>
          <w:szCs w:val="24"/>
          <w:highlight w:val="none"/>
        </w:rPr>
      </w:pPr>
      <w:bookmarkStart w:id="135" w:name="_Hlt509650345"/>
      <w:bookmarkEnd w:id="135"/>
      <w:r>
        <w:rPr>
          <w:rFonts w:hint="eastAsia" w:ascii="宋体" w:hAnsi="宋体" w:eastAsia="宋体" w:cs="宋体"/>
          <w:color w:val="auto"/>
          <w:sz w:val="24"/>
          <w:szCs w:val="24"/>
          <w:highlight w:val="none"/>
        </w:rPr>
        <w:t>14.1所有服务方案只允许供应商有一个磋商方案，不接受任何有选择的方案和报价（包括有条件的折扣）。供应商未按要求，提供了选择方案或报价的，其磋商将被拒绝。</w:t>
      </w:r>
    </w:p>
    <w:p w14:paraId="150C5D63">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14.2响应文件由响应文件一（资信证明文件）、响应文件二（技术标）和响应文件三（商务标）三部分组成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均须单独装订成册和密封。供应商编写的响应文件应包括但不限于：</w:t>
      </w:r>
    </w:p>
    <w:p w14:paraId="2CE93898">
      <w:pPr>
        <w:spacing w:line="440" w:lineRule="exact"/>
        <w:ind w:firstLine="420" w:firstLineChars="0"/>
        <w:outlineLvl w:val="9"/>
        <w:rPr>
          <w:rFonts w:hint="eastAsia" w:ascii="宋体" w:hAnsi="宋体" w:eastAsia="宋体" w:cs="宋体"/>
          <w:b/>
          <w:color w:val="auto"/>
          <w:sz w:val="24"/>
          <w:szCs w:val="24"/>
          <w:highlight w:val="none"/>
        </w:rPr>
      </w:pPr>
      <w:bookmarkStart w:id="136" w:name="_Toc32705"/>
      <w:bookmarkStart w:id="137" w:name="_Toc7066"/>
      <w:bookmarkStart w:id="138" w:name="_Toc8803"/>
      <w:r>
        <w:rPr>
          <w:rFonts w:hint="eastAsia" w:ascii="宋体" w:hAnsi="宋体" w:eastAsia="宋体" w:cs="宋体"/>
          <w:b/>
          <w:color w:val="auto"/>
          <w:sz w:val="24"/>
          <w:szCs w:val="24"/>
          <w:highlight w:val="none"/>
        </w:rPr>
        <w:t>14.2.1响应文件一（资信证明文件）</w:t>
      </w:r>
      <w:bookmarkEnd w:id="136"/>
      <w:bookmarkEnd w:id="137"/>
      <w:bookmarkEnd w:id="138"/>
    </w:p>
    <w:p w14:paraId="04E2ECA1">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（1）法定代表人身份证明及其有效身份证（或法定代表人授权委托书及其有效身份证）（格式见附件）；</w:t>
      </w:r>
    </w:p>
    <w:p w14:paraId="0DCE7AC2">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（2）供应商有效的营业执照（或三证合一的有效证件）；</w:t>
      </w:r>
    </w:p>
    <w:p w14:paraId="600B3CF9">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资质证书</w:t>
      </w:r>
      <w:r>
        <w:rPr>
          <w:rFonts w:hint="eastAsia" w:ascii="宋体" w:hAnsi="宋体" w:eastAsia="宋体" w:cs="宋体"/>
          <w:color w:val="auto"/>
          <w:sz w:val="24"/>
          <w:szCs w:val="24"/>
          <w:highlight w:val="none"/>
        </w:rPr>
        <w:t>；</w:t>
      </w:r>
    </w:p>
    <w:p w14:paraId="495C5FED">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项目负责人证书</w:t>
      </w:r>
      <w:r>
        <w:rPr>
          <w:rFonts w:hint="eastAsia" w:ascii="宋体" w:hAnsi="宋体" w:eastAsia="宋体" w:cs="宋体"/>
          <w:color w:val="auto"/>
          <w:sz w:val="24"/>
          <w:szCs w:val="24"/>
          <w:highlight w:val="none"/>
        </w:rPr>
        <w:t>；</w:t>
      </w:r>
    </w:p>
    <w:p w14:paraId="480E82D2">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）诚信响应承诺书（格式见附件）；</w:t>
      </w:r>
    </w:p>
    <w:p w14:paraId="3FD362D1">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）资信评审评分细则中所需要的证明材料；</w:t>
      </w:r>
    </w:p>
    <w:p w14:paraId="4B30BC87">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）供应商针对本项目认为需要提供的其他证明材料。</w:t>
      </w:r>
    </w:p>
    <w:p w14:paraId="692CAEA4">
      <w:pPr>
        <w:spacing w:line="440" w:lineRule="exact"/>
        <w:ind w:firstLine="420" w:firstLineChars="0"/>
        <w:rPr>
          <w:rFonts w:hint="eastAsia" w:ascii="宋体" w:hAnsi="宋体" w:eastAsia="宋体" w:cs="宋体"/>
          <w:b/>
          <w:bCs/>
          <w:color w:val="auto"/>
          <w:kern w:val="0"/>
          <w:sz w:val="24"/>
          <w:szCs w:val="24"/>
          <w:highlight w:val="none"/>
          <w:u w:val="none" w:color="000000"/>
        </w:rPr>
      </w:pPr>
      <w:r>
        <w:rPr>
          <w:rFonts w:hint="eastAsia" w:ascii="宋体" w:hAnsi="宋体" w:eastAsia="宋体" w:cs="宋体"/>
          <w:b/>
          <w:bCs/>
          <w:color w:val="auto"/>
          <w:sz w:val="24"/>
          <w:szCs w:val="24"/>
          <w:highlight w:val="none"/>
        </w:rPr>
        <w:t>以上材料须按顺序装订，供应商所提交的</w:t>
      </w:r>
      <w:r>
        <w:rPr>
          <w:rFonts w:hint="eastAsia" w:ascii="宋体" w:hAnsi="宋体" w:eastAsia="宋体" w:cs="宋体"/>
          <w:b/>
          <w:color w:val="auto"/>
          <w:sz w:val="24"/>
          <w:szCs w:val="24"/>
          <w:highlight w:val="none"/>
        </w:rPr>
        <w:t>资信</w:t>
      </w:r>
      <w:r>
        <w:rPr>
          <w:rFonts w:hint="eastAsia" w:ascii="宋体" w:hAnsi="宋体" w:eastAsia="宋体" w:cs="宋体"/>
          <w:b/>
          <w:bCs/>
          <w:color w:val="auto"/>
          <w:sz w:val="24"/>
          <w:szCs w:val="24"/>
          <w:highlight w:val="none"/>
        </w:rPr>
        <w:t>文件的完整与否，直接影响供应商的评审</w:t>
      </w:r>
      <w:r>
        <w:rPr>
          <w:rFonts w:hint="eastAsia" w:ascii="宋体" w:hAnsi="宋体" w:eastAsia="宋体" w:cs="宋体"/>
          <w:b/>
          <w:bCs/>
          <w:color w:val="auto"/>
          <w:kern w:val="0"/>
          <w:sz w:val="24"/>
          <w:szCs w:val="24"/>
          <w:highlight w:val="none"/>
          <w:u w:val="none" w:color="000000"/>
        </w:rPr>
        <w:t>。</w:t>
      </w:r>
    </w:p>
    <w:p w14:paraId="6810FA14">
      <w:pPr>
        <w:spacing w:line="440" w:lineRule="exact"/>
        <w:ind w:left="0" w:leftChars="0" w:firstLine="420"/>
        <w:outlineLvl w:val="9"/>
        <w:rPr>
          <w:rFonts w:hint="eastAsia" w:ascii="宋体" w:hAnsi="宋体" w:eastAsia="宋体" w:cs="宋体"/>
          <w:b/>
          <w:color w:val="auto"/>
          <w:sz w:val="24"/>
          <w:szCs w:val="24"/>
          <w:highlight w:val="none"/>
        </w:rPr>
      </w:pPr>
      <w:bookmarkStart w:id="139" w:name="_Toc7363"/>
      <w:bookmarkStart w:id="140" w:name="_Toc4102"/>
      <w:bookmarkStart w:id="141" w:name="_Toc9032"/>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.2.2响应文件二（技术标）</w:t>
      </w:r>
      <w:bookmarkEnd w:id="139"/>
      <w:bookmarkEnd w:id="140"/>
      <w:bookmarkEnd w:id="141"/>
    </w:p>
    <w:p w14:paraId="0A00E980">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（1）技术评分所需内容；</w:t>
      </w:r>
    </w:p>
    <w:p w14:paraId="3A4772BE">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（2）服务承诺：是否响应磋商文件要求的书面说明和服务承诺书（格式见附件）；</w:t>
      </w:r>
    </w:p>
    <w:p w14:paraId="7ACA724C">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（3）供应商认为需要提供的其他材料。</w:t>
      </w:r>
    </w:p>
    <w:p w14:paraId="4813D6D3">
      <w:pPr>
        <w:spacing w:line="440" w:lineRule="exact"/>
        <w:ind w:right="0" w:firstLine="420" w:firstLineChars="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以上材料须按顺序装订，供应商所提交的技术文件的完整与否，直接影响供应商的评审。 </w:t>
      </w:r>
    </w:p>
    <w:p w14:paraId="23BD8086">
      <w:pPr>
        <w:spacing w:line="440" w:lineRule="exact"/>
        <w:ind w:left="0" w:leftChars="0" w:firstLine="420"/>
        <w:outlineLvl w:val="9"/>
        <w:rPr>
          <w:rFonts w:hint="eastAsia" w:ascii="宋体" w:hAnsi="宋体" w:eastAsia="宋体" w:cs="宋体"/>
          <w:b/>
          <w:color w:val="auto"/>
          <w:sz w:val="24"/>
          <w:szCs w:val="24"/>
          <w:highlight w:val="none"/>
        </w:rPr>
      </w:pPr>
      <w:bookmarkStart w:id="142" w:name="_Toc1121"/>
      <w:bookmarkStart w:id="143" w:name="_Toc4191"/>
      <w:bookmarkStart w:id="144" w:name="_Toc11992"/>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.2.3响应文件三（商务标）</w:t>
      </w:r>
      <w:bookmarkEnd w:id="142"/>
      <w:bookmarkEnd w:id="143"/>
      <w:bookmarkEnd w:id="144"/>
    </w:p>
    <w:p w14:paraId="365E1E32">
      <w:pPr>
        <w:spacing w:line="440" w:lineRule="exact"/>
        <w:ind w:firstLine="420" w:firstLineChars="0"/>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（1）开标一览表（格式见附件）；</w:t>
      </w:r>
    </w:p>
    <w:p w14:paraId="3B80A609">
      <w:pPr>
        <w:spacing w:line="440" w:lineRule="exact"/>
        <w:ind w:firstLine="420" w:firstLineChars="0"/>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（2）磋商响应函（格式见附件）；</w:t>
      </w:r>
    </w:p>
    <w:p w14:paraId="764ACAA4">
      <w:pPr>
        <w:spacing w:line="440" w:lineRule="exact"/>
        <w:ind w:firstLine="420" w:firstLineChars="0"/>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w:t>
      </w:r>
      <w:r>
        <w:rPr>
          <w:rFonts w:hint="eastAsia" w:ascii="宋体" w:hAnsi="宋体" w:eastAsia="宋体" w:cs="宋体"/>
          <w:color w:val="auto"/>
          <w:kern w:val="0"/>
          <w:sz w:val="24"/>
          <w:szCs w:val="24"/>
          <w:highlight w:val="none"/>
          <w:u w:val="none" w:color="000000"/>
          <w:lang w:val="en-US" w:eastAsia="zh-CN"/>
        </w:rPr>
        <w:t>3</w:t>
      </w:r>
      <w:r>
        <w:rPr>
          <w:rFonts w:hint="eastAsia" w:ascii="宋体" w:hAnsi="宋体" w:eastAsia="宋体" w:cs="宋体"/>
          <w:color w:val="auto"/>
          <w:kern w:val="0"/>
          <w:sz w:val="24"/>
          <w:szCs w:val="24"/>
          <w:highlight w:val="none"/>
          <w:u w:val="none" w:color="000000"/>
        </w:rPr>
        <w:t>）供应商认为需要提供的</w:t>
      </w:r>
      <w:r>
        <w:rPr>
          <w:rFonts w:hint="eastAsia" w:ascii="宋体" w:hAnsi="宋体" w:eastAsia="宋体" w:cs="宋体"/>
          <w:color w:val="auto"/>
          <w:kern w:val="0"/>
          <w:sz w:val="24"/>
          <w:szCs w:val="24"/>
          <w:highlight w:val="none"/>
          <w:u w:val="none" w:color="000000"/>
          <w:lang w:val="en-US" w:eastAsia="zh-CN"/>
        </w:rPr>
        <w:t>商务评审所需</w:t>
      </w:r>
      <w:r>
        <w:rPr>
          <w:rFonts w:hint="eastAsia" w:ascii="宋体" w:hAnsi="宋体" w:eastAsia="宋体" w:cs="宋体"/>
          <w:color w:val="auto"/>
          <w:kern w:val="0"/>
          <w:sz w:val="24"/>
          <w:szCs w:val="24"/>
          <w:highlight w:val="none"/>
          <w:u w:val="none" w:color="000000"/>
        </w:rPr>
        <w:t>其他材料。</w:t>
      </w:r>
    </w:p>
    <w:p w14:paraId="146916DD">
      <w:pPr>
        <w:spacing w:line="440" w:lineRule="exact"/>
        <w:ind w:firstLine="42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以上材料须按顺序装订，供应商所提交的商务标文件的完整与否，直接影响供应商的评审。</w:t>
      </w:r>
    </w:p>
    <w:p w14:paraId="7FA14CC9">
      <w:pPr>
        <w:pageBreakBefore w:val="0"/>
        <w:kinsoku/>
        <w:wordWrap/>
        <w:topLinePunct w:val="0"/>
        <w:bidi w:val="0"/>
        <w:spacing w:line="440" w:lineRule="exact"/>
        <w:ind w:left="0" w:leftChars="0" w:right="0" w:rightChars="0" w:firstLine="420" w:firstLineChars="0"/>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14.3响应文件编制</w:t>
      </w:r>
    </w:p>
    <w:p w14:paraId="67B73356">
      <w:pPr>
        <w:pageBreakBefore w:val="0"/>
        <w:kinsoku/>
        <w:wordWrap/>
        <w:topLinePunct w:val="0"/>
        <w:bidi w:val="0"/>
        <w:spacing w:line="440" w:lineRule="exact"/>
        <w:ind w:left="0" w:leftChars="0" w:right="0" w:rightChars="0" w:firstLine="420" w:firstLineChars="0"/>
        <w:rPr>
          <w:rFonts w:hint="eastAsia" w:ascii="宋体" w:hAnsi="宋体" w:eastAsia="宋体" w:cs="宋体"/>
          <w:color w:val="auto"/>
          <w:sz w:val="24"/>
          <w:szCs w:val="24"/>
          <w:highlight w:val="none"/>
          <w:shd w:val="clear" w:color="auto" w:fill="FFFFFF"/>
        </w:rPr>
      </w:pPr>
      <w:bookmarkStart w:id="145" w:name="_Toc246996940"/>
      <w:bookmarkStart w:id="146" w:name="_Toc246996197"/>
      <w:bookmarkStart w:id="147" w:name="_Toc179632571"/>
      <w:bookmarkStart w:id="148" w:name="_Toc152045553"/>
      <w:bookmarkStart w:id="149" w:name="_Toc144974521"/>
      <w:bookmarkStart w:id="150" w:name="_Toc247085711"/>
      <w:bookmarkStart w:id="151" w:name="_Toc152042329"/>
      <w:r>
        <w:rPr>
          <w:rFonts w:hint="eastAsia" w:ascii="宋体" w:hAnsi="宋体" w:eastAsia="宋体" w:cs="宋体"/>
          <w:color w:val="auto"/>
          <w:sz w:val="24"/>
          <w:szCs w:val="24"/>
          <w:highlight w:val="none"/>
          <w:shd w:val="clear" w:color="auto" w:fill="FFFFFF"/>
          <w:lang w:val="en-US" w:eastAsia="zh-CN"/>
        </w:rPr>
        <w:t>14.3</w:t>
      </w: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响应</w:t>
      </w:r>
      <w:r>
        <w:rPr>
          <w:rFonts w:hint="eastAsia" w:ascii="宋体" w:hAnsi="宋体" w:eastAsia="宋体" w:cs="宋体"/>
          <w:color w:val="auto"/>
          <w:sz w:val="24"/>
          <w:szCs w:val="24"/>
          <w:highlight w:val="none"/>
          <w:shd w:val="clear" w:color="auto" w:fill="FFFFFF"/>
        </w:rPr>
        <w:t>文件应按“</w:t>
      </w:r>
      <w:r>
        <w:rPr>
          <w:rFonts w:hint="eastAsia" w:ascii="宋体" w:hAnsi="宋体" w:eastAsia="宋体" w:cs="宋体"/>
          <w:color w:val="auto"/>
          <w:sz w:val="24"/>
          <w:szCs w:val="24"/>
          <w:highlight w:val="none"/>
          <w:shd w:val="clear" w:color="auto" w:fill="FFFFFF"/>
          <w:lang w:val="en-US" w:eastAsia="zh-CN"/>
        </w:rPr>
        <w:t>响应</w:t>
      </w:r>
      <w:r>
        <w:rPr>
          <w:rFonts w:hint="eastAsia" w:ascii="宋体" w:hAnsi="宋体" w:eastAsia="宋体" w:cs="宋体"/>
          <w:color w:val="auto"/>
          <w:sz w:val="24"/>
          <w:szCs w:val="24"/>
          <w:highlight w:val="none"/>
          <w:shd w:val="clear" w:color="auto" w:fill="FFFFFF"/>
        </w:rPr>
        <w:t>文件格式”进行编写，如有必要，可以增加附页，作为</w:t>
      </w:r>
      <w:r>
        <w:rPr>
          <w:rFonts w:hint="eastAsia" w:ascii="宋体" w:hAnsi="宋体" w:eastAsia="宋体" w:cs="宋体"/>
          <w:color w:val="auto"/>
          <w:sz w:val="24"/>
          <w:szCs w:val="24"/>
          <w:highlight w:val="none"/>
          <w:shd w:val="clear" w:color="auto" w:fill="FFFFFF"/>
          <w:lang w:val="en-US" w:eastAsia="zh-CN"/>
        </w:rPr>
        <w:t>响应</w:t>
      </w:r>
      <w:r>
        <w:rPr>
          <w:rFonts w:hint="eastAsia" w:ascii="宋体" w:hAnsi="宋体" w:eastAsia="宋体" w:cs="宋体"/>
          <w:color w:val="auto"/>
          <w:sz w:val="24"/>
          <w:szCs w:val="24"/>
          <w:highlight w:val="none"/>
          <w:shd w:val="clear" w:color="auto" w:fill="FFFFFF"/>
        </w:rPr>
        <w:t>文件的组成部分。其中，投标函在满足</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文件实质性要求的基础上，可以提出比</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文件要求更有利于</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人的承诺。</w:t>
      </w:r>
    </w:p>
    <w:p w14:paraId="68A76F2A">
      <w:pPr>
        <w:pageBreakBefore w:val="0"/>
        <w:kinsoku/>
        <w:wordWrap/>
        <w:topLinePunct w:val="0"/>
        <w:bidi w:val="0"/>
        <w:spacing w:line="440" w:lineRule="exact"/>
        <w:ind w:left="0" w:leftChars="0" w:right="0" w:rightChars="0" w:firstLine="420" w:firstLine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14.3.3响应</w:t>
      </w:r>
      <w:r>
        <w:rPr>
          <w:rFonts w:hint="eastAsia" w:ascii="宋体" w:hAnsi="宋体" w:eastAsia="宋体" w:cs="宋体"/>
          <w:color w:val="auto"/>
          <w:sz w:val="24"/>
          <w:szCs w:val="24"/>
          <w:highlight w:val="none"/>
          <w:shd w:val="clear" w:color="auto" w:fill="FFFFFF"/>
        </w:rPr>
        <w:t>文件应当对</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文件有关工期、投标有效期、质量要求、技术标准和要求、</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范围等实质性内容作出响应。</w:t>
      </w:r>
    </w:p>
    <w:bookmarkEnd w:id="145"/>
    <w:bookmarkEnd w:id="146"/>
    <w:bookmarkEnd w:id="147"/>
    <w:bookmarkEnd w:id="148"/>
    <w:bookmarkEnd w:id="149"/>
    <w:bookmarkEnd w:id="150"/>
    <w:bookmarkEnd w:id="151"/>
    <w:p w14:paraId="516CF441">
      <w:pPr>
        <w:pageBreakBefore w:val="0"/>
        <w:kinsoku/>
        <w:wordWrap/>
        <w:topLinePunct w:val="0"/>
        <w:bidi w:val="0"/>
        <w:spacing w:line="440" w:lineRule="exact"/>
        <w:ind w:left="0" w:leftChars="0" w:right="0" w:rightChars="0" w:firstLine="420" w:firstLine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14.3.4采购人</w:t>
      </w:r>
      <w:r>
        <w:rPr>
          <w:rFonts w:hint="eastAsia" w:ascii="宋体" w:hAnsi="宋体" w:eastAsia="宋体" w:cs="宋体"/>
          <w:color w:val="auto"/>
          <w:sz w:val="24"/>
          <w:szCs w:val="24"/>
          <w:highlight w:val="none"/>
          <w:shd w:val="clear" w:color="auto" w:fill="FFFFFF"/>
        </w:rPr>
        <w:t>有权核查</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在</w:t>
      </w:r>
      <w:r>
        <w:rPr>
          <w:rFonts w:hint="eastAsia" w:ascii="宋体" w:hAnsi="宋体" w:eastAsia="宋体" w:cs="宋体"/>
          <w:color w:val="auto"/>
          <w:sz w:val="24"/>
          <w:szCs w:val="24"/>
          <w:highlight w:val="none"/>
          <w:shd w:val="clear" w:color="auto" w:fill="FFFFFF"/>
          <w:lang w:val="en-US" w:eastAsia="zh-CN"/>
        </w:rPr>
        <w:t>响应</w:t>
      </w:r>
      <w:r>
        <w:rPr>
          <w:rFonts w:hint="eastAsia" w:ascii="宋体" w:hAnsi="宋体" w:eastAsia="宋体" w:cs="宋体"/>
          <w:color w:val="auto"/>
          <w:sz w:val="24"/>
          <w:szCs w:val="24"/>
          <w:highlight w:val="none"/>
          <w:shd w:val="clear" w:color="auto" w:fill="FFFFFF"/>
        </w:rPr>
        <w:t>文件中提供的资料，若在评</w:t>
      </w:r>
      <w:r>
        <w:rPr>
          <w:rFonts w:hint="eastAsia" w:ascii="宋体" w:hAnsi="宋体" w:eastAsia="宋体" w:cs="宋体"/>
          <w:color w:val="auto"/>
          <w:sz w:val="24"/>
          <w:szCs w:val="24"/>
          <w:highlight w:val="none"/>
          <w:shd w:val="clear" w:color="auto" w:fill="FFFFFF"/>
          <w:lang w:val="en-US" w:eastAsia="zh-CN"/>
        </w:rPr>
        <w:t>审</w:t>
      </w:r>
      <w:r>
        <w:rPr>
          <w:rFonts w:hint="eastAsia" w:ascii="宋体" w:hAnsi="宋体" w:eastAsia="宋体" w:cs="宋体"/>
          <w:color w:val="auto"/>
          <w:sz w:val="24"/>
          <w:szCs w:val="24"/>
          <w:highlight w:val="none"/>
          <w:shd w:val="clear" w:color="auto" w:fill="FFFFFF"/>
        </w:rPr>
        <w:t>期间发现</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提供了虚假资料，其</w:t>
      </w:r>
      <w:r>
        <w:rPr>
          <w:rFonts w:hint="eastAsia" w:ascii="宋体" w:hAnsi="宋体" w:eastAsia="宋体" w:cs="宋体"/>
          <w:color w:val="auto"/>
          <w:sz w:val="24"/>
          <w:szCs w:val="24"/>
          <w:highlight w:val="none"/>
          <w:shd w:val="clear" w:color="auto" w:fill="FFFFFF"/>
          <w:lang w:val="en-US" w:eastAsia="zh-CN"/>
        </w:rPr>
        <w:t>磋商</w:t>
      </w:r>
      <w:r>
        <w:rPr>
          <w:rFonts w:hint="eastAsia" w:ascii="宋体" w:hAnsi="宋体" w:eastAsia="宋体" w:cs="宋体"/>
          <w:color w:val="auto"/>
          <w:sz w:val="24"/>
          <w:szCs w:val="24"/>
          <w:highlight w:val="none"/>
          <w:shd w:val="clear" w:color="auto" w:fill="FFFFFF"/>
        </w:rPr>
        <w:t>将被否决；若在签订合同前发现作为</w:t>
      </w:r>
      <w:r>
        <w:rPr>
          <w:rFonts w:hint="eastAsia" w:ascii="宋体" w:hAnsi="宋体" w:eastAsia="宋体" w:cs="宋体"/>
          <w:color w:val="auto"/>
          <w:sz w:val="24"/>
          <w:szCs w:val="24"/>
          <w:highlight w:val="none"/>
          <w:shd w:val="clear" w:color="auto" w:fill="FFFFFF"/>
          <w:lang w:val="en-US" w:eastAsia="zh-CN"/>
        </w:rPr>
        <w:t>成交人</w:t>
      </w:r>
      <w:r>
        <w:rPr>
          <w:rFonts w:hint="eastAsia" w:ascii="宋体" w:hAnsi="宋体" w:eastAsia="宋体" w:cs="宋体"/>
          <w:color w:val="auto"/>
          <w:sz w:val="24"/>
          <w:szCs w:val="24"/>
          <w:highlight w:val="none"/>
          <w:shd w:val="clear" w:color="auto" w:fill="FFFFFF"/>
        </w:rPr>
        <w:t>的</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提供了虚假资料，</w:t>
      </w:r>
      <w:r>
        <w:rPr>
          <w:rFonts w:hint="eastAsia" w:ascii="宋体" w:hAnsi="宋体" w:eastAsia="宋体" w:cs="宋体"/>
          <w:color w:val="auto"/>
          <w:sz w:val="24"/>
          <w:szCs w:val="24"/>
          <w:highlight w:val="none"/>
          <w:shd w:val="clear" w:color="auto" w:fill="FFFFFF"/>
          <w:lang w:val="en-US" w:eastAsia="zh-CN"/>
        </w:rPr>
        <w:t>采购人</w:t>
      </w:r>
      <w:r>
        <w:rPr>
          <w:rFonts w:hint="eastAsia" w:ascii="宋体" w:hAnsi="宋体" w:eastAsia="宋体" w:cs="宋体"/>
          <w:color w:val="auto"/>
          <w:sz w:val="24"/>
          <w:szCs w:val="24"/>
          <w:highlight w:val="none"/>
          <w:shd w:val="clear" w:color="auto" w:fill="FFFFFF"/>
        </w:rPr>
        <w:t>有权取消其</w:t>
      </w:r>
      <w:r>
        <w:rPr>
          <w:rFonts w:hint="eastAsia" w:ascii="宋体" w:hAnsi="宋体" w:eastAsia="宋体" w:cs="宋体"/>
          <w:color w:val="auto"/>
          <w:sz w:val="24"/>
          <w:szCs w:val="24"/>
          <w:highlight w:val="none"/>
          <w:shd w:val="clear" w:color="auto" w:fill="FFFFFF"/>
          <w:lang w:val="en-US" w:eastAsia="zh-CN"/>
        </w:rPr>
        <w:t>成交</w:t>
      </w:r>
      <w:r>
        <w:rPr>
          <w:rFonts w:hint="eastAsia" w:ascii="宋体" w:hAnsi="宋体" w:eastAsia="宋体" w:cs="宋体"/>
          <w:color w:val="auto"/>
          <w:sz w:val="24"/>
          <w:szCs w:val="24"/>
          <w:highlight w:val="none"/>
          <w:shd w:val="clear" w:color="auto" w:fill="FFFFFF"/>
        </w:rPr>
        <w:t>资格；如果签订合同后发现</w:t>
      </w:r>
      <w:r>
        <w:rPr>
          <w:rFonts w:hint="eastAsia" w:ascii="宋体" w:hAnsi="宋体" w:eastAsia="宋体" w:cs="宋体"/>
          <w:color w:val="auto"/>
          <w:sz w:val="24"/>
          <w:szCs w:val="24"/>
          <w:highlight w:val="none"/>
          <w:shd w:val="clear" w:color="auto" w:fill="FFFFFF"/>
          <w:lang w:val="en-US" w:eastAsia="zh-CN"/>
        </w:rPr>
        <w:t>成交人</w:t>
      </w:r>
      <w:r>
        <w:rPr>
          <w:rFonts w:hint="eastAsia" w:ascii="宋体" w:hAnsi="宋体" w:eastAsia="宋体" w:cs="宋体"/>
          <w:color w:val="auto"/>
          <w:sz w:val="24"/>
          <w:szCs w:val="24"/>
          <w:highlight w:val="none"/>
          <w:shd w:val="clear" w:color="auto" w:fill="FFFFFF"/>
        </w:rPr>
        <w:t>提供了虚假材料，</w:t>
      </w:r>
      <w:r>
        <w:rPr>
          <w:rFonts w:hint="eastAsia" w:ascii="宋体" w:hAnsi="宋体" w:eastAsia="宋体" w:cs="宋体"/>
          <w:color w:val="auto"/>
          <w:sz w:val="24"/>
          <w:szCs w:val="24"/>
          <w:highlight w:val="none"/>
          <w:shd w:val="clear" w:color="auto" w:fill="FFFFFF"/>
          <w:lang w:val="en-US" w:eastAsia="zh-CN"/>
        </w:rPr>
        <w:t>采购人</w:t>
      </w:r>
      <w:r>
        <w:rPr>
          <w:rFonts w:hint="eastAsia" w:ascii="宋体" w:hAnsi="宋体" w:eastAsia="宋体" w:cs="宋体"/>
          <w:color w:val="auto"/>
          <w:sz w:val="24"/>
          <w:szCs w:val="24"/>
          <w:highlight w:val="none"/>
          <w:shd w:val="clear" w:color="auto" w:fill="FFFFFF"/>
        </w:rPr>
        <w:t>有权解除合同。</w:t>
      </w:r>
    </w:p>
    <w:p w14:paraId="7E33EAB9">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除非注明“供应商可自行制作格式”，响应文件应使用磋商文件提供的格式。</w:t>
      </w:r>
    </w:p>
    <w:p w14:paraId="56D9C80F">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除专用术语外，响应文件以及供应商与采购人就有关磋商的往来函电均应使用中文。供应商提交的支持性文件和印制的文件可以用另一种语言，但相应内容应翻译成中文，对不同文字文本响应文件的解释发生异议的，以中文文本为准。</w:t>
      </w:r>
    </w:p>
    <w:p w14:paraId="7D8743F0">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除非磋商文件另有规定，响应文件应使用中华人民共和国法定计量单位。</w:t>
      </w:r>
    </w:p>
    <w:p w14:paraId="2124C130">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除非磋商文件另有规定，响应文件应使用人民币填报所有报价。允许以多种货币报价的，或涉及合同金额等计算的，均按照中国人民银行在磋商当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14:paraId="07EF71BA">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供应商资质证书（或资格证明）处于年检、换证、升级、变更等期间，除非法律法规或发证机构有书面材料明确表明供应商资质（或资格）有效，否则一律不予认可。</w:t>
      </w:r>
    </w:p>
    <w:p w14:paraId="0FA69933">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采购人保留要求成交供应商提供其响应文件电子版的权利。</w:t>
      </w:r>
    </w:p>
    <w:p w14:paraId="3B04D6B8">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采购代理机构一律不予退还供应商的响应文件。</w:t>
      </w:r>
    </w:p>
    <w:p w14:paraId="38B097C7">
      <w:pPr>
        <w:numPr>
          <w:ilvl w:val="0"/>
          <w:numId w:val="0"/>
        </w:numPr>
        <w:spacing w:line="440" w:lineRule="exact"/>
        <w:ind w:firstLine="472" w:firstLineChars="196"/>
        <w:outlineLvl w:val="9"/>
        <w:rPr>
          <w:rFonts w:hint="eastAsia" w:ascii="宋体" w:hAnsi="宋体" w:eastAsia="宋体" w:cs="宋体"/>
          <w:b/>
          <w:color w:val="auto"/>
          <w:sz w:val="24"/>
          <w:szCs w:val="24"/>
          <w:highlight w:val="none"/>
        </w:rPr>
      </w:pPr>
      <w:bookmarkStart w:id="152" w:name="_Toc28964"/>
      <w:bookmarkStart w:id="153" w:name="_Toc12193"/>
      <w:bookmarkStart w:id="154" w:name="_Toc32009"/>
      <w:r>
        <w:rPr>
          <w:rFonts w:hint="eastAsia" w:ascii="宋体" w:hAnsi="宋体" w:eastAsia="宋体" w:cs="宋体"/>
          <w:b/>
          <w:color w:val="auto"/>
          <w:kern w:val="2"/>
          <w:sz w:val="24"/>
          <w:szCs w:val="24"/>
          <w:highlight w:val="none"/>
          <w:lang w:val="en-US" w:eastAsia="zh-CN" w:bidi="ar-SA"/>
        </w:rPr>
        <w:t>15.</w:t>
      </w:r>
      <w:r>
        <w:rPr>
          <w:rFonts w:hint="eastAsia" w:ascii="宋体" w:hAnsi="宋体" w:eastAsia="宋体" w:cs="宋体"/>
          <w:b/>
          <w:color w:val="auto"/>
          <w:sz w:val="24"/>
          <w:szCs w:val="24"/>
          <w:highlight w:val="none"/>
        </w:rPr>
        <w:t>报价</w:t>
      </w:r>
      <w:bookmarkEnd w:id="152"/>
      <w:bookmarkEnd w:id="153"/>
      <w:bookmarkEnd w:id="154"/>
    </w:p>
    <w:p w14:paraId="513FD5F6">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15.1供应商应以“包”为报价的基本单位。除非磋商文件另有规定，若整个需求分为若干包，则供应商可选择其中的部分或所有包报价。包内所有项目均应报价（赠送的除外）。</w:t>
      </w:r>
    </w:p>
    <w:p w14:paraId="156DF32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磋商报价为供应商在磋商文件中提出的各项支付金额的总和。包括本次磋商全部内容及工期的成本、利润、税金、运输费、损耗等所有费用。技术规范要求的费用也应包括在磋商报价中，供应商应在响应文件中注明拟提供货物或服务的单价明细和总价。</w:t>
      </w:r>
    </w:p>
    <w:p w14:paraId="70784F58">
      <w:pPr>
        <w:spacing w:line="440" w:lineRule="exact"/>
        <w:ind w:firstLine="480" w:firstLineChars="200"/>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15.3报价应当低于同类货物和服务的市场平均价格。除非磋商文件另有规定或经采购人同意支付的，最终报价均不得高于磋商文件（公告）列明的控制价、项目预算。</w:t>
      </w:r>
    </w:p>
    <w:p w14:paraId="5EC2A39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15.4供应商应在响应文件中注明拟提供货物或服务的单价明细和总价。如果有计算或累加上的算术错误，将按以下方法进行修正：</w:t>
      </w:r>
    </w:p>
    <w:p w14:paraId="2F3773F9">
      <w:pPr>
        <w:spacing w:line="44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（1）如单价累计与总价不符，以单价累计为准；</w:t>
      </w:r>
    </w:p>
    <w:p w14:paraId="72DE674E">
      <w:pPr>
        <w:spacing w:line="44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（2）小写与大写不符，以大写为准。</w:t>
      </w:r>
    </w:p>
    <w:p w14:paraId="484A6404">
      <w:pPr>
        <w:spacing w:line="44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15.5除非磋商文件另有规定，每一包只允许有一个最终报价，任何有选择的报价或替代方案将导致响应文件无效。</w:t>
      </w:r>
    </w:p>
    <w:p w14:paraId="1C13CC63">
      <w:pPr>
        <w:spacing w:line="440" w:lineRule="exact"/>
        <w:ind w:firstLine="590" w:firstLineChars="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15.6采购人不建议供应商采用总价优惠或以总价百分比优惠的方式进行磋商报价，其优惠可直接计算并体现在各项磋商报价的单价中。</w:t>
      </w:r>
    </w:p>
    <w:p w14:paraId="284C4712">
      <w:pPr>
        <w:spacing w:line="440" w:lineRule="exact"/>
        <w:ind w:firstLine="590" w:firstLineChars="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15.7除非磋商文件另有规定，报价原则精确到小数点后两位，如不足两位，按照两位计算，如超出两位，按照四舍五入方式计算至小数点后两位（报价单位按磋商文件约定）。</w:t>
      </w:r>
    </w:p>
    <w:p w14:paraId="470F7892">
      <w:pPr>
        <w:spacing w:line="440" w:lineRule="exact"/>
        <w:ind w:firstLine="590" w:firstLineChars="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15.8除国家政策性文件规定以外，供应商所报价格在合同实施期间不因市场变化因素而变动。</w:t>
      </w:r>
    </w:p>
    <w:p w14:paraId="25AE86DA">
      <w:pPr>
        <w:spacing w:line="440" w:lineRule="exact"/>
        <w:ind w:firstLine="593" w:firstLineChars="246"/>
        <w:outlineLvl w:val="9"/>
        <w:rPr>
          <w:rFonts w:hint="eastAsia" w:ascii="宋体" w:hAnsi="宋体" w:eastAsia="宋体" w:cs="宋体"/>
          <w:b/>
          <w:color w:val="auto"/>
          <w:sz w:val="24"/>
          <w:szCs w:val="24"/>
          <w:highlight w:val="none"/>
        </w:rPr>
      </w:pPr>
      <w:bookmarkStart w:id="155" w:name="_Toc6196"/>
      <w:bookmarkStart w:id="156" w:name="_Toc31083"/>
      <w:bookmarkStart w:id="157" w:name="_Toc568"/>
      <w:r>
        <w:rPr>
          <w:rFonts w:hint="eastAsia" w:ascii="宋体" w:hAnsi="宋体" w:eastAsia="宋体" w:cs="宋体"/>
          <w:b/>
          <w:color w:val="auto"/>
          <w:sz w:val="24"/>
          <w:szCs w:val="24"/>
          <w:highlight w:val="none"/>
        </w:rPr>
        <w:t>16.响应文件内容填写及说明</w:t>
      </w:r>
      <w:bookmarkEnd w:id="155"/>
      <w:bookmarkEnd w:id="156"/>
      <w:bookmarkEnd w:id="157"/>
    </w:p>
    <w:p w14:paraId="0F6B8C57">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响应文件须对磋商文件载明的供应商资格、技术、资信、服务、报价等全部要求和条件做出实质性和完整的响应，如果响应文件填报的内容资料不详，或没有提供磋商文件所要求的全部资料、证明及数据，将导致响应无效。</w:t>
      </w:r>
    </w:p>
    <w:p w14:paraId="698AC788">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16.2供应商应在响应文件中提交磋商文件要求的有关证明文件，作为其响应文件的一部分。</w:t>
      </w:r>
    </w:p>
    <w:p w14:paraId="03DF9986">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16.3供应商应在响应文件中提交磋商文件要求的所有货物或服务的合格性以及符合磋商文件规定的证明文件（可以是手册、图纸和资料等），并作为其响应文件的一部分。包括：</w:t>
      </w:r>
    </w:p>
    <w:p w14:paraId="4BC595C4">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16.3.1保证所投服务正常、安全、连续运行期间所需的所有备品、备件及专用工具的详细清单。</w:t>
      </w:r>
    </w:p>
    <w:p w14:paraId="1E4C3FC3">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16.4响应文件应字迹清楚、编排有序、内容齐全、不得涂改或增删。如有错漏处必须修改，应在修改处加盖供应商公章。</w:t>
      </w:r>
    </w:p>
    <w:p w14:paraId="6CEB0828">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16.5供应商应根据其响应文件中报价表的内容填写唱标信息，唱标信息不作为评审的依据。唱标信息与报价表不一致的，以报价表为准。</w:t>
      </w:r>
    </w:p>
    <w:p w14:paraId="52EBDDBB">
      <w:pPr>
        <w:spacing w:line="440" w:lineRule="exact"/>
        <w:ind w:firstLine="472" w:firstLineChars="196"/>
        <w:outlineLvl w:val="9"/>
        <w:rPr>
          <w:rFonts w:hint="eastAsia" w:ascii="宋体" w:hAnsi="宋体" w:eastAsia="宋体" w:cs="宋体"/>
          <w:b/>
          <w:color w:val="auto"/>
          <w:sz w:val="24"/>
          <w:szCs w:val="24"/>
          <w:highlight w:val="none"/>
        </w:rPr>
      </w:pPr>
      <w:bookmarkStart w:id="158" w:name="_Toc21925"/>
      <w:bookmarkStart w:id="159" w:name="_Toc14534"/>
      <w:bookmarkStart w:id="160" w:name="_Toc27691"/>
      <w:r>
        <w:rPr>
          <w:rFonts w:hint="eastAsia" w:ascii="宋体" w:hAnsi="宋体" w:eastAsia="宋体" w:cs="宋体"/>
          <w:b/>
          <w:color w:val="auto"/>
          <w:sz w:val="24"/>
          <w:szCs w:val="24"/>
          <w:highlight w:val="none"/>
        </w:rPr>
        <w:t>17.磋商保证金（本项目不采用）</w:t>
      </w:r>
      <w:bookmarkEnd w:id="158"/>
      <w:bookmarkEnd w:id="159"/>
      <w:bookmarkEnd w:id="160"/>
    </w:p>
    <w:p w14:paraId="34B1B5D2">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17.1磋商前，供应商应向采购人提交磋商须知前附表规定金额及交纳方式的磋商保证金，作为响应文件的一部分。磋商前，采购代理机构将</w:t>
      </w:r>
      <w:r>
        <w:rPr>
          <w:rFonts w:hint="eastAsia" w:ascii="宋体" w:hAnsi="宋体" w:eastAsia="宋体" w:cs="宋体"/>
          <w:color w:val="auto"/>
          <w:kern w:val="0"/>
          <w:sz w:val="24"/>
          <w:szCs w:val="24"/>
          <w:highlight w:val="none"/>
        </w:rPr>
        <w:t>查询磋商保证金信息，并提交磋商小组评审</w:t>
      </w:r>
      <w:r>
        <w:rPr>
          <w:rFonts w:hint="eastAsia" w:ascii="宋体" w:hAnsi="宋体" w:eastAsia="宋体" w:cs="宋体"/>
          <w:color w:val="auto"/>
          <w:sz w:val="24"/>
          <w:szCs w:val="24"/>
          <w:highlight w:val="none"/>
        </w:rPr>
        <w:t>，核对磋商保证金金额、方式等信息。</w:t>
      </w:r>
    </w:p>
    <w:p w14:paraId="2781410A">
      <w:pPr>
        <w:spacing w:line="440" w:lineRule="exact"/>
        <w:ind w:firstLine="470" w:firstLineChars="196"/>
        <w:outlineLvl w:val="9"/>
        <w:rPr>
          <w:rFonts w:hint="eastAsia" w:ascii="宋体" w:hAnsi="宋体" w:eastAsia="宋体" w:cs="宋体"/>
          <w:color w:val="auto"/>
          <w:sz w:val="24"/>
          <w:szCs w:val="24"/>
          <w:highlight w:val="none"/>
        </w:rPr>
      </w:pPr>
      <w:bookmarkStart w:id="161" w:name="_Toc10834"/>
      <w:bookmarkStart w:id="162" w:name="_Toc11519"/>
      <w:bookmarkStart w:id="163" w:name="_Toc20487"/>
      <w:r>
        <w:rPr>
          <w:rFonts w:hint="eastAsia" w:ascii="宋体" w:hAnsi="宋体" w:eastAsia="宋体" w:cs="宋体"/>
          <w:color w:val="auto"/>
          <w:sz w:val="24"/>
          <w:szCs w:val="24"/>
          <w:highlight w:val="none"/>
        </w:rPr>
        <w:t>17.2磋商保证金采取下列形式：</w:t>
      </w:r>
      <w:bookmarkEnd w:id="161"/>
      <w:bookmarkEnd w:id="162"/>
      <w:bookmarkEnd w:id="163"/>
    </w:p>
    <w:p w14:paraId="199D8817">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供应商应向采购人提交磋商须知前附表规定金额及交纳方式的磋商保证金。</w:t>
      </w:r>
    </w:p>
    <w:p w14:paraId="5F9BD322">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17.3联合体磋商的，可以由联合体中的一方或者共同提交磋商保证金，以一方名义提交保证金的，对联合体各方均具有约束力。</w:t>
      </w:r>
    </w:p>
    <w:p w14:paraId="483D3A26">
      <w:pPr>
        <w:spacing w:line="440" w:lineRule="exact"/>
        <w:ind w:firstLine="470" w:firstLineChars="196"/>
        <w:outlineLvl w:val="9"/>
        <w:rPr>
          <w:rFonts w:hint="eastAsia" w:ascii="宋体" w:hAnsi="宋体" w:eastAsia="宋体" w:cs="宋体"/>
          <w:color w:val="auto"/>
          <w:sz w:val="24"/>
          <w:szCs w:val="24"/>
          <w:highlight w:val="none"/>
        </w:rPr>
      </w:pPr>
      <w:bookmarkStart w:id="164" w:name="_Toc16428"/>
      <w:bookmarkStart w:id="165" w:name="_Toc24129"/>
      <w:bookmarkStart w:id="166" w:name="_Toc27882"/>
      <w:r>
        <w:rPr>
          <w:rFonts w:hint="eastAsia" w:ascii="宋体" w:hAnsi="宋体" w:eastAsia="宋体" w:cs="宋体"/>
          <w:color w:val="auto"/>
          <w:sz w:val="24"/>
          <w:szCs w:val="24"/>
          <w:highlight w:val="none"/>
        </w:rPr>
        <w:t>17.4未按要求提交磋商保证金的，磋商无效。</w:t>
      </w:r>
      <w:bookmarkEnd w:id="164"/>
      <w:bookmarkEnd w:id="165"/>
      <w:bookmarkEnd w:id="166"/>
    </w:p>
    <w:p w14:paraId="0EA8E561">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17.5采购代理机构将在磋商结束后退还未成交供应商的磋商保证金，在采购合同签订后五个工作日内退还成交供应商的磋商保证金。</w:t>
      </w:r>
    </w:p>
    <w:p w14:paraId="4EB46013">
      <w:pPr>
        <w:spacing w:line="440" w:lineRule="exact"/>
        <w:ind w:firstLine="470" w:firstLineChars="196"/>
        <w:outlineLvl w:val="9"/>
        <w:rPr>
          <w:rFonts w:hint="eastAsia" w:ascii="宋体" w:hAnsi="宋体" w:eastAsia="宋体" w:cs="宋体"/>
          <w:color w:val="auto"/>
          <w:sz w:val="24"/>
          <w:szCs w:val="24"/>
          <w:highlight w:val="none"/>
        </w:rPr>
      </w:pPr>
      <w:bookmarkStart w:id="167" w:name="_Toc27293"/>
      <w:bookmarkStart w:id="168" w:name="_Toc8812"/>
      <w:bookmarkStart w:id="169" w:name="_Toc11151"/>
      <w:r>
        <w:rPr>
          <w:rFonts w:hint="eastAsia" w:ascii="宋体" w:hAnsi="宋体" w:eastAsia="宋体" w:cs="宋体"/>
          <w:color w:val="auto"/>
          <w:sz w:val="24"/>
          <w:szCs w:val="24"/>
          <w:highlight w:val="none"/>
        </w:rPr>
        <w:t>17.7下列任何情况发生时，磋商保证金将不予退还：</w:t>
      </w:r>
      <w:bookmarkEnd w:id="167"/>
      <w:bookmarkEnd w:id="168"/>
      <w:bookmarkEnd w:id="169"/>
    </w:p>
    <w:p w14:paraId="0BF4F965">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6545E489">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35EC052B">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（3）除因不可抗力或磋商文件认可的情形以外，成交供应商放弃成交资格或不与采购人签订合同的；</w:t>
      </w:r>
    </w:p>
    <w:p w14:paraId="5637A8EB">
      <w:pPr>
        <w:spacing w:line="44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7EBA1858">
      <w:pPr>
        <w:spacing w:line="440" w:lineRule="exact"/>
        <w:ind w:firstLine="472" w:firstLineChars="196"/>
        <w:outlineLvl w:val="9"/>
        <w:rPr>
          <w:rFonts w:hint="eastAsia" w:ascii="宋体" w:hAnsi="宋体" w:eastAsia="宋体" w:cs="宋体"/>
          <w:b/>
          <w:color w:val="auto"/>
          <w:sz w:val="24"/>
          <w:szCs w:val="24"/>
          <w:highlight w:val="none"/>
        </w:rPr>
      </w:pPr>
      <w:bookmarkStart w:id="170" w:name="_Toc26854"/>
      <w:bookmarkStart w:id="171" w:name="_Toc2293"/>
      <w:bookmarkStart w:id="172" w:name="_Toc11033"/>
      <w:r>
        <w:rPr>
          <w:rFonts w:hint="eastAsia" w:ascii="宋体" w:hAnsi="宋体" w:eastAsia="宋体" w:cs="宋体"/>
          <w:b/>
          <w:color w:val="auto"/>
          <w:sz w:val="24"/>
          <w:szCs w:val="24"/>
          <w:highlight w:val="none"/>
        </w:rPr>
        <w:t>18.磋商有效期</w:t>
      </w:r>
      <w:bookmarkEnd w:id="170"/>
      <w:bookmarkEnd w:id="171"/>
      <w:bookmarkEnd w:id="172"/>
    </w:p>
    <w:p w14:paraId="2035B12C">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18.1为保证采购人有足够的时间完成评标和与成交供应商签订合同，规定磋商有效期。磋商有效期期限见磋商须知前附表。</w:t>
      </w:r>
    </w:p>
    <w:p w14:paraId="209AA19E">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18.2在磋商有效期内，供应商的磋商保持有效，供应商不得要求撤销或修改其响应文件。</w:t>
      </w:r>
    </w:p>
    <w:p w14:paraId="1E226829">
      <w:pPr>
        <w:spacing w:line="440" w:lineRule="exact"/>
        <w:ind w:firstLine="470" w:firstLineChars="196"/>
        <w:outlineLvl w:val="9"/>
        <w:rPr>
          <w:rFonts w:hint="eastAsia" w:ascii="宋体" w:hAnsi="宋体" w:eastAsia="宋体" w:cs="宋体"/>
          <w:color w:val="auto"/>
          <w:sz w:val="24"/>
          <w:szCs w:val="24"/>
          <w:highlight w:val="none"/>
        </w:rPr>
      </w:pPr>
      <w:bookmarkStart w:id="173" w:name="_Toc22928"/>
      <w:bookmarkStart w:id="174" w:name="_Toc10007"/>
      <w:bookmarkStart w:id="175" w:name="_Toc880"/>
      <w:r>
        <w:rPr>
          <w:rFonts w:hint="eastAsia" w:ascii="宋体" w:hAnsi="宋体" w:eastAsia="宋体" w:cs="宋体"/>
          <w:color w:val="auto"/>
          <w:sz w:val="24"/>
          <w:szCs w:val="24"/>
          <w:highlight w:val="none"/>
        </w:rPr>
        <w:t>18.3磋商有效期从响应文件提交截止日起计算。</w:t>
      </w:r>
      <w:bookmarkEnd w:id="173"/>
      <w:bookmarkEnd w:id="174"/>
      <w:bookmarkEnd w:id="175"/>
    </w:p>
    <w:p w14:paraId="343E01E8">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在原定磋商有效期满之前，如果出现特殊情况，采购人可以书面形式提出延长磋商有效期的要求。供应商以书面形式予以答复，供应商可以拒绝这种要求而不被没收磋商保证金。同意延长磋商有效期的供应商不允许修改其响应文件的实质性内容，且需要相应地延长磋商保证金的有效期。</w:t>
      </w:r>
    </w:p>
    <w:p w14:paraId="352B144D">
      <w:pPr>
        <w:spacing w:line="440" w:lineRule="exact"/>
        <w:ind w:firstLine="241" w:firstLineChars="100"/>
        <w:outlineLvl w:val="9"/>
        <w:rPr>
          <w:rFonts w:hint="eastAsia" w:ascii="宋体" w:hAnsi="宋体" w:eastAsia="宋体" w:cs="宋体"/>
          <w:b/>
          <w:color w:val="auto"/>
          <w:sz w:val="24"/>
          <w:szCs w:val="24"/>
          <w:highlight w:val="none"/>
        </w:rPr>
      </w:pPr>
      <w:bookmarkStart w:id="176" w:name="_Toc29735"/>
      <w:bookmarkStart w:id="177" w:name="_Toc22515"/>
      <w:bookmarkStart w:id="178" w:name="_Toc31802"/>
      <w:r>
        <w:rPr>
          <w:rFonts w:hint="eastAsia" w:ascii="宋体" w:hAnsi="宋体" w:eastAsia="宋体" w:cs="宋体"/>
          <w:b/>
          <w:color w:val="auto"/>
          <w:sz w:val="24"/>
          <w:szCs w:val="24"/>
          <w:highlight w:val="none"/>
        </w:rPr>
        <w:t>19.响应文件份数</w:t>
      </w:r>
      <w:bookmarkEnd w:id="176"/>
      <w:bookmarkEnd w:id="177"/>
      <w:bookmarkEnd w:id="178"/>
    </w:p>
    <w:p w14:paraId="0A5AF452">
      <w:pPr>
        <w:pStyle w:val="106"/>
        <w:snapToGrid w:val="0"/>
        <w:spacing w:line="440" w:lineRule="exact"/>
        <w:ind w:firstLine="240" w:firstLineChars="100"/>
        <w:outlineLvl w:val="9"/>
        <w:rPr>
          <w:rFonts w:hint="eastAsia" w:ascii="宋体" w:hAnsi="宋体" w:cs="宋体"/>
          <w:color w:val="auto"/>
          <w:szCs w:val="21"/>
          <w:highlight w:val="none"/>
        </w:rPr>
      </w:pPr>
      <w:bookmarkStart w:id="179" w:name="_Toc570"/>
      <w:bookmarkStart w:id="180" w:name="_Toc23855"/>
      <w:bookmarkStart w:id="181" w:name="_Toc19545"/>
      <w:bookmarkStart w:id="182" w:name="_Toc448214140"/>
      <w:bookmarkStart w:id="183" w:name="_Toc214693600"/>
      <w:bookmarkStart w:id="184" w:name="_Toc463042679"/>
      <w:r>
        <w:rPr>
          <w:rFonts w:hint="eastAsia" w:ascii="宋体" w:hAnsi="宋体" w:eastAsia="宋体" w:cs="宋体"/>
          <w:color w:val="auto"/>
          <w:sz w:val="24"/>
          <w:szCs w:val="24"/>
          <w:highlight w:val="none"/>
        </w:rPr>
        <w:t>19.1供应商应按照磋商须知前附表的要求准备响应文件。</w:t>
      </w:r>
      <w:bookmarkEnd w:id="179"/>
      <w:bookmarkEnd w:id="180"/>
      <w:bookmarkEnd w:id="181"/>
    </w:p>
    <w:p w14:paraId="70F07579">
      <w:pPr>
        <w:jc w:val="center"/>
        <w:outlineLvl w:val="9"/>
        <w:rPr>
          <w:rFonts w:hint="eastAsia" w:ascii="宋体" w:hAnsi="宋体" w:eastAsia="宋体" w:cs="宋体"/>
          <w:color w:val="auto"/>
          <w:sz w:val="28"/>
          <w:szCs w:val="28"/>
          <w:highlight w:val="none"/>
        </w:rPr>
      </w:pPr>
      <w:bookmarkStart w:id="185" w:name="_Toc15977"/>
      <w:bookmarkStart w:id="186" w:name="_Toc519783886"/>
      <w:bookmarkStart w:id="187" w:name="_Toc30030"/>
      <w:bookmarkStart w:id="188" w:name="_Toc9765"/>
      <w:r>
        <w:rPr>
          <w:rFonts w:hint="eastAsia" w:ascii="宋体" w:hAnsi="宋体" w:eastAsia="宋体" w:cs="宋体"/>
          <w:color w:val="auto"/>
          <w:sz w:val="28"/>
          <w:szCs w:val="28"/>
          <w:highlight w:val="none"/>
        </w:rPr>
        <w:t>（四）响应文件的</w:t>
      </w:r>
      <w:bookmarkEnd w:id="182"/>
      <w:bookmarkEnd w:id="183"/>
      <w:r>
        <w:rPr>
          <w:rFonts w:hint="eastAsia" w:ascii="宋体" w:hAnsi="宋体" w:eastAsia="宋体" w:cs="宋体"/>
          <w:color w:val="auto"/>
          <w:sz w:val="28"/>
          <w:szCs w:val="28"/>
          <w:highlight w:val="none"/>
        </w:rPr>
        <w:t>提交</w:t>
      </w:r>
      <w:bookmarkEnd w:id="184"/>
      <w:bookmarkEnd w:id="185"/>
      <w:bookmarkEnd w:id="186"/>
      <w:bookmarkEnd w:id="187"/>
      <w:bookmarkEnd w:id="188"/>
    </w:p>
    <w:p w14:paraId="1EA471B7">
      <w:pPr>
        <w:spacing w:line="440" w:lineRule="exact"/>
        <w:ind w:firstLine="482" w:firstLineChars="200"/>
        <w:outlineLvl w:val="9"/>
        <w:rPr>
          <w:rFonts w:hint="eastAsia" w:ascii="宋体" w:hAnsi="宋体" w:eastAsia="宋体" w:cs="宋体"/>
          <w:b/>
          <w:color w:val="auto"/>
          <w:sz w:val="24"/>
          <w:szCs w:val="24"/>
          <w:highlight w:val="none"/>
        </w:rPr>
      </w:pPr>
      <w:bookmarkStart w:id="189" w:name="_Toc8438"/>
      <w:bookmarkStart w:id="190" w:name="_Toc19037"/>
      <w:bookmarkStart w:id="191" w:name="_Toc24733"/>
      <w:r>
        <w:rPr>
          <w:rFonts w:hint="eastAsia" w:ascii="宋体" w:hAnsi="宋体" w:eastAsia="宋体" w:cs="宋体"/>
          <w:b/>
          <w:color w:val="auto"/>
          <w:sz w:val="24"/>
          <w:szCs w:val="24"/>
          <w:highlight w:val="none"/>
        </w:rPr>
        <w:t>20.响应文件的封装和标记</w:t>
      </w:r>
      <w:bookmarkEnd w:id="189"/>
      <w:bookmarkEnd w:id="190"/>
      <w:bookmarkEnd w:id="191"/>
    </w:p>
    <w:p w14:paraId="723FC37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正/副本需采用胶装（或其他）方式装订，供应商应当保证其封装的可靠性，不得因搬运、堆放等原因散开。资格证明文件正副本密封在资格证明文件袋内，技术标正副本密封在技术标文件袋内，商务标正副本密封在商务标文件袋内。磋商书封面及封皮的右上角标明“正本”或“副本”的字样。一旦正本与副本不符，以正本为主。</w:t>
      </w:r>
    </w:p>
    <w:p w14:paraId="2C7A0F0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密封袋均应使用不易破损的包装材料进行包装。</w:t>
      </w:r>
    </w:p>
    <w:p w14:paraId="29427AF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注明项目名称、采购编号、正本或副本及“请勿在  年  月  日  时   分（开标时间，详见“磋商须知前附表”的规定）之前启封”的字样。</w:t>
      </w:r>
    </w:p>
    <w:p w14:paraId="4202778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供应商应在内外密封袋上写明自己名称和地址，以便其磋商文件晚于磋商截止时间到达磋商地点时，能原封退回。</w:t>
      </w:r>
    </w:p>
    <w:p w14:paraId="009E9E7E">
      <w:pPr>
        <w:spacing w:line="440" w:lineRule="exact"/>
        <w:ind w:firstLine="482" w:firstLineChars="200"/>
        <w:outlineLvl w:val="9"/>
        <w:rPr>
          <w:rFonts w:hint="eastAsia" w:ascii="宋体" w:hAnsi="宋体" w:eastAsia="宋体" w:cs="宋体"/>
          <w:b/>
          <w:color w:val="auto"/>
          <w:sz w:val="24"/>
          <w:szCs w:val="24"/>
          <w:highlight w:val="none"/>
        </w:rPr>
      </w:pPr>
      <w:bookmarkStart w:id="192" w:name="_Toc21427"/>
      <w:bookmarkStart w:id="193" w:name="_Toc9169"/>
      <w:bookmarkStart w:id="194" w:name="_Toc4154"/>
      <w:r>
        <w:rPr>
          <w:rFonts w:hint="eastAsia" w:ascii="宋体" w:hAnsi="宋体" w:eastAsia="宋体" w:cs="宋体"/>
          <w:b/>
          <w:color w:val="auto"/>
          <w:sz w:val="24"/>
          <w:szCs w:val="24"/>
          <w:highlight w:val="none"/>
        </w:rPr>
        <w:t>21.响应文件的提交</w:t>
      </w:r>
      <w:bookmarkEnd w:id="192"/>
      <w:bookmarkEnd w:id="193"/>
      <w:bookmarkEnd w:id="194"/>
      <w:r>
        <w:rPr>
          <w:rFonts w:hint="eastAsia" w:ascii="宋体" w:hAnsi="宋体" w:eastAsia="宋体" w:cs="宋体"/>
          <w:b/>
          <w:color w:val="auto"/>
          <w:sz w:val="24"/>
          <w:szCs w:val="24"/>
          <w:highlight w:val="none"/>
        </w:rPr>
        <w:t xml:space="preserve"> </w:t>
      </w:r>
    </w:p>
    <w:p w14:paraId="09A66B2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 磋商供应商应当在磋商文件要求提交磋商文件的截止时间前提交磋商文件，否则磋商无效； </w:t>
      </w:r>
    </w:p>
    <w:p w14:paraId="1B42D10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21.2除供应商须知前附表另有规定外，供应商所递交的响应文件不予退还。</w:t>
      </w:r>
    </w:p>
    <w:p w14:paraId="191E0E7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21.3供应商应当在提交首次响应文件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前完成响应文件的递交，并可以补充、修改或者撤回响应文件。提交首次响应文件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前未完成响应文件递交的，视为撤回响应文件。</w:t>
      </w:r>
    </w:p>
    <w:p w14:paraId="119046C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color w:val="auto"/>
          <w:sz w:val="24"/>
          <w:szCs w:val="24"/>
          <w:highlight w:val="none"/>
        </w:rPr>
        <w:t>在磋商文件要求提交磋商文件的截止时间之后送达的或未按磋商文件要求密封和标记的磋商文件，采购代理机构有权拒绝接收。</w:t>
      </w:r>
    </w:p>
    <w:p w14:paraId="5B932287">
      <w:pPr>
        <w:spacing w:line="440" w:lineRule="exact"/>
        <w:ind w:firstLine="472" w:firstLineChars="196"/>
        <w:outlineLvl w:val="9"/>
        <w:rPr>
          <w:rFonts w:hint="eastAsia" w:ascii="宋体" w:hAnsi="宋体" w:eastAsia="宋体" w:cs="宋体"/>
          <w:b/>
          <w:color w:val="auto"/>
          <w:sz w:val="24"/>
          <w:szCs w:val="24"/>
          <w:highlight w:val="none"/>
        </w:rPr>
      </w:pPr>
      <w:bookmarkStart w:id="195" w:name="_Toc8687"/>
      <w:bookmarkStart w:id="196" w:name="_Toc12938"/>
      <w:bookmarkStart w:id="197" w:name="_Toc19076"/>
      <w:r>
        <w:rPr>
          <w:rFonts w:hint="eastAsia" w:ascii="宋体" w:hAnsi="宋体" w:eastAsia="宋体" w:cs="宋体"/>
          <w:b/>
          <w:color w:val="auto"/>
          <w:sz w:val="24"/>
          <w:szCs w:val="24"/>
          <w:highlight w:val="none"/>
        </w:rPr>
        <w:t>22.响应文件的修改和撤回</w:t>
      </w:r>
      <w:bookmarkEnd w:id="195"/>
      <w:bookmarkEnd w:id="196"/>
      <w:bookmarkEnd w:id="197"/>
    </w:p>
    <w:p w14:paraId="453D4B5E">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在提交响应文件截止时间前，可以对所提交的响应文件进行补充、修改或者撤回，并以书面形式通知采购人或代理机构。补充、修改的内容作为响应文件的组成部分。补充、修改的内容与响应文件不一致的，以补充、修改的内容为准。</w:t>
      </w:r>
    </w:p>
    <w:p w14:paraId="1A8B2C5E">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22.2供应商的修改或撤回通知书，应按规定进行编制、密封、标记和提交，且在内层信封上标明“修改”或“撤回”字样。</w:t>
      </w:r>
    </w:p>
    <w:p w14:paraId="184D2748">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22.3提交响应文件截止时间后不得修改响应文件。但属于磋商小组在评审中发现的计算错误并进行核实的修改、按照磋商文件的变动情况和磋商小组的要求重新提交响应文件的，不在此列。</w:t>
      </w:r>
    </w:p>
    <w:p w14:paraId="26BDBDAC">
      <w:pPr>
        <w:spacing w:line="440" w:lineRule="exact"/>
        <w:ind w:firstLine="482" w:firstLineChars="200"/>
        <w:outlineLvl w:val="9"/>
        <w:rPr>
          <w:rFonts w:hint="eastAsia" w:ascii="宋体" w:hAnsi="宋体" w:eastAsia="宋体" w:cs="宋体"/>
          <w:b/>
          <w:color w:val="auto"/>
          <w:sz w:val="24"/>
          <w:szCs w:val="24"/>
          <w:highlight w:val="none"/>
          <w:lang w:val="en-US" w:eastAsia="zh-CN"/>
        </w:rPr>
      </w:pPr>
      <w:bookmarkStart w:id="198" w:name="_Toc95223366"/>
      <w:bookmarkStart w:id="199" w:name="_Toc83301718"/>
      <w:bookmarkStart w:id="200" w:name="_Toc296602448"/>
      <w:bookmarkStart w:id="201" w:name="_Toc506107296"/>
      <w:bookmarkStart w:id="202" w:name="_Toc179632578"/>
      <w:bookmarkStart w:id="203" w:name="_Toc152042336"/>
      <w:bookmarkStart w:id="204" w:name="_Toc144974528"/>
      <w:bookmarkStart w:id="205" w:name="_Toc15058875"/>
      <w:bookmarkStart w:id="206" w:name="_Toc247085718"/>
      <w:bookmarkStart w:id="207" w:name="_Toc246996947"/>
      <w:bookmarkStart w:id="208" w:name="_Toc324404843"/>
      <w:bookmarkStart w:id="209" w:name="_Toc246996204"/>
      <w:bookmarkStart w:id="210" w:name="_Toc60061463"/>
      <w:bookmarkStart w:id="211" w:name="_Toc152045560"/>
      <w:r>
        <w:rPr>
          <w:rFonts w:hint="eastAsia" w:ascii="宋体" w:hAnsi="宋体" w:eastAsia="宋体" w:cs="宋体"/>
          <w:b/>
          <w:color w:val="auto"/>
          <w:sz w:val="24"/>
          <w:szCs w:val="24"/>
          <w:highlight w:val="none"/>
          <w:lang w:val="en-US" w:eastAsia="zh-CN"/>
        </w:rPr>
        <w:t>23.开启</w:t>
      </w:r>
    </w:p>
    <w:p w14:paraId="7D03610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23.1开标时间和地点</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2BDC71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采购人在文件规定的提交首次响应文件截止时间前和地点现场公开开启。</w:t>
      </w:r>
    </w:p>
    <w:p w14:paraId="5719F139">
      <w:pPr>
        <w:spacing w:line="440" w:lineRule="exact"/>
        <w:ind w:firstLine="480" w:firstLineChars="200"/>
        <w:rPr>
          <w:rFonts w:hint="eastAsia" w:ascii="宋体" w:hAnsi="宋体" w:eastAsia="宋体" w:cs="宋体"/>
          <w:color w:val="auto"/>
          <w:sz w:val="24"/>
          <w:szCs w:val="24"/>
          <w:highlight w:val="none"/>
          <w:lang w:val="en-US" w:eastAsia="zh-CN"/>
        </w:rPr>
      </w:pPr>
      <w:bookmarkStart w:id="212" w:name="_Toc60061464"/>
      <w:bookmarkStart w:id="213" w:name="_Toc246996205"/>
      <w:bookmarkStart w:id="214" w:name="_Toc152045561"/>
      <w:bookmarkStart w:id="215" w:name="_Toc296602449"/>
      <w:bookmarkStart w:id="216" w:name="_Toc506107297"/>
      <w:bookmarkStart w:id="217" w:name="_Toc83301719"/>
      <w:bookmarkStart w:id="218" w:name="_Toc95223367"/>
      <w:bookmarkStart w:id="219" w:name="_Toc152042337"/>
      <w:bookmarkStart w:id="220" w:name="_Toc247085719"/>
      <w:bookmarkStart w:id="221" w:name="_Toc144974529"/>
      <w:bookmarkStart w:id="222" w:name="_Toc179632579"/>
      <w:bookmarkStart w:id="223" w:name="_Toc15058876"/>
      <w:bookmarkStart w:id="224" w:name="_Toc324404844"/>
      <w:bookmarkStart w:id="225" w:name="_Toc246996948"/>
      <w:r>
        <w:rPr>
          <w:rFonts w:hint="eastAsia" w:ascii="宋体" w:hAnsi="宋体" w:eastAsia="宋体" w:cs="宋体"/>
          <w:color w:val="auto"/>
          <w:sz w:val="24"/>
          <w:szCs w:val="24"/>
          <w:highlight w:val="none"/>
          <w:lang w:val="en-US" w:eastAsia="zh-CN"/>
        </w:rPr>
        <w:t>23.2开启程序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FFB673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主持人按下列程序进行开启：</w:t>
      </w:r>
    </w:p>
    <w:p w14:paraId="74082EB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（1）公布在提交首次响应文件截止时间前完成投标文件递交的投标人名称；</w:t>
      </w:r>
    </w:p>
    <w:p w14:paraId="7CA8410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（2）完成响应文件密封和人员到场审查；</w:t>
      </w:r>
    </w:p>
    <w:p w14:paraId="5E3BAEE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（3）按供应商须知前附表规定公布供应商名称、标段名称、投标报价、质量目标、工期及其他内容；</w:t>
      </w:r>
    </w:p>
    <w:p w14:paraId="779F6C93">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（5）开启结束。</w:t>
      </w:r>
    </w:p>
    <w:p w14:paraId="0E17EB59">
      <w:pPr>
        <w:spacing w:line="440" w:lineRule="exact"/>
        <w:ind w:firstLine="480" w:firstLineChars="200"/>
        <w:rPr>
          <w:rFonts w:hint="eastAsia" w:ascii="宋体" w:hAnsi="宋体" w:eastAsia="宋体" w:cs="宋体"/>
          <w:color w:val="auto"/>
          <w:sz w:val="24"/>
          <w:szCs w:val="24"/>
          <w:highlight w:val="none"/>
          <w:lang w:val="en-US" w:eastAsia="zh-CN"/>
        </w:rPr>
      </w:pPr>
      <w:bookmarkStart w:id="226" w:name="_Toc296602450"/>
      <w:bookmarkStart w:id="227" w:name="_Toc60061465"/>
      <w:bookmarkStart w:id="228" w:name="_Toc83301720"/>
      <w:bookmarkStart w:id="229" w:name="_Toc506107298"/>
      <w:bookmarkStart w:id="230" w:name="_Toc95223368"/>
      <w:bookmarkStart w:id="231" w:name="_Toc324404845"/>
      <w:bookmarkStart w:id="232" w:name="_Toc15058883"/>
      <w:r>
        <w:rPr>
          <w:rFonts w:hint="eastAsia" w:ascii="宋体" w:hAnsi="宋体" w:eastAsia="宋体" w:cs="宋体"/>
          <w:color w:val="auto"/>
          <w:sz w:val="24"/>
          <w:szCs w:val="24"/>
          <w:highlight w:val="none"/>
          <w:lang w:val="en-US" w:eastAsia="zh-CN"/>
        </w:rPr>
        <w:t>23.3开启异议</w:t>
      </w:r>
      <w:bookmarkEnd w:id="226"/>
      <w:bookmarkEnd w:id="227"/>
      <w:bookmarkEnd w:id="228"/>
      <w:bookmarkEnd w:id="229"/>
      <w:bookmarkEnd w:id="230"/>
      <w:bookmarkEnd w:id="231"/>
      <w:bookmarkEnd w:id="232"/>
    </w:p>
    <w:p w14:paraId="40892A9E">
      <w:pPr>
        <w:spacing w:line="440" w:lineRule="exact"/>
        <w:ind w:firstLine="480" w:firstLineChars="200"/>
        <w:rPr>
          <w:rFonts w:hint="eastAsia" w:ascii="宋体" w:hAnsi="宋体" w:cs="宋体"/>
          <w:color w:val="auto"/>
          <w:szCs w:val="21"/>
          <w:highlight w:val="none"/>
          <w:lang w:val="en-US" w:eastAsia="zh-CN"/>
        </w:rPr>
      </w:pPr>
      <w:r>
        <w:rPr>
          <w:rFonts w:hint="eastAsia" w:ascii="宋体" w:hAnsi="宋体" w:eastAsia="宋体" w:cs="宋体"/>
          <w:color w:val="auto"/>
          <w:sz w:val="24"/>
          <w:szCs w:val="24"/>
          <w:highlight w:val="none"/>
          <w:lang w:val="en-US" w:eastAsia="zh-CN"/>
        </w:rPr>
        <w:t>供应商对开启有异议的，应当在磋商过程中提出，采购人在磋商过程中作出答复，并制作记录。</w:t>
      </w:r>
    </w:p>
    <w:p w14:paraId="77B2B634">
      <w:pPr>
        <w:pageBreakBefore/>
        <w:spacing w:before="157" w:beforeLines="50" w:after="157" w:afterLines="50" w:line="440" w:lineRule="exact"/>
        <w:ind w:firstLine="0" w:firstLineChars="0"/>
        <w:jc w:val="center"/>
        <w:outlineLvl w:val="0"/>
        <w:rPr>
          <w:rFonts w:hint="default" w:ascii="宋体" w:hAnsi="宋体" w:eastAsia="宋体" w:cs="宋体"/>
          <w:color w:val="auto"/>
          <w:szCs w:val="21"/>
          <w:highlight w:val="none"/>
          <w:lang w:val="en-US" w:eastAsia="zh-CN"/>
        </w:rPr>
      </w:pPr>
      <w:r>
        <w:rPr>
          <w:rFonts w:hint="eastAsia" w:ascii="宋体" w:hAnsi="宋体" w:cs="宋体"/>
          <w:b/>
          <w:color w:val="auto"/>
          <w:sz w:val="32"/>
          <w:szCs w:val="32"/>
          <w:highlight w:val="none"/>
          <w:lang w:val="en-US" w:eastAsia="zh-CN"/>
        </w:rPr>
        <w:t>第四章</w:t>
      </w:r>
      <w:r>
        <w:rPr>
          <w:rFonts w:hint="eastAsia" w:ascii="宋体" w:hAnsi="宋体" w:cs="宋体"/>
          <w:b/>
          <w:color w:val="auto"/>
          <w:sz w:val="32"/>
          <w:szCs w:val="32"/>
          <w:highlight w:val="none"/>
        </w:rPr>
        <w:t>、磋商</w:t>
      </w:r>
      <w:r>
        <w:rPr>
          <w:rFonts w:hint="eastAsia" w:ascii="宋体" w:hAnsi="宋体" w:cs="宋体"/>
          <w:b/>
          <w:color w:val="auto"/>
          <w:sz w:val="32"/>
          <w:szCs w:val="32"/>
          <w:highlight w:val="none"/>
          <w:lang w:val="en-US" w:eastAsia="zh-CN"/>
        </w:rPr>
        <w:t>评审办法</w:t>
      </w:r>
    </w:p>
    <w:p w14:paraId="0FBB15F3">
      <w:pPr>
        <w:spacing w:line="440" w:lineRule="exact"/>
        <w:ind w:firstLine="482" w:firstLineChars="200"/>
        <w:outlineLvl w:val="9"/>
        <w:rPr>
          <w:rFonts w:hint="eastAsia" w:ascii="宋体" w:hAnsi="宋体" w:eastAsia="宋体" w:cs="宋体"/>
          <w:b/>
          <w:color w:val="auto"/>
          <w:sz w:val="24"/>
          <w:szCs w:val="24"/>
          <w:highlight w:val="none"/>
        </w:rPr>
      </w:pPr>
      <w:bookmarkStart w:id="233" w:name="_Toc31529"/>
      <w:bookmarkStart w:id="234" w:name="_Toc29972"/>
      <w:bookmarkStart w:id="235" w:name="_Toc22382"/>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.磋商小组</w:t>
      </w:r>
      <w:bookmarkEnd w:id="233"/>
      <w:bookmarkEnd w:id="234"/>
      <w:bookmarkEnd w:id="235"/>
    </w:p>
    <w:p w14:paraId="46C5590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.1本项目采购人将依法组建磋商小组，磋商小组成员由3人组成，磋商小组及其成员应当依照采购的有关规定履行相关职责和义务。</w:t>
      </w:r>
    </w:p>
    <w:p w14:paraId="2D748FB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.2磋商小组依法对响应文件进行评审，并根据磋商文件规定的程序、评定成交的标准等事项与实质性响应磋商文件要求的供应商进行磋商。</w:t>
      </w:r>
    </w:p>
    <w:p w14:paraId="30AFE8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.3磋商小组应当从质量和服务均能满足磋商文件实质性响应要求的供应商中，按照评审办法提出成交候选供应商，并编写评标报告。</w:t>
      </w:r>
    </w:p>
    <w:p w14:paraId="18FD0C30">
      <w:pPr>
        <w:spacing w:line="440" w:lineRule="exact"/>
        <w:ind w:firstLine="420" w:firstLineChars="0"/>
        <w:rPr>
          <w:rFonts w:hint="eastAsia" w:ascii="宋体" w:hAnsi="宋体" w:eastAsia="宋体" w:cs="宋体"/>
          <w:b/>
          <w:color w:val="auto"/>
          <w:sz w:val="24"/>
          <w:szCs w:val="24"/>
          <w:highlight w:val="none"/>
        </w:rPr>
      </w:pPr>
      <w:bookmarkStart w:id="236" w:name="_Toc30287"/>
      <w:bookmarkStart w:id="237" w:name="_Toc27961"/>
      <w:bookmarkStart w:id="238" w:name="_Toc3989"/>
      <w:r>
        <w:rPr>
          <w:rFonts w:hint="eastAsia" w:ascii="宋体" w:hAnsi="宋体" w:eastAsia="宋体" w:cs="宋体"/>
          <w:b/>
          <w:color w:val="auto"/>
          <w:sz w:val="24"/>
          <w:szCs w:val="24"/>
          <w:highlight w:val="none"/>
        </w:rPr>
        <w:t>25.响应文件评审与磋商</w:t>
      </w:r>
    </w:p>
    <w:p w14:paraId="7C0DCA28">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.1采购代理机构将供应商须知前附表规定的时间和地点组织磋商。</w:t>
      </w:r>
    </w:p>
    <w:p w14:paraId="54BB27F0">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bCs w:val="0"/>
          <w:color w:val="auto"/>
          <w:sz w:val="24"/>
          <w:szCs w:val="24"/>
          <w:highlight w:val="none"/>
        </w:rPr>
        <w:t>2磋商前，</w:t>
      </w:r>
      <w:r>
        <w:rPr>
          <w:rFonts w:hint="eastAsia" w:ascii="宋体" w:hAnsi="宋体" w:eastAsia="宋体" w:cs="宋体"/>
          <w:color w:val="auto"/>
          <w:sz w:val="24"/>
          <w:szCs w:val="24"/>
          <w:highlight w:val="none"/>
        </w:rPr>
        <w:t>采购代理机构</w:t>
      </w:r>
      <w:r>
        <w:rPr>
          <w:rFonts w:hint="eastAsia" w:ascii="宋体" w:hAnsi="宋体" w:eastAsia="宋体" w:cs="宋体"/>
          <w:bCs w:val="0"/>
          <w:color w:val="auto"/>
          <w:sz w:val="24"/>
          <w:szCs w:val="24"/>
          <w:highlight w:val="none"/>
        </w:rPr>
        <w:t>将会同供应商代表检查响应文件的封装情况。</w:t>
      </w:r>
    </w:p>
    <w:p w14:paraId="0649118A">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 磋商小组将按照磋商文件规定的评标办法对供应商独立进行评审。</w:t>
      </w:r>
    </w:p>
    <w:p w14:paraId="293D724D">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.4磋商活动采用综合评分法评审。</w:t>
      </w:r>
    </w:p>
    <w:p w14:paraId="0C313673">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综合评分法，是指响应文件满足磋商文件全部实质性要求且按评审因素的量化指标评审得分最高的供应商为成交候选供应商的评审方法。</w:t>
      </w:r>
    </w:p>
    <w:p w14:paraId="28FC34A1">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.5磋商采用综合评分的办法，对实质性响应的响应文件就技术、资信等诸多因素进行评审打分。</w:t>
      </w:r>
    </w:p>
    <w:p w14:paraId="0334881E">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6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417142">
      <w:pPr>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如有询标，授权代表（或法定代表人）可携带本人有效身份证明原件参加询标。因授权代表联系不上</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未到磋商现场</w:t>
      </w:r>
      <w:r>
        <w:rPr>
          <w:rFonts w:hint="eastAsia" w:ascii="宋体" w:hAnsi="宋体" w:eastAsia="宋体" w:cs="宋体"/>
          <w:bCs w:val="0"/>
          <w:color w:val="auto"/>
          <w:sz w:val="24"/>
          <w:szCs w:val="24"/>
          <w:highlight w:val="none"/>
        </w:rPr>
        <w:t>等情形</w:t>
      </w:r>
      <w:r>
        <w:rPr>
          <w:rFonts w:hint="eastAsia" w:ascii="宋体" w:hAnsi="宋体" w:eastAsia="宋体" w:cs="宋体"/>
          <w:color w:val="auto"/>
          <w:sz w:val="24"/>
          <w:szCs w:val="24"/>
          <w:highlight w:val="none"/>
        </w:rPr>
        <w:t>而无法接受磋商小组询标的，供应商自行承担相关风险。</w:t>
      </w:r>
    </w:p>
    <w:p w14:paraId="4DD08057">
      <w:pPr>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.7磋商小组要求供应商澄清、说明或者更正响应文件应当以书面形式作出。供应商的澄清、说明或者更正应当由法定代表人或其授权代表签字或者加盖公章。</w:t>
      </w:r>
    </w:p>
    <w:p w14:paraId="5B34BCE3">
      <w:pPr>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.8供应商未实质性响应磋商文件要求的，磋商小组将以书面询标的方式告知有关供应商。</w:t>
      </w:r>
    </w:p>
    <w:p w14:paraId="18F18115">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9初审合格后，磋商小组将按响应文件递交顺序分别与供应商就磋商报价、供货或服务方案系统设计方案、产品配置及售后服务等内容进行磋商。各供应商均具有和磋商小组进行磋商的权利。如供应商未到磋商现场的，视同放弃该权利。</w:t>
      </w:r>
    </w:p>
    <w:p w14:paraId="7DAC0C45">
      <w:pPr>
        <w:snapToGrid/>
        <w:spacing w:line="440" w:lineRule="exact"/>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10磋商小组按下表内容对响应文件进行初审和综合评审，各供应商的得分分值一经得出，并核对无误后，任何人不得更改。磋商小组对供应商某项初审指标如有不同意见，按照少数服从多数的原则，确定该项指标是否通过。</w:t>
      </w:r>
    </w:p>
    <w:bookmarkEnd w:id="236"/>
    <w:bookmarkEnd w:id="237"/>
    <w:bookmarkEnd w:id="238"/>
    <w:p w14:paraId="68DFCA2B">
      <w:pPr>
        <w:spacing w:line="440" w:lineRule="exact"/>
        <w:ind w:firstLine="420" w:firstLineChars="0"/>
        <w:outlineLvl w:val="9"/>
        <w:rPr>
          <w:rFonts w:hint="eastAsia" w:ascii="宋体" w:hAnsi="宋体" w:eastAsia="宋体" w:cs="宋体"/>
          <w:b/>
          <w:color w:val="auto"/>
          <w:sz w:val="24"/>
          <w:szCs w:val="24"/>
          <w:highlight w:val="none"/>
        </w:rPr>
      </w:pPr>
      <w:bookmarkStart w:id="239" w:name="_Toc30905"/>
      <w:bookmarkStart w:id="240" w:name="_Toc30340"/>
      <w:bookmarkStart w:id="241" w:name="_Toc31294"/>
      <w:r>
        <w:rPr>
          <w:rFonts w:hint="eastAsia" w:ascii="宋体" w:hAnsi="宋体" w:eastAsia="宋体" w:cs="宋体"/>
          <w:b/>
          <w:color w:val="auto"/>
          <w:sz w:val="24"/>
          <w:szCs w:val="24"/>
          <w:highlight w:val="none"/>
        </w:rPr>
        <w:t>（一）初审</w:t>
      </w:r>
      <w:bookmarkEnd w:id="239"/>
      <w:bookmarkEnd w:id="240"/>
      <w:bookmarkEnd w:id="241"/>
    </w:p>
    <w:p w14:paraId="0ADFDEF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磋商小组对通过资格审查环节的磋商文件进行初审。下述内容凡有一项不合格的磋商即作为</w:t>
      </w:r>
      <w:r>
        <w:rPr>
          <w:rFonts w:hint="eastAsia" w:ascii="宋体" w:hAnsi="宋体" w:eastAsia="宋体" w:cs="宋体"/>
          <w:b/>
          <w:color w:val="auto"/>
          <w:sz w:val="24"/>
          <w:szCs w:val="24"/>
          <w:highlight w:val="none"/>
        </w:rPr>
        <w:t>无效处理</w:t>
      </w:r>
      <w:r>
        <w:rPr>
          <w:rFonts w:hint="eastAsia" w:ascii="宋体" w:hAnsi="宋体" w:eastAsia="宋体" w:cs="宋体"/>
          <w:color w:val="auto"/>
          <w:sz w:val="24"/>
          <w:szCs w:val="24"/>
          <w:highlight w:val="none"/>
        </w:rPr>
        <w:t>，不再进入下一步评审：</w:t>
      </w:r>
    </w:p>
    <w:tbl>
      <w:tblPr>
        <w:tblStyle w:val="37"/>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3"/>
        <w:gridCol w:w="1876"/>
      </w:tblGrid>
      <w:tr w14:paraId="206D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963" w:type="dxa"/>
            <w:noWrap w:val="0"/>
            <w:vAlign w:val="center"/>
          </w:tcPr>
          <w:p w14:paraId="7A437C7F">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审查内容</w:t>
            </w:r>
          </w:p>
        </w:tc>
        <w:tc>
          <w:tcPr>
            <w:tcW w:w="1876" w:type="dxa"/>
            <w:noWrap w:val="0"/>
            <w:vAlign w:val="center"/>
          </w:tcPr>
          <w:p w14:paraId="20E5C797">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审查标准</w:t>
            </w:r>
          </w:p>
        </w:tc>
      </w:tr>
      <w:tr w14:paraId="50D9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963" w:type="dxa"/>
            <w:noWrap w:val="0"/>
            <w:vAlign w:val="center"/>
          </w:tcPr>
          <w:p w14:paraId="7F49D21C">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供应商没有经过正常渠道领取磋商文件</w:t>
            </w:r>
          </w:p>
        </w:tc>
        <w:tc>
          <w:tcPr>
            <w:tcW w:w="1876" w:type="dxa"/>
            <w:noWrap w:val="0"/>
            <w:vAlign w:val="center"/>
          </w:tcPr>
          <w:p w14:paraId="3148A451">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w:t>
            </w:r>
          </w:p>
        </w:tc>
      </w:tr>
      <w:tr w14:paraId="0DD5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963" w:type="dxa"/>
            <w:noWrap w:val="0"/>
            <w:vAlign w:val="center"/>
          </w:tcPr>
          <w:p w14:paraId="27798F81">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响应文件中未按磋商文件的要求加盖供应商公章；法定代表人或被授权代表未按响应文件要求未签字的</w:t>
            </w:r>
          </w:p>
        </w:tc>
        <w:tc>
          <w:tcPr>
            <w:tcW w:w="1876" w:type="dxa"/>
            <w:noWrap w:val="0"/>
            <w:vAlign w:val="center"/>
          </w:tcPr>
          <w:p w14:paraId="7C51A1D9">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w:t>
            </w:r>
          </w:p>
        </w:tc>
      </w:tr>
      <w:tr w14:paraId="11E7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63" w:type="dxa"/>
            <w:noWrap w:val="0"/>
            <w:vAlign w:val="center"/>
          </w:tcPr>
          <w:p w14:paraId="7EC9A636">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供应商未按照磋商文件要求提供保证金或保证金金额不足、磋商保证金缴纳形式不符合磋商文件要求的；</w:t>
            </w:r>
          </w:p>
        </w:tc>
        <w:tc>
          <w:tcPr>
            <w:tcW w:w="1876" w:type="dxa"/>
            <w:noWrap w:val="0"/>
            <w:vAlign w:val="center"/>
          </w:tcPr>
          <w:p w14:paraId="387BB001">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w:t>
            </w:r>
          </w:p>
        </w:tc>
      </w:tr>
      <w:tr w14:paraId="0041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63" w:type="dxa"/>
            <w:noWrap w:val="0"/>
            <w:vAlign w:val="center"/>
          </w:tcPr>
          <w:p w14:paraId="1D2C35F4">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无投标有效期或投标有效期达不到磋商文件的要求；</w:t>
            </w:r>
          </w:p>
        </w:tc>
        <w:tc>
          <w:tcPr>
            <w:tcW w:w="1876" w:type="dxa"/>
            <w:noWrap w:val="0"/>
            <w:vAlign w:val="center"/>
          </w:tcPr>
          <w:p w14:paraId="59C716B8">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w:t>
            </w:r>
          </w:p>
        </w:tc>
      </w:tr>
      <w:tr w14:paraId="16EA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63" w:type="dxa"/>
            <w:noWrap w:val="0"/>
            <w:vAlign w:val="center"/>
          </w:tcPr>
          <w:p w14:paraId="3FB6150A">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未按磋商文件要求编制或出现漏项或服务内容与磋商文件要求不符；</w:t>
            </w:r>
          </w:p>
        </w:tc>
        <w:tc>
          <w:tcPr>
            <w:tcW w:w="1876" w:type="dxa"/>
            <w:noWrap w:val="0"/>
            <w:vAlign w:val="center"/>
          </w:tcPr>
          <w:p w14:paraId="7C68EE4D">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w:t>
            </w:r>
          </w:p>
        </w:tc>
      </w:tr>
      <w:tr w14:paraId="47B8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63" w:type="dxa"/>
            <w:noWrap w:val="0"/>
            <w:vAlign w:val="center"/>
          </w:tcPr>
          <w:p w14:paraId="47F43756">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响应文件实质上未响应磋商文件的要求，附加了采购人难以接受的条件</w:t>
            </w:r>
          </w:p>
        </w:tc>
        <w:tc>
          <w:tcPr>
            <w:tcW w:w="1876" w:type="dxa"/>
            <w:noWrap w:val="0"/>
            <w:vAlign w:val="center"/>
          </w:tcPr>
          <w:p w14:paraId="1EE84B43">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w:t>
            </w:r>
          </w:p>
        </w:tc>
      </w:tr>
      <w:tr w14:paraId="18F4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963" w:type="dxa"/>
            <w:noWrap w:val="0"/>
            <w:vAlign w:val="center"/>
          </w:tcPr>
          <w:p w14:paraId="6BBD5B22">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投标内容的技术方案达不到磋商文件要求，降低了质量或影响项目进度；</w:t>
            </w:r>
          </w:p>
        </w:tc>
        <w:tc>
          <w:tcPr>
            <w:tcW w:w="1876" w:type="dxa"/>
            <w:noWrap w:val="0"/>
            <w:vAlign w:val="center"/>
          </w:tcPr>
          <w:p w14:paraId="230A5CA1">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w:t>
            </w:r>
          </w:p>
        </w:tc>
      </w:tr>
      <w:tr w14:paraId="4145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963" w:type="dxa"/>
            <w:noWrap w:val="0"/>
            <w:vAlign w:val="center"/>
          </w:tcPr>
          <w:p w14:paraId="30E92F2A">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投标报价超过采购预算或最高限价的。</w:t>
            </w:r>
          </w:p>
        </w:tc>
        <w:tc>
          <w:tcPr>
            <w:tcW w:w="1876" w:type="dxa"/>
            <w:noWrap w:val="0"/>
            <w:vAlign w:val="center"/>
          </w:tcPr>
          <w:p w14:paraId="4A5D40BB">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符合要求</w:t>
            </w:r>
          </w:p>
        </w:tc>
      </w:tr>
    </w:tbl>
    <w:p w14:paraId="4D79CF6B">
      <w:pPr>
        <w:spacing w:line="440" w:lineRule="exact"/>
        <w:ind w:firstLine="354" w:firstLineChars="147"/>
        <w:jc w:val="left"/>
        <w:rPr>
          <w:rFonts w:hint="eastAsia" w:ascii="宋体" w:hAnsi="宋体" w:eastAsia="宋体" w:cs="宋体"/>
          <w:b/>
          <w:bCs/>
          <w:color w:val="auto"/>
          <w:sz w:val="24"/>
          <w:szCs w:val="24"/>
          <w:highlight w:val="none"/>
        </w:rPr>
      </w:pPr>
      <w:bookmarkStart w:id="242" w:name="_Toc519783888"/>
      <w:r>
        <w:rPr>
          <w:rFonts w:hint="eastAsia" w:ascii="宋体" w:hAnsi="宋体" w:eastAsia="宋体" w:cs="宋体"/>
          <w:b/>
          <w:bCs/>
          <w:color w:val="auto"/>
          <w:sz w:val="24"/>
          <w:szCs w:val="24"/>
          <w:highlight w:val="none"/>
        </w:rPr>
        <w:t>评审细则</w:t>
      </w:r>
      <w:bookmarkEnd w:id="242"/>
    </w:p>
    <w:tbl>
      <w:tblPr>
        <w:tblStyle w:val="37"/>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12"/>
        <w:gridCol w:w="3322"/>
        <w:gridCol w:w="4716"/>
      </w:tblGrid>
      <w:tr w14:paraId="5723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 w:type="dxa"/>
            <w:noWrap w:val="0"/>
            <w:vAlign w:val="center"/>
          </w:tcPr>
          <w:p w14:paraId="65FAAA49">
            <w:pPr>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4434" w:type="dxa"/>
            <w:gridSpan w:val="2"/>
            <w:noWrap w:val="0"/>
            <w:vAlign w:val="center"/>
          </w:tcPr>
          <w:p w14:paraId="60AE66D2">
            <w:pPr>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审查因素</w:t>
            </w:r>
          </w:p>
        </w:tc>
        <w:tc>
          <w:tcPr>
            <w:tcW w:w="4716" w:type="dxa"/>
            <w:noWrap w:val="0"/>
            <w:vAlign w:val="center"/>
          </w:tcPr>
          <w:p w14:paraId="3B609122">
            <w:pPr>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审查内容</w:t>
            </w:r>
          </w:p>
        </w:tc>
      </w:tr>
      <w:tr w14:paraId="65C3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668" w:type="dxa"/>
            <w:noWrap w:val="0"/>
            <w:vAlign w:val="center"/>
          </w:tcPr>
          <w:p w14:paraId="154666ED">
            <w:pPr>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12" w:type="dxa"/>
            <w:noWrap w:val="0"/>
            <w:vAlign w:val="center"/>
          </w:tcPr>
          <w:p w14:paraId="1D8CAF1A">
            <w:pPr>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重要要求</w:t>
            </w:r>
          </w:p>
        </w:tc>
        <w:tc>
          <w:tcPr>
            <w:tcW w:w="3322" w:type="dxa"/>
            <w:noWrap w:val="0"/>
            <w:vAlign w:val="top"/>
          </w:tcPr>
          <w:p w14:paraId="200F7C02">
            <w:pP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0"/>
                <w:sz w:val="24"/>
                <w:szCs w:val="24"/>
                <w:highlight w:val="none"/>
              </w:rPr>
              <w:t>身份证明和有效身份证（或</w:t>
            </w: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0"/>
                <w:sz w:val="24"/>
                <w:szCs w:val="24"/>
                <w:highlight w:val="none"/>
              </w:rPr>
              <w:t>授权委托书及委托代理人有效身份证）</w:t>
            </w:r>
          </w:p>
        </w:tc>
        <w:tc>
          <w:tcPr>
            <w:tcW w:w="4716" w:type="dxa"/>
            <w:noWrap w:val="0"/>
            <w:vAlign w:val="center"/>
          </w:tcPr>
          <w:p w14:paraId="693E567D">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0"/>
                <w:sz w:val="24"/>
                <w:szCs w:val="24"/>
                <w:highlight w:val="none"/>
              </w:rPr>
              <w:t>身份证明和身份证有效（或</w:t>
            </w: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0"/>
                <w:sz w:val="24"/>
                <w:szCs w:val="24"/>
                <w:highlight w:val="none"/>
              </w:rPr>
              <w:t>授权委托书及委托代理人有效身份证），格式见附件</w:t>
            </w:r>
          </w:p>
        </w:tc>
      </w:tr>
      <w:tr w14:paraId="5D78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8" w:type="dxa"/>
            <w:vMerge w:val="restart"/>
            <w:noWrap w:val="0"/>
            <w:vAlign w:val="center"/>
          </w:tcPr>
          <w:p w14:paraId="52B214C9">
            <w:pPr>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12" w:type="dxa"/>
            <w:vMerge w:val="restart"/>
            <w:noWrap w:val="0"/>
            <w:vAlign w:val="center"/>
          </w:tcPr>
          <w:p w14:paraId="5DE29A9A">
            <w:pPr>
              <w:spacing w:line="440" w:lineRule="exact"/>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供应商应符合的基本资格条件</w:t>
            </w:r>
          </w:p>
        </w:tc>
        <w:tc>
          <w:tcPr>
            <w:tcW w:w="3322" w:type="dxa"/>
            <w:noWrap w:val="0"/>
            <w:vAlign w:val="center"/>
          </w:tcPr>
          <w:p w14:paraId="22248D41">
            <w:pP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（2）具有承担民事责任的能力</w:t>
            </w:r>
          </w:p>
        </w:tc>
        <w:tc>
          <w:tcPr>
            <w:tcW w:w="4716" w:type="dxa"/>
            <w:noWrap w:val="0"/>
            <w:vAlign w:val="center"/>
          </w:tcPr>
          <w:p w14:paraId="025389A9">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供应商有效的营业执照（或三合一证书）</w:t>
            </w:r>
          </w:p>
          <w:p w14:paraId="186B5C00">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复印件加盖供应商公章</w:t>
            </w:r>
          </w:p>
        </w:tc>
      </w:tr>
      <w:tr w14:paraId="0AA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noWrap w:val="0"/>
            <w:vAlign w:val="center"/>
          </w:tcPr>
          <w:p w14:paraId="0C353B77">
            <w:pPr>
              <w:spacing w:line="440" w:lineRule="exact"/>
              <w:jc w:val="center"/>
              <w:rPr>
                <w:rFonts w:hint="eastAsia" w:ascii="宋体" w:hAnsi="宋体" w:eastAsia="宋体" w:cs="宋体"/>
                <w:color w:val="auto"/>
                <w:kern w:val="0"/>
                <w:sz w:val="24"/>
                <w:szCs w:val="24"/>
                <w:highlight w:val="none"/>
              </w:rPr>
            </w:pPr>
          </w:p>
        </w:tc>
        <w:tc>
          <w:tcPr>
            <w:tcW w:w="1112" w:type="dxa"/>
            <w:vMerge w:val="continue"/>
            <w:noWrap w:val="0"/>
            <w:vAlign w:val="center"/>
          </w:tcPr>
          <w:p w14:paraId="1140EEDE">
            <w:pPr>
              <w:spacing w:line="440" w:lineRule="exact"/>
              <w:jc w:val="center"/>
              <w:rPr>
                <w:rFonts w:hint="eastAsia" w:ascii="宋体" w:hAnsi="宋体" w:eastAsia="宋体" w:cs="宋体"/>
                <w:color w:val="auto"/>
                <w:kern w:val="0"/>
                <w:sz w:val="24"/>
                <w:szCs w:val="24"/>
                <w:highlight w:val="none"/>
              </w:rPr>
            </w:pPr>
          </w:p>
        </w:tc>
        <w:tc>
          <w:tcPr>
            <w:tcW w:w="3322" w:type="dxa"/>
            <w:noWrap w:val="0"/>
            <w:vAlign w:val="center"/>
          </w:tcPr>
          <w:p w14:paraId="21110D17">
            <w:pPr>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企业资质证书</w:t>
            </w:r>
          </w:p>
        </w:tc>
        <w:tc>
          <w:tcPr>
            <w:tcW w:w="4716" w:type="dxa"/>
            <w:noWrap w:val="0"/>
            <w:vAlign w:val="center"/>
          </w:tcPr>
          <w:p w14:paraId="661155F5">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供应商须具有自然资源主管部门颁发的测绘乙级及以上资质；</w:t>
            </w:r>
          </w:p>
          <w:p w14:paraId="7C9216F5">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复印件加盖供应商公章</w:t>
            </w:r>
          </w:p>
        </w:tc>
      </w:tr>
      <w:tr w14:paraId="073E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noWrap w:val="0"/>
            <w:vAlign w:val="center"/>
          </w:tcPr>
          <w:p w14:paraId="300B7015">
            <w:pPr>
              <w:spacing w:line="440" w:lineRule="exact"/>
              <w:jc w:val="center"/>
              <w:rPr>
                <w:rFonts w:hint="eastAsia" w:ascii="宋体" w:hAnsi="宋体" w:eastAsia="宋体" w:cs="宋体"/>
                <w:color w:val="auto"/>
                <w:kern w:val="0"/>
                <w:sz w:val="24"/>
                <w:szCs w:val="24"/>
                <w:highlight w:val="none"/>
              </w:rPr>
            </w:pPr>
          </w:p>
        </w:tc>
        <w:tc>
          <w:tcPr>
            <w:tcW w:w="1112" w:type="dxa"/>
            <w:vMerge w:val="continue"/>
            <w:noWrap w:val="0"/>
            <w:vAlign w:val="center"/>
          </w:tcPr>
          <w:p w14:paraId="29625F08">
            <w:pPr>
              <w:spacing w:line="440" w:lineRule="exact"/>
              <w:jc w:val="center"/>
              <w:rPr>
                <w:rFonts w:hint="eastAsia" w:ascii="宋体" w:hAnsi="宋体" w:eastAsia="宋体" w:cs="宋体"/>
                <w:color w:val="auto"/>
                <w:kern w:val="0"/>
                <w:sz w:val="24"/>
                <w:szCs w:val="24"/>
                <w:highlight w:val="none"/>
              </w:rPr>
            </w:pPr>
          </w:p>
        </w:tc>
        <w:tc>
          <w:tcPr>
            <w:tcW w:w="3322" w:type="dxa"/>
            <w:noWrap w:val="0"/>
            <w:vAlign w:val="center"/>
          </w:tcPr>
          <w:p w14:paraId="334B2FD3">
            <w:pP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项目负责人证书</w:t>
            </w:r>
          </w:p>
        </w:tc>
        <w:tc>
          <w:tcPr>
            <w:tcW w:w="4716" w:type="dxa"/>
            <w:noWrap w:val="0"/>
            <w:vAlign w:val="center"/>
          </w:tcPr>
          <w:p w14:paraId="2278A524">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供应商拟派本项目负责人须具有中华人民共和国注册测绘师资格证书</w:t>
            </w:r>
          </w:p>
          <w:p w14:paraId="226254F8">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复印件加盖供应商公章</w:t>
            </w:r>
          </w:p>
        </w:tc>
      </w:tr>
      <w:tr w14:paraId="102A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noWrap w:val="0"/>
            <w:vAlign w:val="center"/>
          </w:tcPr>
          <w:p w14:paraId="5EC7BC80">
            <w:pPr>
              <w:spacing w:line="440" w:lineRule="exact"/>
              <w:jc w:val="center"/>
              <w:rPr>
                <w:rFonts w:hint="eastAsia" w:ascii="宋体" w:hAnsi="宋体" w:eastAsia="宋体" w:cs="宋体"/>
                <w:color w:val="auto"/>
                <w:kern w:val="0"/>
                <w:sz w:val="24"/>
                <w:szCs w:val="24"/>
                <w:highlight w:val="none"/>
              </w:rPr>
            </w:pPr>
          </w:p>
        </w:tc>
        <w:tc>
          <w:tcPr>
            <w:tcW w:w="1112" w:type="dxa"/>
            <w:vMerge w:val="continue"/>
            <w:noWrap w:val="0"/>
            <w:vAlign w:val="center"/>
          </w:tcPr>
          <w:p w14:paraId="234C953F">
            <w:pPr>
              <w:spacing w:line="440" w:lineRule="exact"/>
              <w:jc w:val="center"/>
              <w:rPr>
                <w:rFonts w:hint="eastAsia" w:ascii="宋体" w:hAnsi="宋体" w:eastAsia="宋体" w:cs="宋体"/>
                <w:color w:val="auto"/>
                <w:kern w:val="0"/>
                <w:sz w:val="24"/>
                <w:szCs w:val="24"/>
                <w:highlight w:val="none"/>
              </w:rPr>
            </w:pPr>
          </w:p>
        </w:tc>
        <w:tc>
          <w:tcPr>
            <w:tcW w:w="3322" w:type="dxa"/>
            <w:noWrap w:val="0"/>
            <w:vAlign w:val="center"/>
          </w:tcPr>
          <w:p w14:paraId="1811A437">
            <w:pP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）诚信响应承诺书</w:t>
            </w:r>
          </w:p>
        </w:tc>
        <w:tc>
          <w:tcPr>
            <w:tcW w:w="4716" w:type="dxa"/>
            <w:noWrap w:val="0"/>
            <w:vAlign w:val="center"/>
          </w:tcPr>
          <w:p w14:paraId="547F1954">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格式见附件</w:t>
            </w:r>
          </w:p>
        </w:tc>
      </w:tr>
      <w:tr w14:paraId="4EC8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68" w:type="dxa"/>
            <w:noWrap w:val="0"/>
            <w:vAlign w:val="center"/>
          </w:tcPr>
          <w:p w14:paraId="49DCE3AF">
            <w:pPr>
              <w:spacing w:line="440" w:lineRule="exact"/>
              <w:jc w:val="center"/>
              <w:rPr>
                <w:rFonts w:hint="eastAsia" w:ascii="宋体" w:hAnsi="宋体" w:eastAsia="宋体" w:cs="宋体"/>
                <w:color w:val="auto"/>
                <w:sz w:val="24"/>
                <w:szCs w:val="24"/>
                <w:highlight w:val="none"/>
              </w:rPr>
            </w:pPr>
            <w:bookmarkStart w:id="243" w:name="_Toc8581"/>
            <w:bookmarkStart w:id="244" w:name="_Toc30216"/>
            <w:bookmarkStart w:id="245" w:name="_Toc20322"/>
            <w:r>
              <w:rPr>
                <w:rFonts w:hint="eastAsia" w:ascii="宋体" w:hAnsi="宋体" w:eastAsia="宋体" w:cs="宋体"/>
                <w:color w:val="auto"/>
                <w:sz w:val="24"/>
                <w:szCs w:val="24"/>
                <w:highlight w:val="none"/>
              </w:rPr>
              <w:t>3</w:t>
            </w:r>
          </w:p>
        </w:tc>
        <w:tc>
          <w:tcPr>
            <w:tcW w:w="1112" w:type="dxa"/>
            <w:noWrap w:val="0"/>
            <w:vAlign w:val="center"/>
          </w:tcPr>
          <w:p w14:paraId="2F70723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3322" w:type="dxa"/>
            <w:noWrap w:val="0"/>
            <w:vAlign w:val="center"/>
          </w:tcPr>
          <w:p w14:paraId="47352603">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法定代表人或委托代理人须参加开标会议</w:t>
            </w:r>
          </w:p>
        </w:tc>
        <w:tc>
          <w:tcPr>
            <w:tcW w:w="4716" w:type="dxa"/>
            <w:noWrap w:val="0"/>
            <w:vAlign w:val="center"/>
          </w:tcPr>
          <w:p w14:paraId="76CE697F">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核验身份</w:t>
            </w:r>
          </w:p>
        </w:tc>
      </w:tr>
    </w:tbl>
    <w:p w14:paraId="02F13988">
      <w:pPr>
        <w:keepNext w:val="0"/>
        <w:keepLines w:val="0"/>
        <w:pageBreakBefore w:val="0"/>
        <w:widowControl w:val="0"/>
        <w:kinsoku/>
        <w:wordWrap/>
        <w:overflowPunct/>
        <w:topLinePunct w:val="0"/>
        <w:autoSpaceDE/>
        <w:autoSpaceDN/>
        <w:bidi w:val="0"/>
        <w:spacing w:line="4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（二）综合评审</w:t>
      </w:r>
      <w:bookmarkEnd w:id="243"/>
      <w:bookmarkEnd w:id="244"/>
      <w:bookmarkEnd w:id="245"/>
    </w:p>
    <w:p w14:paraId="10092E3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1"/>
          <w:szCs w:val="21"/>
          <w:highlight w:val="none"/>
        </w:rPr>
        <w:t>对响应文件进行综合评审。磋商小组只对通过初审，实质上响应磋商文件要求的响应文件按照下述指标表进行综合评审。</w:t>
      </w:r>
    </w:p>
    <w:p w14:paraId="384579E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2、本项目满分100分。资信分值占总分值的权重为</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%，技术分值占总分值的权重为</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%，价格分值占总分值的权重为</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p w14:paraId="680623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color w:val="auto"/>
          <w:sz w:val="24"/>
          <w:szCs w:val="24"/>
          <w:highlight w:val="none"/>
        </w:rPr>
      </w:pPr>
      <w:bookmarkStart w:id="246" w:name="_Toc27089"/>
      <w:bookmarkStart w:id="247" w:name="_Toc22663"/>
      <w:bookmarkStart w:id="248" w:name="_Toc26694"/>
      <w:r>
        <w:rPr>
          <w:rFonts w:hint="eastAsia" w:ascii="宋体" w:hAnsi="宋体" w:eastAsia="宋体" w:cs="宋体"/>
          <w:color w:val="auto"/>
          <w:sz w:val="24"/>
          <w:szCs w:val="24"/>
          <w:highlight w:val="none"/>
        </w:rPr>
        <w:t>3、评分步骤如下：</w:t>
      </w:r>
      <w:bookmarkEnd w:id="246"/>
      <w:bookmarkEnd w:id="247"/>
      <w:bookmarkEnd w:id="248"/>
    </w:p>
    <w:p w14:paraId="6591E2CE">
      <w:pPr>
        <w:pStyle w:val="36"/>
        <w:keepNext w:val="0"/>
        <w:keepLines w:val="0"/>
        <w:pageBreakBefore w:val="0"/>
        <w:widowControl w:val="0"/>
        <w:kinsoku/>
        <w:wordWrap/>
        <w:overflowPunct/>
        <w:topLinePunct w:val="0"/>
        <w:autoSpaceDE/>
        <w:autoSpaceDN/>
        <w:bidi w:val="0"/>
        <w:spacing w:line="440" w:lineRule="exact"/>
        <w:ind w:firstLine="420"/>
        <w:textAlignment w:val="auto"/>
        <w:outlineLvl w:val="9"/>
        <w:rPr>
          <w:rFonts w:hint="eastAsia" w:ascii="宋体" w:hAnsi="宋体" w:eastAsia="宋体" w:cs="宋体"/>
          <w:color w:val="auto"/>
          <w:sz w:val="24"/>
          <w:szCs w:val="24"/>
          <w:highlight w:val="none"/>
        </w:rPr>
      </w:pPr>
      <w:bookmarkStart w:id="249" w:name="_Toc120"/>
      <w:bookmarkStart w:id="250" w:name="_Toc2334"/>
      <w:bookmarkStart w:id="251" w:name="_Toc28324"/>
      <w:r>
        <w:rPr>
          <w:rFonts w:hint="eastAsia" w:ascii="宋体" w:hAnsi="宋体" w:eastAsia="宋体" w:cs="宋体"/>
          <w:color w:val="auto"/>
          <w:sz w:val="24"/>
          <w:szCs w:val="24"/>
          <w:highlight w:val="none"/>
        </w:rPr>
        <w:t>（1）资信、技术和价格分</w:t>
      </w:r>
      <w:bookmarkEnd w:id="249"/>
      <w:bookmarkEnd w:id="250"/>
      <w:bookmarkEnd w:id="251"/>
    </w:p>
    <w:p w14:paraId="17017E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评分细则，磋商小组应对进入综合评审的所有供应商进行评分，并分别填写综合评审表。资信、技术和价格分汇总方法为：各评委对某一供应商的每一个指标项打分并汇总，再取各位评委评分之平均值，保留至小数点后两位数，得到该供应商的资信、技术和价格分之和，即总得分。</w:t>
      </w:r>
    </w:p>
    <w:p w14:paraId="4BEEA32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综合评审指标详见下表：</w:t>
      </w:r>
      <w:r>
        <w:rPr>
          <w:rFonts w:hint="eastAsia" w:ascii="宋体" w:hAnsi="宋体" w:eastAsia="宋体" w:cs="宋体"/>
          <w:b/>
          <w:bCs/>
          <w:color w:val="auto"/>
          <w:sz w:val="24"/>
          <w:szCs w:val="24"/>
          <w:highlight w:val="none"/>
          <w:lang w:val="en-US" w:eastAsia="zh-CN"/>
        </w:rPr>
        <w:t xml:space="preserve"> </w:t>
      </w:r>
    </w:p>
    <w:tbl>
      <w:tblPr>
        <w:tblStyle w:val="37"/>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51"/>
        <w:gridCol w:w="7344"/>
        <w:gridCol w:w="876"/>
      </w:tblGrid>
      <w:tr w14:paraId="4181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302C1C8C">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52576E4">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40000627">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B204B83">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评审细则</w:t>
            </w:r>
          </w:p>
        </w:tc>
      </w:tr>
      <w:tr w14:paraId="05F6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restart"/>
            <w:tcBorders>
              <w:top w:val="single" w:color="auto" w:sz="4" w:space="0"/>
              <w:left w:val="single" w:color="auto" w:sz="4" w:space="0"/>
              <w:right w:val="single" w:color="auto" w:sz="4" w:space="0"/>
            </w:tcBorders>
            <w:noWrap w:val="0"/>
            <w:vAlign w:val="center"/>
          </w:tcPr>
          <w:p w14:paraId="34D9CC7B">
            <w:pPr>
              <w:pStyle w:val="36"/>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762095D9">
            <w:pPr>
              <w:pStyle w:val="36"/>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51" w:type="dxa"/>
            <w:tcBorders>
              <w:top w:val="single" w:color="auto" w:sz="4" w:space="0"/>
              <w:left w:val="single" w:color="auto" w:sz="4" w:space="0"/>
              <w:right w:val="single" w:color="auto" w:sz="4" w:space="0"/>
            </w:tcBorders>
            <w:noWrap w:val="0"/>
            <w:vAlign w:val="center"/>
          </w:tcPr>
          <w:p w14:paraId="4858D8D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供应商业绩</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7BCA4F1A">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textAlignment w:val="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自2023年1月1日以来</w:t>
            </w:r>
            <w:r>
              <w:rPr>
                <w:rFonts w:hint="eastAsia" w:ascii="宋体" w:hAnsi="宋体" w:eastAsia="宋体" w:cs="宋体"/>
                <w:color w:val="auto"/>
                <w:spacing w:val="0"/>
                <w:kern w:val="0"/>
                <w:position w:val="0"/>
                <w:sz w:val="24"/>
                <w:szCs w:val="24"/>
                <w:highlight w:val="none"/>
                <w:u w:val="none" w:color="000000"/>
              </w:rPr>
              <w:t>（时间以合同签订日期为准）</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供应商具有地下管网物探测绘等相关业绩的，每提供一个对应业绩的得5分，本项满分10分。</w:t>
            </w:r>
          </w:p>
          <w:p w14:paraId="575DF04B">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注：</w:t>
            </w:r>
          </w:p>
          <w:p w14:paraId="52ED1F05">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u w:val="none" w:color="000000"/>
                <w:lang w:val="en-US" w:eastAsia="zh-CN"/>
              </w:rPr>
            </w:pPr>
            <w:r>
              <w:rPr>
                <w:rFonts w:hint="eastAsia" w:ascii="宋体" w:hAnsi="宋体" w:eastAsia="宋体" w:cs="宋体"/>
                <w:color w:val="auto"/>
                <w:spacing w:val="0"/>
                <w:kern w:val="0"/>
                <w:position w:val="0"/>
                <w:sz w:val="24"/>
                <w:szCs w:val="24"/>
                <w:highlight w:val="none"/>
                <w:lang w:val="en-US" w:eastAsia="zh-CN" w:bidi="ar-SA"/>
              </w:rPr>
              <w:t>1、</w:t>
            </w:r>
            <w:r>
              <w:rPr>
                <w:rFonts w:hint="eastAsia" w:eastAsia="宋体" w:cs="宋体"/>
                <w:color w:val="auto"/>
                <w:sz w:val="24"/>
                <w:szCs w:val="24"/>
                <w:highlight w:val="none"/>
                <w:lang w:val="en-US" w:eastAsia="zh-CN"/>
              </w:rPr>
              <w:t>响应文件中</w:t>
            </w:r>
            <w:r>
              <w:rPr>
                <w:rFonts w:hint="eastAsia" w:ascii="宋体" w:hAnsi="宋体" w:eastAsia="宋体" w:cs="宋体"/>
                <w:color w:val="auto"/>
                <w:sz w:val="24"/>
                <w:szCs w:val="24"/>
                <w:highlight w:val="none"/>
                <w:lang w:val="en-US" w:eastAsia="zh-CN"/>
              </w:rPr>
              <w:t>提供业绩合同，</w:t>
            </w:r>
            <w:r>
              <w:rPr>
                <w:rFonts w:hint="eastAsia" w:ascii="宋体" w:hAnsi="宋体" w:eastAsia="宋体" w:cs="宋体"/>
                <w:color w:val="auto"/>
                <w:spacing w:val="0"/>
                <w:kern w:val="0"/>
                <w:position w:val="0"/>
                <w:sz w:val="24"/>
                <w:szCs w:val="24"/>
                <w:highlight w:val="none"/>
                <w:u w:val="none" w:color="000000"/>
              </w:rPr>
              <w:t>如前述证明材料无法体现时间、</w:t>
            </w:r>
            <w:r>
              <w:rPr>
                <w:rFonts w:hint="eastAsia" w:ascii="宋体" w:hAnsi="宋体" w:eastAsia="宋体" w:cs="宋体"/>
                <w:color w:val="auto"/>
                <w:spacing w:val="0"/>
                <w:kern w:val="0"/>
                <w:position w:val="0"/>
                <w:sz w:val="24"/>
                <w:szCs w:val="24"/>
                <w:highlight w:val="none"/>
                <w:u w:val="none" w:color="000000"/>
                <w:lang w:val="en-US" w:eastAsia="zh-CN"/>
              </w:rPr>
              <w:t>项目</w:t>
            </w:r>
            <w:r>
              <w:rPr>
                <w:rFonts w:hint="eastAsia" w:ascii="宋体" w:hAnsi="宋体" w:eastAsia="宋体" w:cs="宋体"/>
                <w:color w:val="auto"/>
                <w:spacing w:val="0"/>
                <w:kern w:val="0"/>
                <w:position w:val="0"/>
                <w:sz w:val="24"/>
                <w:szCs w:val="24"/>
                <w:highlight w:val="none"/>
                <w:u w:val="none" w:color="000000"/>
              </w:rPr>
              <w:t>内容等评审因素的，另</w:t>
            </w:r>
            <w:r>
              <w:rPr>
                <w:rFonts w:hint="eastAsia" w:ascii="宋体" w:hAnsi="宋体" w:eastAsia="宋体" w:cs="宋体"/>
                <w:color w:val="auto"/>
                <w:spacing w:val="0"/>
                <w:kern w:val="0"/>
                <w:position w:val="0"/>
                <w:sz w:val="24"/>
                <w:szCs w:val="24"/>
                <w:highlight w:val="none"/>
                <w:u w:val="none" w:color="000000"/>
                <w:lang w:eastAsia="zh-CN"/>
              </w:rPr>
              <w:t>需</w:t>
            </w:r>
            <w:r>
              <w:rPr>
                <w:rFonts w:hint="eastAsia" w:ascii="宋体" w:hAnsi="宋体" w:eastAsia="宋体" w:cs="宋体"/>
                <w:color w:val="auto"/>
                <w:spacing w:val="0"/>
                <w:kern w:val="0"/>
                <w:position w:val="0"/>
                <w:sz w:val="24"/>
                <w:szCs w:val="24"/>
                <w:highlight w:val="none"/>
                <w:u w:val="none" w:color="000000"/>
              </w:rPr>
              <w:t>提供加盖业主单位公章的证明材料予以明确说明。</w:t>
            </w:r>
            <w:r>
              <w:rPr>
                <w:rFonts w:hint="eastAsia" w:ascii="宋体" w:hAnsi="宋体" w:eastAsia="宋体" w:cs="宋体"/>
                <w:color w:val="auto"/>
                <w:spacing w:val="0"/>
                <w:kern w:val="0"/>
                <w:position w:val="0"/>
                <w:sz w:val="24"/>
                <w:szCs w:val="24"/>
                <w:highlight w:val="none"/>
                <w:u w:val="none" w:color="000000"/>
                <w:lang w:val="en-US" w:eastAsia="zh-CN"/>
              </w:rPr>
              <w:t>提供上述材料复印件加盖单位公章。</w:t>
            </w:r>
          </w:p>
          <w:p w14:paraId="56D2031C">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textAlignment w:val="auto"/>
              <w:rPr>
                <w:rFonts w:hint="default" w:ascii="宋体" w:hAnsi="宋体" w:eastAsia="宋体" w:cs="宋体"/>
                <w:color w:val="auto"/>
                <w:spacing w:val="0"/>
                <w:kern w:val="0"/>
                <w:position w:val="0"/>
                <w:sz w:val="24"/>
                <w:szCs w:val="24"/>
                <w:highlight w:val="none"/>
                <w:u w:val="none" w:color="000000"/>
                <w:lang w:val="en-US" w:eastAsia="zh-CN"/>
              </w:rPr>
            </w:pPr>
            <w:r>
              <w:rPr>
                <w:rFonts w:hint="eastAsia" w:ascii="宋体" w:hAnsi="宋体" w:eastAsia="宋体" w:cs="宋体"/>
                <w:color w:val="auto"/>
                <w:spacing w:val="0"/>
                <w:kern w:val="0"/>
                <w:position w:val="0"/>
                <w:sz w:val="24"/>
                <w:szCs w:val="24"/>
                <w:highlight w:val="none"/>
                <w:lang w:val="en-US" w:eastAsia="zh-CN" w:bidi="ar-SA"/>
              </w:rPr>
              <w:t>2、</w:t>
            </w:r>
            <w:r>
              <w:rPr>
                <w:rFonts w:hint="eastAsia" w:ascii="宋体" w:hAnsi="宋体" w:eastAsia="宋体" w:cs="宋体"/>
                <w:color w:val="auto"/>
                <w:spacing w:val="0"/>
                <w:kern w:val="0"/>
                <w:position w:val="0"/>
                <w:sz w:val="24"/>
                <w:szCs w:val="24"/>
                <w:highlight w:val="none"/>
                <w:u w:val="none" w:color="000000"/>
                <w:lang w:val="en-US" w:eastAsia="zh-CN"/>
              </w:rPr>
              <w:t>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项、第二项业绩，其余超出部分不再评审。</w:t>
            </w:r>
          </w:p>
        </w:tc>
        <w:tc>
          <w:tcPr>
            <w:tcW w:w="876" w:type="dxa"/>
            <w:tcBorders>
              <w:top w:val="single" w:color="auto" w:sz="4" w:space="0"/>
              <w:left w:val="single" w:color="auto" w:sz="4" w:space="0"/>
              <w:right w:val="single" w:color="auto" w:sz="4" w:space="0"/>
            </w:tcBorders>
            <w:noWrap w:val="0"/>
            <w:vAlign w:val="center"/>
          </w:tcPr>
          <w:p w14:paraId="05C7784C">
            <w:pPr>
              <w:pStyle w:val="32"/>
              <w:keepNext w:val="0"/>
              <w:keepLines w:val="0"/>
              <w:pageBreakBefore w:val="0"/>
              <w:widowControl/>
              <w:kinsoku/>
              <w:wordWrap/>
              <w:overflowPunct/>
              <w:topLinePunct w:val="0"/>
              <w:autoSpaceDE/>
              <w:autoSpaceDN/>
              <w:bidi w:val="0"/>
              <w:adjustRightInd/>
              <w:spacing w:before="0" w:beforeAutospacing="0" w:after="0" w:afterAutospacing="0" w:line="44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14:paraId="092D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continue"/>
            <w:tcBorders>
              <w:left w:val="single" w:color="auto" w:sz="4" w:space="0"/>
              <w:right w:val="single" w:color="auto" w:sz="4" w:space="0"/>
            </w:tcBorders>
            <w:noWrap w:val="0"/>
            <w:vAlign w:val="center"/>
          </w:tcPr>
          <w:p w14:paraId="0B88BEF1">
            <w:pPr>
              <w:pStyle w:val="36"/>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top w:val="single" w:color="auto" w:sz="4" w:space="0"/>
              <w:left w:val="single" w:color="auto" w:sz="4" w:space="0"/>
              <w:right w:val="single" w:color="auto" w:sz="4" w:space="0"/>
            </w:tcBorders>
            <w:noWrap w:val="0"/>
            <w:vAlign w:val="center"/>
          </w:tcPr>
          <w:p w14:paraId="3AACE702">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项目负责人业绩</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1433A5E5">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textAlignment w:val="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自2023年1月1日以来</w:t>
            </w:r>
            <w:r>
              <w:rPr>
                <w:rFonts w:hint="eastAsia" w:ascii="宋体" w:hAnsi="宋体" w:eastAsia="宋体" w:cs="宋体"/>
                <w:color w:val="auto"/>
                <w:spacing w:val="0"/>
                <w:kern w:val="0"/>
                <w:position w:val="0"/>
                <w:sz w:val="24"/>
                <w:szCs w:val="24"/>
                <w:highlight w:val="none"/>
                <w:u w:val="none" w:color="000000"/>
              </w:rPr>
              <w:t>（时间以合同签订日期为准）</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供应商拟派本项目负责人具有地下管网物探测绘等相关业绩的，每提供一个对应业绩的得5分，本项满分5分。</w:t>
            </w:r>
          </w:p>
          <w:p w14:paraId="11D5F8BE">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注：</w:t>
            </w:r>
          </w:p>
          <w:p w14:paraId="50DC5E38">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u w:val="none" w:color="000000"/>
                <w:lang w:val="en-US" w:eastAsia="zh-CN"/>
              </w:rPr>
            </w:pPr>
            <w:r>
              <w:rPr>
                <w:rFonts w:hint="eastAsia" w:ascii="宋体" w:hAnsi="宋体" w:eastAsia="宋体" w:cs="宋体"/>
                <w:color w:val="auto"/>
                <w:spacing w:val="0"/>
                <w:kern w:val="0"/>
                <w:position w:val="0"/>
                <w:sz w:val="24"/>
                <w:szCs w:val="24"/>
                <w:highlight w:val="none"/>
                <w:lang w:val="en-US" w:eastAsia="zh-CN" w:bidi="ar-SA"/>
              </w:rPr>
              <w:t>1、</w:t>
            </w:r>
            <w:r>
              <w:rPr>
                <w:rFonts w:hint="eastAsia" w:eastAsia="宋体" w:cs="宋体"/>
                <w:color w:val="auto"/>
                <w:sz w:val="24"/>
                <w:szCs w:val="24"/>
                <w:highlight w:val="none"/>
                <w:lang w:val="en-US" w:eastAsia="zh-CN"/>
              </w:rPr>
              <w:t>响应文件中</w:t>
            </w:r>
            <w:r>
              <w:rPr>
                <w:rFonts w:hint="eastAsia" w:ascii="宋体" w:hAnsi="宋体" w:eastAsia="宋体" w:cs="宋体"/>
                <w:color w:val="auto"/>
                <w:sz w:val="24"/>
                <w:szCs w:val="24"/>
                <w:highlight w:val="none"/>
                <w:lang w:val="en-US" w:eastAsia="zh-CN"/>
              </w:rPr>
              <w:t>提供业绩合同，</w:t>
            </w:r>
            <w:r>
              <w:rPr>
                <w:rFonts w:hint="eastAsia" w:ascii="宋体" w:hAnsi="宋体" w:eastAsia="宋体" w:cs="宋体"/>
                <w:color w:val="auto"/>
                <w:spacing w:val="0"/>
                <w:kern w:val="0"/>
                <w:position w:val="0"/>
                <w:sz w:val="24"/>
                <w:szCs w:val="24"/>
                <w:highlight w:val="none"/>
                <w:u w:val="none" w:color="000000"/>
              </w:rPr>
              <w:t>如前述证明材料无法体现时间、</w:t>
            </w:r>
            <w:r>
              <w:rPr>
                <w:rFonts w:hint="eastAsia" w:ascii="宋体" w:hAnsi="宋体" w:eastAsia="宋体" w:cs="宋体"/>
                <w:color w:val="auto"/>
                <w:spacing w:val="0"/>
                <w:kern w:val="0"/>
                <w:position w:val="0"/>
                <w:sz w:val="24"/>
                <w:szCs w:val="24"/>
                <w:highlight w:val="none"/>
                <w:u w:val="none" w:color="000000"/>
                <w:lang w:val="en-US" w:eastAsia="zh-CN"/>
              </w:rPr>
              <w:t>项目负责人、项目</w:t>
            </w:r>
            <w:r>
              <w:rPr>
                <w:rFonts w:hint="eastAsia" w:ascii="宋体" w:hAnsi="宋体" w:eastAsia="宋体" w:cs="宋体"/>
                <w:color w:val="auto"/>
                <w:spacing w:val="0"/>
                <w:kern w:val="0"/>
                <w:position w:val="0"/>
                <w:sz w:val="24"/>
                <w:szCs w:val="24"/>
                <w:highlight w:val="none"/>
                <w:u w:val="none" w:color="000000"/>
              </w:rPr>
              <w:t>内容等评审因素的，另</w:t>
            </w:r>
            <w:r>
              <w:rPr>
                <w:rFonts w:hint="eastAsia" w:ascii="宋体" w:hAnsi="宋体" w:eastAsia="宋体" w:cs="宋体"/>
                <w:color w:val="auto"/>
                <w:spacing w:val="0"/>
                <w:kern w:val="0"/>
                <w:position w:val="0"/>
                <w:sz w:val="24"/>
                <w:szCs w:val="24"/>
                <w:highlight w:val="none"/>
                <w:u w:val="none" w:color="000000"/>
                <w:lang w:eastAsia="zh-CN"/>
              </w:rPr>
              <w:t>需</w:t>
            </w:r>
            <w:r>
              <w:rPr>
                <w:rFonts w:hint="eastAsia" w:ascii="宋体" w:hAnsi="宋体" w:eastAsia="宋体" w:cs="宋体"/>
                <w:color w:val="auto"/>
                <w:spacing w:val="0"/>
                <w:kern w:val="0"/>
                <w:position w:val="0"/>
                <w:sz w:val="24"/>
                <w:szCs w:val="24"/>
                <w:highlight w:val="none"/>
                <w:u w:val="none" w:color="000000"/>
              </w:rPr>
              <w:t>提供加盖业主单位公章的证明材料予以明确说明。</w:t>
            </w:r>
            <w:r>
              <w:rPr>
                <w:rFonts w:hint="eastAsia" w:ascii="宋体" w:hAnsi="宋体" w:eastAsia="宋体" w:cs="宋体"/>
                <w:color w:val="auto"/>
                <w:spacing w:val="0"/>
                <w:kern w:val="0"/>
                <w:position w:val="0"/>
                <w:sz w:val="24"/>
                <w:szCs w:val="24"/>
                <w:highlight w:val="none"/>
                <w:u w:val="none" w:color="000000"/>
                <w:lang w:val="en-US" w:eastAsia="zh-CN"/>
              </w:rPr>
              <w:t>提供上述材料复印件加盖单位公章。</w:t>
            </w:r>
          </w:p>
          <w:p w14:paraId="4A92AC02">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kern w:val="0"/>
                <w:position w:val="0"/>
                <w:sz w:val="24"/>
                <w:szCs w:val="24"/>
                <w:highlight w:val="none"/>
                <w:lang w:val="en-US" w:eastAsia="zh-CN" w:bidi="ar-SA"/>
              </w:rPr>
              <w:t>2、</w:t>
            </w:r>
            <w:r>
              <w:rPr>
                <w:rFonts w:hint="eastAsia" w:ascii="宋体" w:hAnsi="宋体" w:eastAsia="宋体" w:cs="宋体"/>
                <w:color w:val="auto"/>
                <w:spacing w:val="0"/>
                <w:kern w:val="0"/>
                <w:position w:val="0"/>
                <w:sz w:val="24"/>
                <w:szCs w:val="24"/>
                <w:highlight w:val="none"/>
                <w:u w:val="none" w:color="000000"/>
                <w:lang w:val="en-US" w:eastAsia="zh-CN"/>
              </w:rPr>
              <w:t>提供的项目业绩只计算评标分值对应的项目数量，按照排列顺序从首个业绩开始评审至对应数量，超出部分不进行评审。对应数量内业绩不符合招标文件要求不得分的，不再补充评审超出部分业绩。如：提供1个业绩即得满分的，按照投标文件排序评审第一项业绩，其余超出部分不再评审。</w:t>
            </w:r>
          </w:p>
        </w:tc>
        <w:tc>
          <w:tcPr>
            <w:tcW w:w="876" w:type="dxa"/>
            <w:tcBorders>
              <w:top w:val="single" w:color="auto" w:sz="4" w:space="0"/>
              <w:left w:val="single" w:color="auto" w:sz="4" w:space="0"/>
              <w:right w:val="single" w:color="auto" w:sz="4" w:space="0"/>
            </w:tcBorders>
            <w:noWrap w:val="0"/>
            <w:vAlign w:val="center"/>
          </w:tcPr>
          <w:p w14:paraId="2AA7BF81">
            <w:pPr>
              <w:pStyle w:val="32"/>
              <w:keepNext w:val="0"/>
              <w:keepLines w:val="0"/>
              <w:pageBreakBefore w:val="0"/>
              <w:widowControl/>
              <w:kinsoku/>
              <w:wordWrap/>
              <w:overflowPunct/>
              <w:topLinePunct w:val="0"/>
              <w:autoSpaceDE/>
              <w:autoSpaceDN/>
              <w:bidi w:val="0"/>
              <w:adjustRightInd/>
              <w:spacing w:before="0" w:beforeAutospacing="0" w:after="0" w:afterAutospacing="0" w:line="44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35A6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continue"/>
            <w:tcBorders>
              <w:left w:val="single" w:color="auto" w:sz="4" w:space="0"/>
              <w:right w:val="single" w:color="auto" w:sz="4" w:space="0"/>
            </w:tcBorders>
            <w:noWrap w:val="0"/>
            <w:vAlign w:val="center"/>
          </w:tcPr>
          <w:p w14:paraId="3E6C3E5C">
            <w:pPr>
              <w:pStyle w:val="36"/>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top w:val="single" w:color="auto" w:sz="4" w:space="0"/>
              <w:left w:val="single" w:color="auto" w:sz="4" w:space="0"/>
              <w:right w:val="single" w:color="auto" w:sz="4" w:space="0"/>
            </w:tcBorders>
            <w:noWrap w:val="0"/>
            <w:vAlign w:val="center"/>
          </w:tcPr>
          <w:p w14:paraId="76371FBA">
            <w:pPr>
              <w:pStyle w:val="32"/>
              <w:keepNext w:val="0"/>
              <w:keepLines w:val="0"/>
              <w:pageBreakBefore w:val="0"/>
              <w:widowControl/>
              <w:kinsoku/>
              <w:wordWrap/>
              <w:overflowPunct/>
              <w:topLinePunct w:val="0"/>
              <w:autoSpaceDE/>
              <w:autoSpaceDN/>
              <w:bidi w:val="0"/>
              <w:adjustRightInd/>
              <w:spacing w:before="0" w:beforeAutospacing="0" w:after="0" w:afterAutospacing="0" w:line="44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项目组人员的整体水平</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5534D383">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1、供应商拟派项目负责人具有高级及以上工程师职称证书的得3分，本项满分3分：</w:t>
            </w:r>
          </w:p>
          <w:p w14:paraId="396327DD">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组成员（不含项目负责人）具有中华人民共和国注册测绘师资格证书（或相关专业中级及以上职称证书）的，每提供一个对应证书得3分，本项满分9分。本项中同一人具有多项证书的不累计加分，同一专业只按计算一次不累计加分。相关专业指：测绘、勘探、测量、给排水、土木工程专业。</w:t>
            </w:r>
          </w:p>
          <w:p w14:paraId="1BFB0BA8">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3、项目组成员（不含项目负责人）具有中级及以上计算机技术与软件专业技术资格（水平）证书的得3分，本项满分3分</w:t>
            </w:r>
            <w:r>
              <w:rPr>
                <w:rFonts w:hint="eastAsia" w:cs="宋体"/>
                <w:color w:val="auto"/>
                <w:sz w:val="24"/>
                <w:szCs w:val="24"/>
                <w:highlight w:val="none"/>
                <w:lang w:val="en-US" w:eastAsia="zh-CN"/>
              </w:rPr>
              <w:t>。</w:t>
            </w:r>
          </w:p>
          <w:p w14:paraId="7CD603A4">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58075E9C">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（1）响应文件中同时提供人员配备名单（格式自拟）、相应人员有效身份证（含正反页）、相应人员证书；</w:t>
            </w:r>
          </w:p>
          <w:p w14:paraId="3D8ABEC2">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社保部门出具的本单位为上述人员缴纳的投标前近三个月连续的养老保险证明（或官网在线打印件），证明文件开具日期距提交投标文件截止之日两个月内有效。同一人担任不同公司法定代表人的，该法定代表人参加本项目投标时须提供本人在其他公司任法定代表人的营业执照及为其缴纳养老保险证明材料，投标单位是事业单位的，暂未缴纳社保的，须由其主管部门出具证明；</w:t>
            </w:r>
          </w:p>
          <w:p w14:paraId="220E9D9C">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其中2、3项人员可重复。</w:t>
            </w:r>
          </w:p>
        </w:tc>
        <w:tc>
          <w:tcPr>
            <w:tcW w:w="876" w:type="dxa"/>
            <w:tcBorders>
              <w:top w:val="single" w:color="auto" w:sz="4" w:space="0"/>
              <w:left w:val="single" w:color="auto" w:sz="4" w:space="0"/>
              <w:right w:val="single" w:color="auto" w:sz="4" w:space="0"/>
            </w:tcBorders>
            <w:noWrap w:val="0"/>
            <w:vAlign w:val="center"/>
          </w:tcPr>
          <w:p w14:paraId="48139B5A">
            <w:pPr>
              <w:pStyle w:val="32"/>
              <w:keepNext w:val="0"/>
              <w:keepLines w:val="0"/>
              <w:pageBreakBefore w:val="0"/>
              <w:widowControl/>
              <w:kinsoku/>
              <w:wordWrap/>
              <w:overflowPunct/>
              <w:topLinePunct w:val="0"/>
              <w:autoSpaceDE/>
              <w:autoSpaceDN/>
              <w:bidi w:val="0"/>
              <w:adjustRightInd/>
              <w:spacing w:before="0" w:beforeAutospacing="0" w:after="0" w:afterAutospacing="0" w:line="44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r>
      <w:tr w14:paraId="1AF0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restart"/>
            <w:tcBorders>
              <w:left w:val="single" w:color="auto" w:sz="4" w:space="0"/>
              <w:right w:val="single" w:color="auto" w:sz="4" w:space="0"/>
            </w:tcBorders>
            <w:noWrap w:val="0"/>
            <w:vAlign w:val="center"/>
          </w:tcPr>
          <w:p w14:paraId="5357F645">
            <w:pPr>
              <w:pStyle w:val="36"/>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color w:val="auto"/>
                <w:highlight w:val="none"/>
              </w:rPr>
            </w:pPr>
            <w:r>
              <w:rPr>
                <w:rFonts w:hint="eastAsia" w:ascii="宋体" w:hAnsi="宋体" w:eastAsia="宋体" w:cs="宋体"/>
                <w:color w:val="auto"/>
                <w:sz w:val="24"/>
                <w:szCs w:val="24"/>
                <w:highlight w:val="none"/>
                <w:lang w:val="en-US" w:eastAsia="zh-CN"/>
              </w:rPr>
              <w:t>技术分</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51" w:type="dxa"/>
            <w:tcBorders>
              <w:top w:val="single" w:color="auto" w:sz="4" w:space="0"/>
              <w:left w:val="single" w:color="auto" w:sz="4" w:space="0"/>
              <w:right w:val="single" w:color="auto" w:sz="4" w:space="0"/>
            </w:tcBorders>
            <w:noWrap w:val="0"/>
            <w:vAlign w:val="center"/>
          </w:tcPr>
          <w:p w14:paraId="71CB31D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服务方案</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16A2DC59">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根据</w:t>
            </w:r>
            <w:r>
              <w:rPr>
                <w:rFonts w:hint="eastAsia"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对项目理解认识情况及针对项目特点提供的项目服务方案的全面性进行综合评分：</w:t>
            </w:r>
          </w:p>
          <w:p w14:paraId="54C11836">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sz w:val="24"/>
                <w:szCs w:val="24"/>
                <w:highlight w:val="none"/>
                <w:lang w:val="en-US" w:eastAsia="zh-CN"/>
              </w:rPr>
              <w:t>服务目标明确，内容和重点详实，</w:t>
            </w:r>
            <w:r>
              <w:rPr>
                <w:rFonts w:hint="eastAsia" w:eastAsia="宋体" w:cs="宋体"/>
                <w:color w:val="auto"/>
                <w:sz w:val="24"/>
                <w:szCs w:val="24"/>
                <w:highlight w:val="none"/>
                <w:lang w:val="en-US" w:eastAsia="zh-CN"/>
              </w:rPr>
              <w:t>具有详细的项目进度计划，针对本项目的数据采集、处理、入库的质量控制流程和具体检查方法，项目数据安全与保密方案满足本项目实施要求，</w:t>
            </w:r>
            <w:r>
              <w:rPr>
                <w:rFonts w:hint="eastAsia" w:ascii="宋体" w:hAnsi="宋体" w:eastAsia="宋体" w:cs="宋体"/>
                <w:color w:val="auto"/>
                <w:sz w:val="24"/>
                <w:szCs w:val="24"/>
                <w:highlight w:val="none"/>
                <w:lang w:val="en-US" w:eastAsia="zh-CN"/>
              </w:rPr>
              <w:t>具有可操作性强的，得5分；</w:t>
            </w:r>
            <w:r>
              <w:rPr>
                <w:rFonts w:hint="eastAsia" w:ascii="宋体" w:hAnsi="宋体" w:eastAsia="宋体" w:cs="宋体"/>
                <w:color w:val="auto"/>
                <w:sz w:val="24"/>
                <w:szCs w:val="24"/>
                <w:highlight w:val="none"/>
                <w:lang w:val="en-US" w:eastAsia="zh-CN"/>
              </w:rPr>
              <w:br w:type="textWrapping"/>
            </w:r>
            <w:r>
              <w:rPr>
                <w:rFonts w:hint="eastAsia"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目标明确，内容和重点基本详实，</w:t>
            </w:r>
            <w:r>
              <w:rPr>
                <w:rFonts w:hint="eastAsia" w:eastAsia="宋体" w:cs="宋体"/>
                <w:color w:val="auto"/>
                <w:sz w:val="24"/>
                <w:szCs w:val="24"/>
                <w:highlight w:val="none"/>
                <w:lang w:val="en-US" w:eastAsia="zh-CN"/>
              </w:rPr>
              <w:t>项目进度计划基本详实，针对本项目的数据采集、处理、入库的质量控制流程和具体检查方法，项目数据安全与保密方案基本满足本项目实施要求</w:t>
            </w:r>
            <w:r>
              <w:rPr>
                <w:rFonts w:hint="eastAsia" w:ascii="宋体" w:hAnsi="宋体" w:eastAsia="宋体" w:cs="宋体"/>
                <w:color w:val="auto"/>
                <w:sz w:val="24"/>
                <w:szCs w:val="24"/>
                <w:highlight w:val="none"/>
                <w:lang w:val="en-US" w:eastAsia="zh-CN"/>
              </w:rPr>
              <w:t>的，得4分；</w:t>
            </w:r>
          </w:p>
          <w:p w14:paraId="1CECB2C4">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目标不够明确，内容和重点不够详实，方案内容基本满足要求，但需要进一步完善的，得3分；</w:t>
            </w:r>
          </w:p>
          <w:p w14:paraId="4E71D840">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未提供或不合格的不得分。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1CE811B">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0CE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continue"/>
            <w:tcBorders>
              <w:left w:val="single" w:color="auto" w:sz="4" w:space="0"/>
              <w:right w:val="single" w:color="auto" w:sz="4" w:space="0"/>
            </w:tcBorders>
            <w:noWrap w:val="0"/>
            <w:vAlign w:val="center"/>
          </w:tcPr>
          <w:p w14:paraId="714CF888">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left w:val="single" w:color="auto" w:sz="4" w:space="0"/>
              <w:bottom w:val="single" w:color="auto" w:sz="4" w:space="0"/>
              <w:right w:val="single" w:color="auto" w:sz="4" w:space="0"/>
            </w:tcBorders>
            <w:noWrap w:val="0"/>
            <w:vAlign w:val="center"/>
          </w:tcPr>
          <w:p w14:paraId="35773782">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重难点分析</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1BB6FB3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根据</w:t>
            </w:r>
            <w:r>
              <w:rPr>
                <w:rFonts w:hint="eastAsia"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针对项目特点实施重难点分析等内容进行综合评分：</w:t>
            </w:r>
          </w:p>
          <w:p w14:paraId="774C54E3">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对项目重点及难点问题理解到位、分析透彻且提出完整可行的解决应对方案的，得5分；</w:t>
            </w:r>
          </w:p>
          <w:p w14:paraId="1ED3A9A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基本理解项目重点及难点问题，分析合理且提出基本应对方案的得4分；</w:t>
            </w:r>
          </w:p>
          <w:p w14:paraId="0841A9E7">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对项目重点及难点问题理解不全，分析不全，未提出合理应对方案的得3分；</w:t>
            </w:r>
          </w:p>
          <w:p w14:paraId="32B20E2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未提供或不合格的不得分。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BF51A9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1C1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9" w:type="dxa"/>
            <w:vMerge w:val="continue"/>
            <w:tcBorders>
              <w:left w:val="single" w:color="auto" w:sz="4" w:space="0"/>
              <w:right w:val="single" w:color="auto" w:sz="4" w:space="0"/>
            </w:tcBorders>
            <w:noWrap w:val="0"/>
            <w:vAlign w:val="center"/>
          </w:tcPr>
          <w:p w14:paraId="25E4D4C2">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left w:val="single" w:color="auto" w:sz="4" w:space="0"/>
              <w:bottom w:val="single" w:color="auto" w:sz="4" w:space="0"/>
              <w:right w:val="single" w:color="auto" w:sz="4" w:space="0"/>
            </w:tcBorders>
            <w:noWrap w:val="0"/>
            <w:vAlign w:val="center"/>
          </w:tcPr>
          <w:p w14:paraId="0616A38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人员分工及责任划定</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686A759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根据</w:t>
            </w:r>
            <w:r>
              <w:rPr>
                <w:rFonts w:hint="eastAsia"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针对本项目特点的人员分工及责任划定</w:t>
            </w:r>
            <w:r>
              <w:rPr>
                <w:rFonts w:hint="eastAsia" w:cs="宋体"/>
                <w:color w:val="auto"/>
                <w:sz w:val="24"/>
                <w:szCs w:val="24"/>
                <w:highlight w:val="none"/>
                <w:lang w:val="en-US" w:eastAsia="zh-CN"/>
              </w:rPr>
              <w:t>，具有完整的项目实施组织框架图，明确各岗位职责等</w:t>
            </w:r>
            <w:r>
              <w:rPr>
                <w:rFonts w:hint="eastAsia" w:ascii="宋体" w:hAnsi="宋体" w:eastAsia="宋体" w:cs="宋体"/>
                <w:color w:val="auto"/>
                <w:sz w:val="24"/>
                <w:szCs w:val="24"/>
                <w:highlight w:val="none"/>
                <w:lang w:val="en-US" w:eastAsia="zh-CN"/>
              </w:rPr>
              <w:t>进行综合评分：</w:t>
            </w:r>
          </w:p>
          <w:p w14:paraId="167575D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人员分工合理、责任明确，针对性强的得5分；</w:t>
            </w:r>
          </w:p>
          <w:p w14:paraId="1989E69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人员分工合理、但责任不够清晰，具有针对性的得4分；</w:t>
            </w:r>
          </w:p>
          <w:p w14:paraId="79EE2BB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人员分工不合理、责任不明确，缺乏针对性的得3分；</w:t>
            </w:r>
          </w:p>
          <w:p w14:paraId="3078539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未提供或不合格的不得分。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C4FDFCF">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214F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9" w:type="dxa"/>
            <w:vMerge w:val="continue"/>
            <w:tcBorders>
              <w:left w:val="single" w:color="auto" w:sz="4" w:space="0"/>
              <w:right w:val="single" w:color="auto" w:sz="4" w:space="0"/>
            </w:tcBorders>
            <w:noWrap w:val="0"/>
            <w:vAlign w:val="center"/>
          </w:tcPr>
          <w:p w14:paraId="20766774">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left w:val="single" w:color="auto" w:sz="4" w:space="0"/>
              <w:bottom w:val="single" w:color="auto" w:sz="4" w:space="0"/>
              <w:right w:val="single" w:color="auto" w:sz="4" w:space="0"/>
            </w:tcBorders>
            <w:noWrap w:val="0"/>
            <w:vAlign w:val="center"/>
          </w:tcPr>
          <w:p w14:paraId="19B2C89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服务质量保证和控制措施</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12FC301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根据</w:t>
            </w:r>
            <w:r>
              <w:rPr>
                <w:rFonts w:hint="eastAsia"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对项目制订的服务质量保证措施和质量控制措施进行综合评分：</w:t>
            </w:r>
          </w:p>
          <w:p w14:paraId="3956D5A3">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措施科学合理、逻辑性强且具有适用性的得5分；</w:t>
            </w:r>
          </w:p>
          <w:p w14:paraId="43374546">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措施清晰明了，且具有一定适用性的得4分；</w:t>
            </w:r>
          </w:p>
          <w:p w14:paraId="7B150BE2">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措施有待进一步提升的得3分；</w:t>
            </w:r>
          </w:p>
          <w:p w14:paraId="5DEA03E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未提供或不合格的不得分。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04127C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03C7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9" w:type="dxa"/>
            <w:vMerge w:val="continue"/>
            <w:tcBorders>
              <w:left w:val="single" w:color="auto" w:sz="4" w:space="0"/>
              <w:right w:val="single" w:color="auto" w:sz="4" w:space="0"/>
            </w:tcBorders>
            <w:noWrap w:val="0"/>
            <w:vAlign w:val="center"/>
          </w:tcPr>
          <w:p w14:paraId="309D537C">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left w:val="single" w:color="auto" w:sz="4" w:space="0"/>
              <w:bottom w:val="single" w:color="auto" w:sz="4" w:space="0"/>
              <w:right w:val="single" w:color="auto" w:sz="4" w:space="0"/>
            </w:tcBorders>
            <w:noWrap w:val="0"/>
            <w:vAlign w:val="center"/>
          </w:tcPr>
          <w:p w14:paraId="1519ADE0">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企业信息化管理</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4A3DA798">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根据</w:t>
            </w:r>
            <w:r>
              <w:rPr>
                <w:rFonts w:hint="eastAsia"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建立信息化管理系统，实现办公协同管理、业务管理、成果文件归档等功能的全面性、先进性、实用性及运行情况进行综合评分：</w:t>
            </w:r>
          </w:p>
          <w:p w14:paraId="7AD1653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1、信息化系统全面，实现信息化业务管理，实用性强的得5分；</w:t>
            </w:r>
          </w:p>
          <w:p w14:paraId="41EB9F63">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2、信息化系统较为全面，基本实现信息化业务管理，有一定的实用性的得4分；</w:t>
            </w:r>
          </w:p>
          <w:p w14:paraId="7BBDD9B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3、信息化系统较为一般，未基本实现信息化业务管理，实用性不强的得3分；</w:t>
            </w:r>
          </w:p>
          <w:p w14:paraId="7D5E87E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4、未提供或不合格的不得分。</w:t>
            </w:r>
          </w:p>
          <w:p w14:paraId="4B13A736">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备注：响应文件中须提供信息化系统使用情况介绍及系统登录页面和实现上述系统功能界面截图或功能说明书。</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B9D8A47">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581A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9" w:type="dxa"/>
            <w:vMerge w:val="continue"/>
            <w:tcBorders>
              <w:left w:val="single" w:color="auto" w:sz="4" w:space="0"/>
              <w:right w:val="single" w:color="auto" w:sz="4" w:space="0"/>
            </w:tcBorders>
            <w:noWrap w:val="0"/>
            <w:vAlign w:val="center"/>
          </w:tcPr>
          <w:p w14:paraId="35F72DE4">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left w:val="single" w:color="auto" w:sz="4" w:space="0"/>
              <w:bottom w:val="single" w:color="auto" w:sz="4" w:space="0"/>
              <w:right w:val="single" w:color="auto" w:sz="4" w:space="0"/>
            </w:tcBorders>
            <w:noWrap w:val="0"/>
            <w:vAlign w:val="center"/>
          </w:tcPr>
          <w:p w14:paraId="537195F9">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进度保证措施</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260FAB5F">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评标委员会根据投标人提供的本项目进度保证措施进行评价：</w:t>
            </w:r>
          </w:p>
          <w:p w14:paraId="25D179C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1、措施科学合理且具有适用性的得5分；</w:t>
            </w:r>
          </w:p>
          <w:p w14:paraId="34C4A2B9">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2、措施较科学合理且具有一定适用性的得4分；</w:t>
            </w:r>
          </w:p>
          <w:p w14:paraId="7F72EBAC">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3、措施有待进一步提升的得3分；</w:t>
            </w:r>
          </w:p>
          <w:p w14:paraId="28A8F2A3">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4、未提供或不合格的不得分。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F09B779">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20B1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9" w:type="dxa"/>
            <w:vMerge w:val="continue"/>
            <w:tcBorders>
              <w:left w:val="single" w:color="auto" w:sz="4" w:space="0"/>
              <w:right w:val="single" w:color="auto" w:sz="4" w:space="0"/>
            </w:tcBorders>
            <w:noWrap w:val="0"/>
            <w:vAlign w:val="center"/>
          </w:tcPr>
          <w:p w14:paraId="344F064B">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left w:val="single" w:color="auto" w:sz="4" w:space="0"/>
              <w:bottom w:val="single" w:color="auto" w:sz="4" w:space="0"/>
              <w:right w:val="single" w:color="auto" w:sz="4" w:space="0"/>
            </w:tcBorders>
            <w:noWrap w:val="0"/>
            <w:vAlign w:val="center"/>
          </w:tcPr>
          <w:p w14:paraId="39DA4D32">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应急方案</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47BCF8FF">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本项目系管网物探测绘普查，针对管网、开挖、验证等过程中，需确保校园供水保障、不可遇见的突然应急处理，应结合项目的实施和安全应保障，明确应急方案</w:t>
            </w:r>
          </w:p>
          <w:p w14:paraId="13451240">
            <w:pPr>
              <w:keepNext w:val="0"/>
              <w:keepLines w:val="0"/>
              <w:pageBreakBefore w:val="0"/>
              <w:widowControl/>
              <w:kinsoku/>
              <w:wordWrap/>
              <w:overflowPunct/>
              <w:topLinePunct w:val="0"/>
              <w:autoSpaceDE/>
              <w:autoSpaceDN/>
              <w:bidi w:val="0"/>
              <w:adjustRightInd/>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1.方案内容全面、流程清晰、措施具体得当，响应到达及时，</w:t>
            </w:r>
            <w:r>
              <w:rPr>
                <w:rFonts w:hint="eastAsia" w:ascii="宋体" w:hAnsi="宋体" w:eastAsia="宋体" w:cs="宋体"/>
                <w:color w:val="auto"/>
                <w:sz w:val="24"/>
                <w:szCs w:val="24"/>
                <w:highlight w:val="none"/>
              </w:rPr>
              <w:t>应急工具</w:t>
            </w:r>
            <w:r>
              <w:rPr>
                <w:rFonts w:hint="eastAsia" w:ascii="宋体" w:hAnsi="宋体" w:eastAsia="宋体" w:cs="宋体"/>
                <w:color w:val="auto"/>
                <w:sz w:val="24"/>
                <w:szCs w:val="24"/>
                <w:highlight w:val="none"/>
                <w:lang w:val="en-US" w:eastAsia="zh-CN"/>
              </w:rPr>
              <w:t>配备齐全；能有效保障应急救援风险的得5分；</w:t>
            </w:r>
          </w:p>
          <w:p w14:paraId="77B533E5">
            <w:pPr>
              <w:keepNext w:val="0"/>
              <w:keepLines w:val="0"/>
              <w:pageBreakBefore w:val="0"/>
              <w:widowControl/>
              <w:kinsoku/>
              <w:wordWrap/>
              <w:overflowPunct/>
              <w:topLinePunct w:val="0"/>
              <w:autoSpaceDE/>
              <w:autoSpaceDN/>
              <w:bidi w:val="0"/>
              <w:adjustRightInd/>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2.方案内容部分全面、流程较为清晰、措施满足项目要求，响应到达及时，</w:t>
            </w:r>
            <w:r>
              <w:rPr>
                <w:rFonts w:hint="eastAsia" w:ascii="宋体" w:hAnsi="宋体" w:eastAsia="宋体" w:cs="宋体"/>
                <w:color w:val="auto"/>
                <w:sz w:val="24"/>
                <w:szCs w:val="24"/>
                <w:highlight w:val="none"/>
              </w:rPr>
              <w:t>应急工具</w:t>
            </w:r>
            <w:r>
              <w:rPr>
                <w:rFonts w:hint="eastAsia" w:ascii="宋体" w:hAnsi="宋体" w:eastAsia="宋体" w:cs="宋体"/>
                <w:color w:val="auto"/>
                <w:sz w:val="24"/>
                <w:szCs w:val="24"/>
                <w:highlight w:val="none"/>
                <w:lang w:val="en-US" w:eastAsia="zh-CN"/>
              </w:rPr>
              <w:t>配备齐全；能保障应急救援风险的</w:t>
            </w:r>
            <w:r>
              <w:rPr>
                <w:rStyle w:val="112"/>
                <w:rFonts w:hint="eastAsia" w:ascii="宋体" w:hAnsi="宋体" w:eastAsia="宋体" w:cs="宋体"/>
                <w:color w:val="auto"/>
                <w:sz w:val="24"/>
                <w:szCs w:val="24"/>
                <w:highlight w:val="none"/>
              </w:rPr>
              <w:t>得</w:t>
            </w:r>
            <w:r>
              <w:rPr>
                <w:rStyle w:val="112"/>
                <w:rFonts w:hint="eastAsia" w:ascii="宋体" w:hAnsi="宋体" w:eastAsia="宋体" w:cs="宋体"/>
                <w:color w:val="auto"/>
                <w:sz w:val="24"/>
                <w:szCs w:val="24"/>
                <w:highlight w:val="none"/>
                <w:lang w:val="en-US" w:eastAsia="zh-CN"/>
              </w:rPr>
              <w:t>4</w:t>
            </w:r>
            <w:r>
              <w:rPr>
                <w:rStyle w:val="112"/>
                <w:rFonts w:hint="eastAsia" w:ascii="宋体" w:hAnsi="宋体" w:eastAsia="宋体" w:cs="宋体"/>
                <w:color w:val="auto"/>
                <w:sz w:val="24"/>
                <w:szCs w:val="24"/>
                <w:highlight w:val="none"/>
              </w:rPr>
              <w:t>分；</w:t>
            </w:r>
          </w:p>
          <w:p w14:paraId="48B23079">
            <w:pPr>
              <w:keepNext w:val="0"/>
              <w:keepLines w:val="0"/>
              <w:pageBreakBefore w:val="0"/>
              <w:widowControl/>
              <w:kinsoku/>
              <w:wordWrap/>
              <w:overflowPunct/>
              <w:topLinePunct w:val="0"/>
              <w:autoSpaceDE/>
              <w:autoSpaceDN/>
              <w:bidi w:val="0"/>
              <w:adjustRightInd/>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3.方案内容不全面、流程不清晰、响应到达不及时，</w:t>
            </w:r>
            <w:r>
              <w:rPr>
                <w:rFonts w:hint="eastAsia" w:ascii="宋体" w:hAnsi="宋体" w:eastAsia="宋体" w:cs="宋体"/>
                <w:color w:val="auto"/>
                <w:sz w:val="24"/>
                <w:szCs w:val="24"/>
                <w:highlight w:val="none"/>
              </w:rPr>
              <w:t>应急工具</w:t>
            </w:r>
            <w:r>
              <w:rPr>
                <w:rFonts w:hint="eastAsia" w:ascii="宋体" w:hAnsi="宋体" w:eastAsia="宋体" w:cs="宋体"/>
                <w:color w:val="auto"/>
                <w:sz w:val="24"/>
                <w:szCs w:val="24"/>
                <w:highlight w:val="none"/>
                <w:lang w:val="en-US" w:eastAsia="zh-CN"/>
              </w:rPr>
              <w:t>配备不齐全；</w:t>
            </w:r>
            <w:r>
              <w:rPr>
                <w:rStyle w:val="112"/>
                <w:rFonts w:hint="eastAsia" w:ascii="宋体" w:hAnsi="宋体" w:eastAsia="宋体" w:cs="宋体"/>
                <w:color w:val="auto"/>
                <w:sz w:val="24"/>
                <w:szCs w:val="24"/>
                <w:highlight w:val="none"/>
              </w:rPr>
              <w:t>有待进一步完善</w:t>
            </w:r>
            <w:r>
              <w:rPr>
                <w:rFonts w:hint="eastAsia" w:ascii="宋体" w:hAnsi="宋体" w:eastAsia="宋体" w:cs="宋体"/>
                <w:color w:val="auto"/>
                <w:sz w:val="24"/>
                <w:szCs w:val="24"/>
                <w:highlight w:val="none"/>
                <w:lang w:val="en-US" w:eastAsia="zh-CN"/>
              </w:rPr>
              <w:t>的得</w:t>
            </w:r>
            <w:r>
              <w:rPr>
                <w:rStyle w:val="112"/>
                <w:rFonts w:hint="eastAsia" w:ascii="宋体" w:hAnsi="宋体" w:eastAsia="宋体" w:cs="宋体"/>
                <w:color w:val="auto"/>
                <w:sz w:val="24"/>
                <w:szCs w:val="24"/>
                <w:highlight w:val="none"/>
                <w:lang w:val="en-US" w:eastAsia="zh-CN"/>
              </w:rPr>
              <w:t>3</w:t>
            </w:r>
            <w:r>
              <w:rPr>
                <w:rStyle w:val="112"/>
                <w:rFonts w:hint="eastAsia" w:ascii="宋体" w:hAnsi="宋体" w:eastAsia="宋体" w:cs="宋体"/>
                <w:color w:val="auto"/>
                <w:sz w:val="24"/>
                <w:szCs w:val="24"/>
                <w:highlight w:val="none"/>
              </w:rPr>
              <w:t>分；</w:t>
            </w:r>
          </w:p>
          <w:p w14:paraId="271887D8">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4.不合格或未提供的不得分。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3C0F2C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4178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continue"/>
            <w:tcBorders>
              <w:left w:val="single" w:color="auto" w:sz="4" w:space="0"/>
              <w:right w:val="single" w:color="auto" w:sz="4" w:space="0"/>
            </w:tcBorders>
            <w:noWrap w:val="0"/>
            <w:vAlign w:val="center"/>
          </w:tcPr>
          <w:p w14:paraId="614CADBE">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p>
        </w:tc>
        <w:tc>
          <w:tcPr>
            <w:tcW w:w="1151" w:type="dxa"/>
            <w:tcBorders>
              <w:left w:val="single" w:color="auto" w:sz="4" w:space="0"/>
              <w:bottom w:val="single" w:color="auto" w:sz="4" w:space="0"/>
              <w:right w:val="single" w:color="auto" w:sz="4" w:space="0"/>
            </w:tcBorders>
            <w:noWrap w:val="0"/>
            <w:vAlign w:val="center"/>
          </w:tcPr>
          <w:p w14:paraId="5C664B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质保期内服务方案</w:t>
            </w:r>
          </w:p>
        </w:tc>
        <w:tc>
          <w:tcPr>
            <w:tcW w:w="7344" w:type="dxa"/>
            <w:tcBorders>
              <w:top w:val="single" w:color="auto" w:sz="4" w:space="0"/>
              <w:left w:val="single" w:color="auto" w:sz="4" w:space="0"/>
              <w:bottom w:val="single" w:color="auto" w:sz="4" w:space="0"/>
              <w:right w:val="single" w:color="auto" w:sz="4" w:space="0"/>
            </w:tcBorders>
            <w:noWrap w:val="0"/>
            <w:vAlign w:val="center"/>
          </w:tcPr>
          <w:p w14:paraId="65B899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根据采购文件要求和投标提供的质保期内服务方案进行综合评分：</w:t>
            </w:r>
          </w:p>
          <w:p w14:paraId="1DBB21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1.方案符合实际，方案可行性、实用性、针对性强的，得5分；</w:t>
            </w:r>
          </w:p>
          <w:p w14:paraId="658A57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2.方案符合实际，方案具有可行性、实用性、针对性，得4分；</w:t>
            </w:r>
          </w:p>
          <w:p w14:paraId="1F8C0D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3.方案不符合实际，方案可行性、实用性、针对性有待改善，得3分；</w:t>
            </w:r>
          </w:p>
          <w:p w14:paraId="24E984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4.方案不符合项目实际或未提供的不得分。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61E5E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position w:val="0"/>
                <w:sz w:val="24"/>
                <w:szCs w:val="24"/>
                <w:highlight w:val="none"/>
              </w:rPr>
              <w:t>0-5分</w:t>
            </w:r>
          </w:p>
        </w:tc>
      </w:tr>
      <w:tr w14:paraId="236C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019" w:type="dxa"/>
            <w:tcBorders>
              <w:left w:val="single" w:color="auto" w:sz="4" w:space="0"/>
              <w:right w:val="single" w:color="auto" w:sz="4" w:space="0"/>
            </w:tcBorders>
            <w:noWrap w:val="0"/>
            <w:vAlign w:val="center"/>
          </w:tcPr>
          <w:p w14:paraId="58A2BD3E">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654E5392">
            <w:pPr>
              <w:keepNext w:val="0"/>
              <w:keepLines w:val="0"/>
              <w:pageBreakBefore w:val="0"/>
              <w:kinsoku/>
              <w:wordWrap/>
              <w:overflowPunct/>
              <w:topLinePunct w:val="0"/>
              <w:autoSpaceDE/>
              <w:autoSpaceDN/>
              <w:bidi w:val="0"/>
              <w:adjustRightInd/>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9371" w:type="dxa"/>
            <w:gridSpan w:val="3"/>
            <w:tcBorders>
              <w:top w:val="single" w:color="auto" w:sz="4" w:space="0"/>
              <w:left w:val="single" w:color="auto" w:sz="4" w:space="0"/>
              <w:bottom w:val="single" w:color="auto" w:sz="4" w:space="0"/>
              <w:right w:val="single" w:color="auto" w:sz="4" w:space="0"/>
            </w:tcBorders>
            <w:noWrap w:val="0"/>
            <w:vAlign w:val="center"/>
          </w:tcPr>
          <w:p w14:paraId="0F826E7F">
            <w:pPr>
              <w:keepNext w:val="0"/>
              <w:keepLines w:val="0"/>
              <w:pageBreakBefore w:val="0"/>
              <w:widowControl/>
              <w:kinsoku/>
              <w:wordWrap/>
              <w:overflowPunct/>
              <w:topLinePunct w:val="0"/>
              <w:autoSpaceDE/>
              <w:autoSpaceDN/>
              <w:bidi w:val="0"/>
              <w:adjustRightInd/>
              <w:spacing w:line="44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供应商的响应报价不得高于采购人发布的最高限价，否则按无效标处理。</w:t>
            </w:r>
          </w:p>
          <w:p w14:paraId="1050B00C">
            <w:pPr>
              <w:keepNext w:val="0"/>
              <w:keepLines w:val="0"/>
              <w:pageBreakBefore w:val="0"/>
              <w:widowControl/>
              <w:kinsoku/>
              <w:wordWrap/>
              <w:overflowPunct/>
              <w:topLinePunct w:val="0"/>
              <w:autoSpaceDE/>
              <w:autoSpaceDN/>
              <w:bidi w:val="0"/>
              <w:adjustRightInd/>
              <w:spacing w:line="44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评标基准价=所有有效供应商的最低报价；其得分为满分；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其它报价得分=评标基准价/响应报价（最后报价）×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分，小数点后保留二位小数，第三位四舍五入；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本项分值由评标委员会负责组织计算。</w:t>
            </w:r>
          </w:p>
        </w:tc>
      </w:tr>
    </w:tbl>
    <w:p w14:paraId="1B2CE1FF">
      <w:pPr>
        <w:adjustRightInd w:val="0"/>
        <w:snapToGrid w:val="0"/>
        <w:spacing w:line="440" w:lineRule="exact"/>
        <w:ind w:firstLine="420" w:firstLineChars="0"/>
        <w:outlineLvl w:val="9"/>
        <w:rPr>
          <w:rFonts w:hint="eastAsia" w:ascii="宋体" w:hAnsi="宋体" w:cs="宋体"/>
          <w:b/>
          <w:bCs/>
          <w:color w:val="auto"/>
          <w:sz w:val="24"/>
          <w:szCs w:val="24"/>
          <w:highlight w:val="none"/>
        </w:rPr>
      </w:pPr>
      <w:bookmarkStart w:id="252" w:name="_Toc12306"/>
      <w:bookmarkStart w:id="253" w:name="_Toc19675"/>
      <w:bookmarkStart w:id="254" w:name="_Toc8718"/>
      <w:r>
        <w:rPr>
          <w:rFonts w:hint="eastAsia" w:ascii="宋体" w:hAnsi="宋体" w:cs="宋体"/>
          <w:b/>
          <w:bCs/>
          <w:color w:val="auto"/>
          <w:sz w:val="24"/>
          <w:szCs w:val="24"/>
          <w:highlight w:val="none"/>
        </w:rPr>
        <w:t>特别说明：</w:t>
      </w:r>
    </w:p>
    <w:p w14:paraId="501D0A00">
      <w:pPr>
        <w:adjustRightInd w:val="0"/>
        <w:snapToGrid w:val="0"/>
        <w:spacing w:line="440" w:lineRule="exact"/>
        <w:ind w:firstLine="420" w:firstLineChars="0"/>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1.供应商成交后，可由采购人对业绩、设备、材料的质量、性能等加分因素的真实性进行复核，如发现涉嫌造假，采购人将依法追究其法律责任。</w:t>
      </w:r>
    </w:p>
    <w:p w14:paraId="0D6BC157">
      <w:pPr>
        <w:adjustRightInd w:val="0"/>
        <w:snapToGrid w:val="0"/>
        <w:spacing w:line="440" w:lineRule="exact"/>
        <w:ind w:firstLine="420" w:firstLineChars="0"/>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2.以上分值均保留二位小数，小数点后第三位四舍五入。</w:t>
      </w:r>
    </w:p>
    <w:p w14:paraId="1AA14A29">
      <w:pPr>
        <w:adjustRightInd w:val="0"/>
        <w:snapToGrid w:val="0"/>
        <w:spacing w:line="440" w:lineRule="exact"/>
        <w:ind w:firstLine="420" w:firstLineChars="0"/>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由磋商小组采用综合评分法对提交最后报价的供应商的响应文件和最后报价进行综合评分，如磋商小组认为无需就采购需求及相关内容进行磋商的，则供应商在响应文件提交截止时间前提交的响应文件报价即为最终响应文件报价。供应商应当在磋商小组规定的时间内提交最后报价，并由法定代表人或被授权代表签字，最后报价为不可更改价格，最后报价是供应商响应文件的有效组成部分，作为磋商小组推荐成交候选供应商的依据。</w:t>
      </w:r>
    </w:p>
    <w:p w14:paraId="21D99E8F">
      <w:pPr>
        <w:adjustRightInd w:val="0"/>
        <w:snapToGrid w:val="0"/>
        <w:spacing w:line="440" w:lineRule="exact"/>
        <w:ind w:firstLine="420" w:firstLineChars="0"/>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（2）汇总</w:t>
      </w:r>
      <w:bookmarkEnd w:id="252"/>
      <w:bookmarkEnd w:id="253"/>
      <w:bookmarkEnd w:id="254"/>
    </w:p>
    <w:p w14:paraId="011782EE">
      <w:pPr>
        <w:adjustRightInd w:val="0"/>
        <w:snapToGrid w:val="0"/>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磋商小组将合格供应商的资信分、技术分和价格分汇总以后得到供应商的最终评审总得分，按照最终评审得分由高到低排出成交候选顺序。</w:t>
      </w:r>
    </w:p>
    <w:p w14:paraId="2A68E434">
      <w:pPr>
        <w:adjustRightInd w:val="0"/>
        <w:snapToGrid w:val="0"/>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最终评审得分出现两家或两家以上相同者，按最终报价由低到高排序确定成交候选供应商；评审总得分且最终报价相同的，则采取磋商小组抽签方式确定成交候选供应商。</w:t>
      </w:r>
    </w:p>
    <w:p w14:paraId="12D9D813">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25.11磋商小组所有成员与供应商分别进行磋商，并给予所有参加磋商的供应商平等的磋商机会。磋商并不限定只进行二轮报价，如果磋商小组认为有必要，可以要求供应商进行多轮报价。在磋商内容不做实质性变更及重大调整的前提下，供应商下轮报价不得高于上一轮报价。</w:t>
      </w:r>
    </w:p>
    <w:p w14:paraId="78CAF9B1">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25.12为保证磋商活动顺利进行，供应商可派相关技术人员进行现场答疑。 </w:t>
      </w:r>
    </w:p>
    <w:p w14:paraId="0DF07087">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25.13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4CCB0EF5">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25.14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1A046287">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25.15磋商结束后，磋商小组应当要求所有继续参加磋商的供应商在规定时间内提交最终报价，最终报价是供应商响应文件的有效组成部分，最终报价也是签订合同的依据。</w:t>
      </w:r>
    </w:p>
    <w:p w14:paraId="5C02733C">
      <w:pPr>
        <w:spacing w:line="440" w:lineRule="exact"/>
        <w:ind w:firstLine="420" w:firstLineChars="0"/>
        <w:outlineLvl w:val="9"/>
        <w:rPr>
          <w:rFonts w:hint="eastAsia" w:ascii="宋体" w:hAnsi="宋体" w:cs="宋体"/>
          <w:b/>
          <w:color w:val="auto"/>
          <w:sz w:val="24"/>
          <w:szCs w:val="24"/>
          <w:highlight w:val="none"/>
        </w:rPr>
      </w:pPr>
      <w:bookmarkStart w:id="255" w:name="_Toc16388"/>
      <w:bookmarkStart w:id="256" w:name="_Toc28925"/>
      <w:bookmarkStart w:id="257" w:name="_Toc32327"/>
      <w:r>
        <w:rPr>
          <w:rFonts w:hint="eastAsia" w:ascii="宋体" w:hAnsi="宋体" w:cs="宋体"/>
          <w:b/>
          <w:color w:val="auto"/>
          <w:sz w:val="24"/>
          <w:szCs w:val="24"/>
          <w:highlight w:val="none"/>
        </w:rPr>
        <w:t>26.终止磋商</w:t>
      </w:r>
      <w:bookmarkEnd w:id="255"/>
      <w:bookmarkEnd w:id="256"/>
      <w:bookmarkEnd w:id="257"/>
    </w:p>
    <w:p w14:paraId="2FE2654B">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26.1出现下列情况之一时，采购代理机构有权宣布终止磋商采购，并将理由通知所有供应商：</w:t>
      </w:r>
    </w:p>
    <w:p w14:paraId="39B2991C">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26.1.1有效供应商数量不足，导致本次磋商缺乏竞争的；</w:t>
      </w:r>
    </w:p>
    <w:p w14:paraId="685DC713">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26.1.2出现影响采购公正的违法、违规行为的；</w:t>
      </w:r>
    </w:p>
    <w:p w14:paraId="2E1FC30F">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26.1.3因重大变故，采购任务取消的；</w:t>
      </w:r>
    </w:p>
    <w:p w14:paraId="1C5199B0">
      <w:pPr>
        <w:spacing w:line="440" w:lineRule="exact"/>
        <w:ind w:firstLine="42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26.1.4法律法规规定的其他情形。</w:t>
      </w:r>
    </w:p>
    <w:p w14:paraId="3F76E4B0">
      <w:pPr>
        <w:jc w:val="center"/>
        <w:outlineLvl w:val="9"/>
        <w:rPr>
          <w:rFonts w:hint="eastAsia" w:ascii="宋体" w:hAnsi="宋体" w:eastAsia="宋体" w:cs="宋体"/>
          <w:bCs/>
          <w:color w:val="auto"/>
          <w:sz w:val="28"/>
          <w:szCs w:val="28"/>
          <w:highlight w:val="none"/>
        </w:rPr>
      </w:pPr>
      <w:bookmarkStart w:id="258" w:name="_Toc9968"/>
      <w:bookmarkStart w:id="259" w:name="_Toc461097057"/>
      <w:bookmarkStart w:id="260" w:name="_Toc427016286"/>
      <w:bookmarkStart w:id="261" w:name="_Toc26672"/>
      <w:bookmarkStart w:id="262" w:name="_Toc1948"/>
      <w:bookmarkStart w:id="263" w:name="_Toc519783889"/>
      <w:r>
        <w:rPr>
          <w:rFonts w:hint="eastAsia" w:ascii="宋体" w:hAnsi="宋体" w:eastAsia="宋体" w:cs="宋体"/>
          <w:bCs/>
          <w:color w:val="auto"/>
          <w:sz w:val="28"/>
          <w:szCs w:val="28"/>
          <w:highlight w:val="none"/>
        </w:rPr>
        <w:t>（六）确定成交供应商与签订合同</w:t>
      </w:r>
      <w:bookmarkEnd w:id="258"/>
      <w:bookmarkEnd w:id="259"/>
      <w:bookmarkEnd w:id="260"/>
      <w:bookmarkEnd w:id="261"/>
      <w:bookmarkEnd w:id="262"/>
      <w:bookmarkEnd w:id="263"/>
    </w:p>
    <w:p w14:paraId="16BAF732">
      <w:pPr>
        <w:spacing w:line="440" w:lineRule="exact"/>
        <w:ind w:firstLine="472" w:firstLineChars="196"/>
        <w:outlineLvl w:val="9"/>
        <w:rPr>
          <w:rFonts w:hint="eastAsia" w:ascii="宋体" w:hAnsi="宋体" w:cs="宋体"/>
          <w:b/>
          <w:color w:val="auto"/>
          <w:sz w:val="24"/>
          <w:szCs w:val="24"/>
          <w:highlight w:val="none"/>
        </w:rPr>
      </w:pPr>
      <w:bookmarkStart w:id="264" w:name="_Toc16895"/>
      <w:bookmarkStart w:id="265" w:name="_Toc5032"/>
      <w:bookmarkStart w:id="266" w:name="_Toc3967"/>
      <w:r>
        <w:rPr>
          <w:rFonts w:hint="eastAsia" w:ascii="宋体" w:hAnsi="宋体" w:cs="宋体"/>
          <w:b/>
          <w:color w:val="auto"/>
          <w:sz w:val="24"/>
          <w:szCs w:val="24"/>
          <w:highlight w:val="none"/>
        </w:rPr>
        <w:t>27.确定成交供应商</w:t>
      </w:r>
      <w:bookmarkEnd w:id="264"/>
      <w:bookmarkEnd w:id="265"/>
      <w:bookmarkEnd w:id="266"/>
    </w:p>
    <w:p w14:paraId="3577283E">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27.1磋商小组根据详细评审的结果确定成交候选供应商，并标明排列顺序。排名第一的成交候选供应商经采购人确定为成交供应商后，由采购代理机构在指定媒体上予以公告。</w:t>
      </w:r>
    </w:p>
    <w:p w14:paraId="2CDAC7AC">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27.2排名第一的成交候选供应商放弃成交、不按照磋商文件要求提交履约保证金、无故不能履行合同，或者被查实存在影响成交结果的违法行为等情形，不符合成交条件的，采购人可以按照磋商小组提出的成交候选供应商名单排序依次确定其他成交候选供应商为成交供应商，也可以重新开展项目磋商。</w:t>
      </w:r>
    </w:p>
    <w:p w14:paraId="6AB2C5BF">
      <w:pPr>
        <w:spacing w:line="440" w:lineRule="exact"/>
        <w:ind w:firstLine="470" w:firstLineChars="196"/>
        <w:outlineLvl w:val="9"/>
        <w:rPr>
          <w:rFonts w:hint="eastAsia" w:ascii="宋体" w:hAnsi="宋体" w:cs="宋体"/>
          <w:color w:val="auto"/>
          <w:sz w:val="24"/>
          <w:szCs w:val="24"/>
          <w:highlight w:val="none"/>
        </w:rPr>
      </w:pPr>
      <w:bookmarkStart w:id="267" w:name="_Toc26327"/>
      <w:bookmarkStart w:id="268" w:name="_Toc3659"/>
      <w:bookmarkStart w:id="269" w:name="_Toc19717"/>
      <w:r>
        <w:rPr>
          <w:rFonts w:hint="eastAsia" w:ascii="宋体" w:hAnsi="宋体" w:cs="宋体"/>
          <w:color w:val="auto"/>
          <w:sz w:val="24"/>
          <w:szCs w:val="24"/>
          <w:highlight w:val="none"/>
        </w:rPr>
        <w:t>27.3最低报价并不是被授予合同的保证。</w:t>
      </w:r>
      <w:bookmarkEnd w:id="267"/>
      <w:bookmarkEnd w:id="268"/>
      <w:bookmarkEnd w:id="269"/>
    </w:p>
    <w:p w14:paraId="7061A17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27.4凡发现成交候选供应商有下列行为之一的，其成交无效，并移交采购监督管理部门依法处理：</w:t>
      </w:r>
    </w:p>
    <w:p w14:paraId="52613C40">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27.4.1以他人名义参加磋商或提供虚假材料弄虚作假谋取成交资格的；</w:t>
      </w:r>
    </w:p>
    <w:p w14:paraId="3780A3F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27.4.1.1以他人名义参加磋商，是指使用通过受让或者租借等方式获取的资格、资质证书参加磋商。</w:t>
      </w:r>
    </w:p>
    <w:p w14:paraId="79E3574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27.4.1.2供应商下列情形之一的，属于提供弄虚作假的行为：</w:t>
      </w:r>
    </w:p>
    <w:p w14:paraId="33A3713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27.4.1.2.1使用伪造、变造的许可证件；</w:t>
      </w:r>
    </w:p>
    <w:p w14:paraId="742C4C6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27.4.1.2.2提供虚假的财务状况或者业绩；</w:t>
      </w:r>
    </w:p>
    <w:p w14:paraId="13750A2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27.4.1.2.3提供虚假的项目负责人或者主要技术人员简历、劳动关系证明；</w:t>
      </w:r>
    </w:p>
    <w:p w14:paraId="0F88B59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27.4.1.2.4提供虚假的信用状况；</w:t>
      </w:r>
    </w:p>
    <w:p w14:paraId="3B0C655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27.4.1.2.5其他弄虚作假的行为。</w:t>
      </w:r>
    </w:p>
    <w:p w14:paraId="5DBFA86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27.4.2与采购人、其他供应商或者某采购代理机构工作人员恶意串通的；</w:t>
      </w:r>
    </w:p>
    <w:p w14:paraId="6F125DE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27.4.3向采购人、评审专家、某采购代理机构工作人员行贿或者提供其他不正当利益的；</w:t>
      </w:r>
    </w:p>
    <w:p w14:paraId="7B758EF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27.4.4有法律法规规定的其他损害采购人利益和社会公共利益情形的；</w:t>
      </w:r>
    </w:p>
    <w:p w14:paraId="6D51A953">
      <w:pPr>
        <w:spacing w:line="44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27.4.5其他违反采购法律法规和规章强制性规定的行为。</w:t>
      </w:r>
    </w:p>
    <w:p w14:paraId="5163583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27.5确定</w:t>
      </w:r>
      <w:r>
        <w:rPr>
          <w:rFonts w:hint="eastAsia" w:ascii="宋体" w:hAnsi="宋体" w:cs="宋体"/>
          <w:bCs/>
          <w:color w:val="auto"/>
          <w:sz w:val="24"/>
          <w:szCs w:val="24"/>
          <w:highlight w:val="none"/>
        </w:rPr>
        <w:t>成交供应商前</w:t>
      </w:r>
      <w:r>
        <w:rPr>
          <w:rFonts w:hint="eastAsia" w:ascii="宋体" w:hAnsi="宋体" w:cs="宋体"/>
          <w:color w:val="auto"/>
          <w:sz w:val="24"/>
          <w:szCs w:val="24"/>
          <w:highlight w:val="none"/>
        </w:rPr>
        <w:t>，采购代理机构可能会同采购人对成交候选供应商进行约谈。约谈包括诚信承诺、履约承诺以及原件核查等内容，约谈确认成交候选供应商无法实质性响应磋商文件要求的，成交无效。</w:t>
      </w:r>
    </w:p>
    <w:p w14:paraId="05406757">
      <w:pPr>
        <w:spacing w:line="440" w:lineRule="exact"/>
        <w:ind w:firstLine="472" w:firstLineChars="196"/>
        <w:outlineLvl w:val="9"/>
        <w:rPr>
          <w:rFonts w:hint="eastAsia" w:ascii="宋体" w:hAnsi="宋体" w:cs="宋体"/>
          <w:b/>
          <w:color w:val="auto"/>
          <w:sz w:val="24"/>
          <w:szCs w:val="24"/>
          <w:highlight w:val="none"/>
        </w:rPr>
      </w:pPr>
      <w:bookmarkStart w:id="270" w:name="_Toc30961"/>
      <w:bookmarkStart w:id="271" w:name="_Toc5226"/>
      <w:bookmarkStart w:id="272" w:name="_Toc338"/>
      <w:r>
        <w:rPr>
          <w:rFonts w:hint="eastAsia" w:ascii="宋体" w:hAnsi="宋体" w:cs="宋体"/>
          <w:b/>
          <w:color w:val="auto"/>
          <w:sz w:val="24"/>
          <w:szCs w:val="24"/>
          <w:highlight w:val="none"/>
        </w:rPr>
        <w:t>28.成交通知书</w:t>
      </w:r>
      <w:bookmarkEnd w:id="270"/>
      <w:bookmarkEnd w:id="271"/>
      <w:bookmarkEnd w:id="272"/>
    </w:p>
    <w:p w14:paraId="1EB3ABF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成交供应商确定后，采购代理机构将在刊登本次磋商公告的媒体上发布成交公告，同时以书面形式向成交供应商发出成交通知书。成交供应商应委派专人凭介绍信或公司授权书（须携带身份证）到采购代理机构领取成交通知书。成交通知书对采购人和成交供应商具有同等法律效力。成交通知书发出以后，采购人改变成交结果或者成交供应商放弃成交资格，应当承担相应的法律责任。</w:t>
      </w:r>
    </w:p>
    <w:p w14:paraId="188102FD">
      <w:pPr>
        <w:spacing w:line="440" w:lineRule="exact"/>
        <w:ind w:firstLine="480" w:firstLineChars="200"/>
        <w:outlineLvl w:val="9"/>
        <w:rPr>
          <w:rFonts w:hint="eastAsia" w:ascii="宋体" w:hAnsi="宋体" w:cs="宋体"/>
          <w:color w:val="auto"/>
          <w:sz w:val="24"/>
          <w:szCs w:val="24"/>
          <w:highlight w:val="none"/>
        </w:rPr>
      </w:pPr>
      <w:bookmarkStart w:id="273" w:name="_Toc6270"/>
      <w:bookmarkStart w:id="274" w:name="_Toc14943"/>
      <w:bookmarkStart w:id="275" w:name="_Toc14008"/>
      <w:r>
        <w:rPr>
          <w:rFonts w:hint="eastAsia" w:ascii="宋体" w:hAnsi="宋体" w:cs="宋体"/>
          <w:color w:val="auto"/>
          <w:sz w:val="24"/>
          <w:szCs w:val="24"/>
          <w:highlight w:val="none"/>
        </w:rPr>
        <w:t>28.2采购代理机构对未成交的供应商不做未成交原因的解释。</w:t>
      </w:r>
      <w:bookmarkEnd w:id="273"/>
      <w:bookmarkEnd w:id="274"/>
      <w:bookmarkEnd w:id="275"/>
    </w:p>
    <w:p w14:paraId="48A2FFB2">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29.成交金额：经评审的最终报价</w:t>
      </w:r>
    </w:p>
    <w:p w14:paraId="54C7CD96">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30.履约保证金 </w:t>
      </w:r>
    </w:p>
    <w:p w14:paraId="113C252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30.1签订合同前，成交供应商应提交履约保证金。履约保证金金额、收受方式及收受人见磋商须知前附表规定。</w:t>
      </w:r>
    </w:p>
    <w:p w14:paraId="3443BA76">
      <w:pPr>
        <w:spacing w:line="440" w:lineRule="exact"/>
        <w:ind w:firstLine="480" w:firstLineChars="200"/>
        <w:outlineLvl w:val="9"/>
        <w:rPr>
          <w:rFonts w:hint="eastAsia" w:ascii="宋体" w:hAnsi="宋体" w:cs="宋体"/>
          <w:color w:val="auto"/>
          <w:sz w:val="24"/>
          <w:szCs w:val="24"/>
          <w:highlight w:val="none"/>
        </w:rPr>
      </w:pPr>
      <w:bookmarkStart w:id="276" w:name="_Toc4284"/>
      <w:bookmarkStart w:id="277" w:name="_Toc32468"/>
      <w:bookmarkStart w:id="278" w:name="_Toc1712"/>
      <w:r>
        <w:rPr>
          <w:rFonts w:hint="eastAsia" w:ascii="宋体" w:hAnsi="宋体" w:cs="宋体"/>
          <w:color w:val="auto"/>
          <w:sz w:val="24"/>
          <w:szCs w:val="24"/>
          <w:highlight w:val="none"/>
        </w:rPr>
        <w:t>30.2磋商须知前附表约定免收履约保证金的，从其规定。</w:t>
      </w:r>
      <w:bookmarkEnd w:id="276"/>
      <w:bookmarkEnd w:id="277"/>
      <w:bookmarkEnd w:id="278"/>
    </w:p>
    <w:p w14:paraId="7FADF7EA">
      <w:pPr>
        <w:spacing w:line="440" w:lineRule="exact"/>
        <w:ind w:firstLine="472" w:firstLineChars="196"/>
        <w:outlineLvl w:val="9"/>
        <w:rPr>
          <w:rFonts w:hint="eastAsia" w:ascii="宋体" w:hAnsi="宋体" w:cs="宋体"/>
          <w:b/>
          <w:color w:val="auto"/>
          <w:sz w:val="24"/>
          <w:szCs w:val="24"/>
          <w:highlight w:val="none"/>
        </w:rPr>
      </w:pPr>
      <w:bookmarkStart w:id="279" w:name="_Toc25364"/>
      <w:bookmarkStart w:id="280" w:name="_Toc1897"/>
      <w:r>
        <w:rPr>
          <w:rFonts w:hint="eastAsia" w:ascii="宋体" w:hAnsi="宋体" w:cs="宋体"/>
          <w:b/>
          <w:color w:val="auto"/>
          <w:sz w:val="24"/>
          <w:szCs w:val="24"/>
          <w:highlight w:val="none"/>
        </w:rPr>
        <w:t>31.签订合同</w:t>
      </w:r>
      <w:bookmarkEnd w:id="279"/>
      <w:bookmarkEnd w:id="280"/>
    </w:p>
    <w:p w14:paraId="32DA93AA">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31.1成交供应商应按采购代理机构规定的时间、地点与采购人签订采购合同。合同见证前成交供应商应向采购代理机构出示履约保证金缴纳证明。</w:t>
      </w:r>
    </w:p>
    <w:p w14:paraId="70C24677">
      <w:pPr>
        <w:spacing w:line="44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31.2采购双方应按照磋商文件、响应文件及磋商过程中的有关澄清、说明或补正文件的内容签订合同，不得擅自变更。合同的标的、价款、质量、履行期限等主要条款应当与磋商文件和成交供应商的响应文件的内容一致，采购人和成交供应商不得再行订立背离合同实质性内容的其他协议。对任何因双方擅自变更合同引起的问题采购代理机构概不负责，合同风险由双方自行承担。</w:t>
      </w:r>
    </w:p>
    <w:p w14:paraId="4A172BE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31.3采购人保留以书面形式要求合同的卖方对其所投货物或服务的装运方式、服务地点及服务细则等做适当调整的权利。</w:t>
      </w:r>
    </w:p>
    <w:p w14:paraId="102CCDB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31.4</w:t>
      </w:r>
      <w:r>
        <w:rPr>
          <w:rFonts w:hint="eastAsia" w:ascii="宋体" w:hAnsi="宋体" w:cs="宋体"/>
          <w:bCs/>
          <w:color w:val="auto"/>
          <w:sz w:val="24"/>
          <w:szCs w:val="24"/>
          <w:highlight w:val="none"/>
        </w:rPr>
        <w:t>无论基于何种原因，各项本应作拒绝处理的情形即便未被及时发现而使该供应商进入评审或其他后续程序，包括已经签约的情形，一旦在任何时间被发现，采购代理机构均有权决定取消该供应商此前评议的结果或对该最终报价予以拒绝，并有权采取相应的补救或纠正措施。一旦该供应商被拒绝或被取消此前评议结果，其现有的位置将被其他供应商依序替代或重新组织采购，相关的一切损失均由该供应商自行承担。</w:t>
      </w:r>
    </w:p>
    <w:p w14:paraId="0A35E43E">
      <w:pPr>
        <w:spacing w:line="440" w:lineRule="exact"/>
        <w:ind w:firstLine="472" w:firstLineChars="196"/>
        <w:outlineLvl w:val="9"/>
        <w:rPr>
          <w:rFonts w:hint="eastAsia" w:ascii="宋体" w:hAnsi="宋体" w:cs="宋体"/>
          <w:color w:val="auto"/>
          <w:sz w:val="24"/>
          <w:szCs w:val="24"/>
          <w:highlight w:val="none"/>
        </w:rPr>
      </w:pPr>
      <w:bookmarkStart w:id="281" w:name="_Toc23355"/>
      <w:bookmarkStart w:id="282" w:name="_Toc8532"/>
      <w:r>
        <w:rPr>
          <w:rFonts w:hint="eastAsia" w:ascii="宋体" w:hAnsi="宋体" w:cs="宋体"/>
          <w:b/>
          <w:color w:val="auto"/>
          <w:sz w:val="24"/>
          <w:szCs w:val="24"/>
          <w:highlight w:val="none"/>
        </w:rPr>
        <w:t>32.验收</w:t>
      </w:r>
      <w:bookmarkEnd w:id="281"/>
      <w:bookmarkEnd w:id="282"/>
    </w:p>
    <w:p w14:paraId="6592C69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32.1采购人验收时，应成立三人以上验收小组，明确责任，严格依照磋商文件、成交通知书、采购合同及相关验收规范进行核对、验收，形成验收结论，并出具书面验收报告。</w:t>
      </w:r>
    </w:p>
    <w:p w14:paraId="2E84580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32.2涉及安全、消防、环保等其他需要由质检或行业主管部门进行验收的项目，必须邀请相关部门或相关专家参与验收。</w:t>
      </w:r>
    </w:p>
    <w:p w14:paraId="73A54325">
      <w:pPr>
        <w:spacing w:line="440" w:lineRule="exact"/>
        <w:ind w:firstLine="472" w:firstLineChars="196"/>
        <w:outlineLvl w:val="9"/>
        <w:rPr>
          <w:rFonts w:hint="eastAsia" w:ascii="宋体" w:hAnsi="宋体" w:cs="宋体"/>
          <w:b/>
          <w:color w:val="auto"/>
          <w:sz w:val="24"/>
          <w:szCs w:val="24"/>
          <w:highlight w:val="none"/>
        </w:rPr>
      </w:pPr>
      <w:bookmarkStart w:id="283" w:name="_Toc2243"/>
      <w:bookmarkStart w:id="284" w:name="_Toc879"/>
      <w:r>
        <w:rPr>
          <w:rFonts w:hint="eastAsia" w:ascii="宋体" w:hAnsi="宋体" w:cs="宋体"/>
          <w:b/>
          <w:color w:val="auto"/>
          <w:sz w:val="24"/>
          <w:szCs w:val="24"/>
          <w:highlight w:val="none"/>
        </w:rPr>
        <w:t>33.质疑</w:t>
      </w:r>
      <w:bookmarkEnd w:id="283"/>
      <w:bookmarkEnd w:id="284"/>
    </w:p>
    <w:p w14:paraId="7566CDAE">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33.1质疑人认为预成交结果使自己的权益受到损害的，可以向采购代理机构提出质疑。质疑实行实名制，应当有具体的事项及根据，不得进行虚假、恶意质疑，扰乱采购的正常工作秩序。</w:t>
      </w:r>
    </w:p>
    <w:p w14:paraId="1B39C1D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投标供应商对采购文件内容有疑问的，须在采购文件规定的质疑截止时间前，向采购人提出询问或者质疑，未在规定质疑截止时间内提出异议的，该质疑不予受理，并视同投标供应商认可采购文件所有内容。</w:t>
      </w:r>
    </w:p>
    <w:p w14:paraId="7A526E95">
      <w:pPr>
        <w:spacing w:line="440" w:lineRule="exact"/>
        <w:ind w:firstLine="480" w:firstLineChars="200"/>
        <w:outlineLvl w:val="9"/>
        <w:rPr>
          <w:rFonts w:hint="eastAsia" w:ascii="宋体" w:hAnsi="宋体" w:cs="宋体"/>
          <w:bCs/>
          <w:color w:val="auto"/>
          <w:sz w:val="24"/>
          <w:szCs w:val="24"/>
          <w:highlight w:val="none"/>
        </w:rPr>
      </w:pPr>
      <w:bookmarkStart w:id="285" w:name="_Toc28704"/>
      <w:bookmarkStart w:id="286" w:name="_Toc4224"/>
      <w:r>
        <w:rPr>
          <w:rFonts w:hint="eastAsia" w:ascii="宋体" w:hAnsi="宋体" w:cs="宋体"/>
          <w:bCs/>
          <w:color w:val="auto"/>
          <w:sz w:val="24"/>
          <w:szCs w:val="24"/>
          <w:highlight w:val="none"/>
        </w:rPr>
        <w:t>33.2质疑应在规定时限内提出：</w:t>
      </w:r>
      <w:bookmarkEnd w:id="285"/>
      <w:bookmarkEnd w:id="286"/>
      <w:r>
        <w:rPr>
          <w:rFonts w:hint="eastAsia" w:ascii="宋体" w:hAnsi="宋体" w:cs="宋体"/>
          <w:bCs/>
          <w:color w:val="auto"/>
          <w:sz w:val="24"/>
          <w:szCs w:val="24"/>
          <w:highlight w:val="none"/>
        </w:rPr>
        <w:t xml:space="preserve"> </w:t>
      </w:r>
    </w:p>
    <w:p w14:paraId="74BED8B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对采购成交结果的质疑，应在成交结果公布之日起七个工作日内提出。</w:t>
      </w:r>
    </w:p>
    <w:p w14:paraId="1DF89EE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33.3质疑应以书面形式实名提出，书面质疑材料应当包括以下内容：</w:t>
      </w:r>
    </w:p>
    <w:p w14:paraId="76084180">
      <w:pPr>
        <w:widowControl/>
        <w:spacing w:line="44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33.3.1质疑人的名称、地址、有效联系方式；</w:t>
      </w:r>
    </w:p>
    <w:p w14:paraId="52562FBE">
      <w:pPr>
        <w:widowControl/>
        <w:spacing w:line="44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33.3.2项目名称、项目编号、包别号（如有）；</w:t>
      </w:r>
    </w:p>
    <w:p w14:paraId="5527D14B">
      <w:pPr>
        <w:widowControl/>
        <w:spacing w:line="44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33.3.3被质疑人名称；</w:t>
      </w:r>
    </w:p>
    <w:p w14:paraId="041CBA99">
      <w:pPr>
        <w:widowControl/>
        <w:spacing w:line="44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33.3.4具体的质疑事项、基本事实及必要的证明材料；</w:t>
      </w:r>
    </w:p>
    <w:p w14:paraId="65A7E0BD">
      <w:pPr>
        <w:widowControl/>
        <w:spacing w:line="44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33.3.5明确的请求及主张；</w:t>
      </w:r>
    </w:p>
    <w:p w14:paraId="30151E49">
      <w:pPr>
        <w:widowControl/>
        <w:spacing w:line="44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33.3.6提起质疑的日期。</w:t>
      </w:r>
    </w:p>
    <w:p w14:paraId="09F35A08">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w:t>
      </w:r>
      <w:r>
        <w:rPr>
          <w:rFonts w:hint="eastAsia" w:ascii="宋体" w:hAnsi="宋体" w:cs="宋体"/>
          <w:color w:val="auto"/>
          <w:sz w:val="24"/>
          <w:szCs w:val="24"/>
          <w:highlight w:val="none"/>
        </w:rPr>
        <w:t>法定代表人</w:t>
      </w:r>
      <w:r>
        <w:rPr>
          <w:rFonts w:hint="eastAsia" w:ascii="宋体" w:hAnsi="宋体" w:cs="宋体"/>
          <w:color w:val="auto"/>
          <w:kern w:val="0"/>
          <w:sz w:val="24"/>
          <w:szCs w:val="24"/>
          <w:highlight w:val="none"/>
        </w:rPr>
        <w:t>或其委托代理人（需有委托授权书）签字并加盖公章。</w:t>
      </w:r>
    </w:p>
    <w:p w14:paraId="3C8DBA79">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4932BB94">
      <w:pPr>
        <w:spacing w:line="440" w:lineRule="exact"/>
        <w:ind w:firstLine="480" w:firstLineChars="200"/>
        <w:outlineLvl w:val="9"/>
        <w:rPr>
          <w:rFonts w:hint="eastAsia" w:ascii="宋体" w:hAnsi="宋体" w:cs="宋体"/>
          <w:bCs/>
          <w:color w:val="auto"/>
          <w:sz w:val="24"/>
          <w:szCs w:val="24"/>
          <w:highlight w:val="none"/>
        </w:rPr>
      </w:pPr>
      <w:bookmarkStart w:id="287" w:name="_Toc26969"/>
      <w:bookmarkStart w:id="288" w:name="_Toc29011"/>
      <w:r>
        <w:rPr>
          <w:rFonts w:hint="eastAsia" w:ascii="宋体" w:hAnsi="宋体" w:cs="宋体"/>
          <w:bCs/>
          <w:color w:val="auto"/>
          <w:sz w:val="24"/>
          <w:szCs w:val="24"/>
          <w:highlight w:val="none"/>
        </w:rPr>
        <w:t>33.4有下列情形之一的，不予受理：</w:t>
      </w:r>
      <w:bookmarkEnd w:id="287"/>
      <w:bookmarkEnd w:id="288"/>
    </w:p>
    <w:p w14:paraId="3406149E">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rPr>
        <w:t>33</w:t>
      </w:r>
      <w:r>
        <w:rPr>
          <w:rFonts w:hint="eastAsia" w:ascii="宋体" w:hAnsi="宋体" w:cs="宋体"/>
          <w:color w:val="auto"/>
          <w:kern w:val="0"/>
          <w:sz w:val="24"/>
          <w:szCs w:val="24"/>
          <w:highlight w:val="none"/>
        </w:rPr>
        <w:t>.4.1提起质疑的主体不是参与该采购项目活动的供应商；</w:t>
      </w:r>
    </w:p>
    <w:p w14:paraId="303314FD">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rPr>
        <w:t>33</w:t>
      </w:r>
      <w:r>
        <w:rPr>
          <w:rFonts w:hint="eastAsia" w:ascii="宋体" w:hAnsi="宋体" w:cs="宋体"/>
          <w:color w:val="auto"/>
          <w:kern w:val="0"/>
          <w:sz w:val="24"/>
          <w:szCs w:val="24"/>
          <w:highlight w:val="none"/>
        </w:rPr>
        <w:t>.4.2提起质疑的时间超过规定时限的；</w:t>
      </w:r>
    </w:p>
    <w:p w14:paraId="20930FF0">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rPr>
        <w:t>33</w:t>
      </w:r>
      <w:r>
        <w:rPr>
          <w:rFonts w:hint="eastAsia" w:ascii="宋体" w:hAnsi="宋体" w:cs="宋体"/>
          <w:color w:val="auto"/>
          <w:kern w:val="0"/>
          <w:sz w:val="24"/>
          <w:szCs w:val="24"/>
          <w:highlight w:val="none"/>
        </w:rPr>
        <w:t>.4.3质疑材料不完整的；</w:t>
      </w:r>
    </w:p>
    <w:p w14:paraId="6C953263">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rPr>
        <w:t>33</w:t>
      </w:r>
      <w:r>
        <w:rPr>
          <w:rFonts w:hint="eastAsia" w:ascii="宋体" w:hAnsi="宋体" w:cs="宋体"/>
          <w:color w:val="auto"/>
          <w:kern w:val="0"/>
          <w:sz w:val="24"/>
          <w:szCs w:val="24"/>
          <w:highlight w:val="none"/>
        </w:rPr>
        <w:t>.4.4质疑事项含有主观猜测等内容且未提供有效线索、难以查证的；</w:t>
      </w:r>
    </w:p>
    <w:p w14:paraId="79A7D7B9">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rPr>
        <w:t>33</w:t>
      </w:r>
      <w:r>
        <w:rPr>
          <w:rFonts w:hint="eastAsia" w:ascii="宋体" w:hAnsi="宋体" w:cs="宋体"/>
          <w:color w:val="auto"/>
          <w:kern w:val="0"/>
          <w:sz w:val="24"/>
          <w:szCs w:val="24"/>
          <w:highlight w:val="none"/>
        </w:rPr>
        <w:t>.4.5对其他供应商的响应文件详细内容质疑，证据来源无法提供合法来源渠道的；</w:t>
      </w:r>
    </w:p>
    <w:p w14:paraId="6787BF3E">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rPr>
        <w:t>33</w:t>
      </w:r>
      <w:r>
        <w:rPr>
          <w:rFonts w:hint="eastAsia" w:ascii="宋体" w:hAnsi="宋体" w:cs="宋体"/>
          <w:color w:val="auto"/>
          <w:kern w:val="0"/>
          <w:sz w:val="24"/>
          <w:szCs w:val="24"/>
          <w:highlight w:val="none"/>
        </w:rPr>
        <w:t>.4.6质疑事项已进入投诉处理、行政复议或行政诉讼程序的。</w:t>
      </w:r>
    </w:p>
    <w:p w14:paraId="43A36AB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33.5经审查符合质疑条件的，自收到质疑之日起即为受理。采购代理机构将在质疑受理后7个工作日内作出答复或相关处理决定（需要检验、检测、鉴定、专家评审的，所需时间不计算在内），并以书面形式通知质疑人，答复的内容不得涉及商业秘密。</w:t>
      </w:r>
    </w:p>
    <w:p w14:paraId="37EE1B8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33.6质疑人在答复期满前撤回质疑的，应由</w:t>
      </w:r>
      <w:r>
        <w:rPr>
          <w:rFonts w:hint="eastAsia" w:ascii="宋体" w:hAnsi="宋体" w:cs="宋体"/>
          <w:color w:val="auto"/>
          <w:sz w:val="24"/>
          <w:szCs w:val="24"/>
          <w:highlight w:val="none"/>
        </w:rPr>
        <w:t>法定代表人</w:t>
      </w:r>
      <w:r>
        <w:rPr>
          <w:rFonts w:hint="eastAsia" w:ascii="宋体" w:hAnsi="宋体" w:cs="宋体"/>
          <w:bCs/>
          <w:color w:val="auto"/>
          <w:sz w:val="24"/>
          <w:szCs w:val="24"/>
          <w:highlight w:val="none"/>
        </w:rPr>
        <w:t>或授权代表人签字确认，采购代理机构即终止质疑处理程序。质疑人不得以同一理由再次质疑。</w:t>
      </w:r>
    </w:p>
    <w:p w14:paraId="0F0A10E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质疑人对质疑答复不满意或某采购代理机构未在规定时间内作出答复的，可以在规定期限内向监督管理部门提起投诉。</w:t>
      </w:r>
    </w:p>
    <w:p w14:paraId="3831549A">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质疑人应在答复期满后十五个工作日内提起投诉。</w:t>
      </w:r>
    </w:p>
    <w:p w14:paraId="2AC7C1AA">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33.7质疑人有下列情形之一的，属于虚假、恶意质疑，采购代理机构将报监督管理部门予以处理。</w:t>
      </w:r>
    </w:p>
    <w:p w14:paraId="7B129830">
      <w:pPr>
        <w:spacing w:line="440" w:lineRule="exact"/>
        <w:ind w:firstLine="480" w:firstLineChars="200"/>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33.7.1一年内三次以上质疑均查无实据的；</w:t>
      </w:r>
    </w:p>
    <w:p w14:paraId="1027CCA4">
      <w:pPr>
        <w:spacing w:line="440" w:lineRule="exact"/>
        <w:ind w:firstLine="470" w:firstLineChars="196"/>
        <w:rPr>
          <w:rFonts w:hint="eastAsia" w:ascii="宋体" w:hAnsi="宋体" w:cs="宋体"/>
          <w:color w:val="auto"/>
          <w:sz w:val="24"/>
          <w:szCs w:val="24"/>
          <w:highlight w:val="none"/>
        </w:rPr>
      </w:pPr>
      <w:r>
        <w:rPr>
          <w:rFonts w:hint="eastAsia" w:ascii="宋体" w:hAnsi="宋体" w:cs="宋体"/>
          <w:bCs/>
          <w:color w:val="auto"/>
          <w:sz w:val="24"/>
          <w:szCs w:val="24"/>
          <w:highlight w:val="none"/>
        </w:rPr>
        <w:t>33.7.2捏造事实恶意诬陷他人、有意提供虚假质疑材料的</w:t>
      </w:r>
      <w:r>
        <w:rPr>
          <w:rFonts w:hint="eastAsia" w:ascii="宋体" w:hAnsi="宋体" w:cs="宋体"/>
          <w:color w:val="auto"/>
          <w:sz w:val="24"/>
          <w:szCs w:val="24"/>
          <w:highlight w:val="none"/>
        </w:rPr>
        <w:t>或者通过非法手段获取材料的。</w:t>
      </w:r>
    </w:p>
    <w:p w14:paraId="2281FA39">
      <w:pPr>
        <w:spacing w:line="440" w:lineRule="exact"/>
        <w:ind w:firstLine="472" w:firstLineChars="196"/>
        <w:outlineLvl w:val="9"/>
        <w:rPr>
          <w:rFonts w:hint="eastAsia" w:ascii="宋体" w:hAnsi="宋体" w:cs="宋体"/>
          <w:b/>
          <w:color w:val="auto"/>
          <w:sz w:val="24"/>
          <w:szCs w:val="24"/>
          <w:highlight w:val="none"/>
        </w:rPr>
      </w:pPr>
      <w:bookmarkStart w:id="289" w:name="_Toc12853"/>
      <w:r>
        <w:rPr>
          <w:rFonts w:hint="eastAsia" w:ascii="宋体" w:hAnsi="宋体" w:cs="宋体"/>
          <w:b/>
          <w:color w:val="auto"/>
          <w:sz w:val="24"/>
          <w:szCs w:val="24"/>
          <w:highlight w:val="none"/>
        </w:rPr>
        <w:t>34.未尽事宜</w:t>
      </w:r>
      <w:bookmarkEnd w:id="289"/>
    </w:p>
    <w:p w14:paraId="592A6D14">
      <w:pPr>
        <w:spacing w:line="440" w:lineRule="exact"/>
        <w:ind w:firstLine="480" w:firstLineChars="200"/>
        <w:outlineLvl w:val="9"/>
        <w:rPr>
          <w:rFonts w:hint="eastAsia" w:ascii="宋体" w:hAnsi="宋体" w:cs="宋体"/>
          <w:color w:val="auto"/>
          <w:sz w:val="24"/>
          <w:szCs w:val="24"/>
          <w:highlight w:val="none"/>
        </w:rPr>
      </w:pPr>
      <w:bookmarkStart w:id="290" w:name="_Toc12989"/>
      <w:r>
        <w:rPr>
          <w:rFonts w:hint="eastAsia" w:ascii="宋体" w:hAnsi="宋体" w:cs="宋体"/>
          <w:color w:val="auto"/>
          <w:sz w:val="24"/>
          <w:szCs w:val="24"/>
          <w:highlight w:val="none"/>
        </w:rPr>
        <w:t>34.1参照相关法律法规的规定执行。</w:t>
      </w:r>
      <w:bookmarkEnd w:id="290"/>
    </w:p>
    <w:p w14:paraId="51DC0B7E">
      <w:pPr>
        <w:spacing w:line="440" w:lineRule="exact"/>
        <w:ind w:firstLine="472" w:firstLineChars="196"/>
        <w:outlineLvl w:val="9"/>
        <w:rPr>
          <w:rFonts w:hint="eastAsia" w:ascii="宋体" w:hAnsi="宋体" w:cs="宋体"/>
          <w:bCs/>
          <w:color w:val="auto"/>
          <w:sz w:val="24"/>
          <w:szCs w:val="24"/>
          <w:highlight w:val="none"/>
        </w:rPr>
      </w:pPr>
      <w:bookmarkStart w:id="291" w:name="_Toc30143"/>
      <w:r>
        <w:rPr>
          <w:rFonts w:hint="eastAsia" w:ascii="宋体" w:hAnsi="宋体" w:cs="宋体"/>
          <w:b/>
          <w:color w:val="auto"/>
          <w:sz w:val="24"/>
          <w:szCs w:val="24"/>
          <w:highlight w:val="none"/>
        </w:rPr>
        <w:t>35.解释权</w:t>
      </w:r>
      <w:bookmarkEnd w:id="291"/>
    </w:p>
    <w:p w14:paraId="4F57ACF8">
      <w:pPr>
        <w:spacing w:line="440" w:lineRule="exact"/>
        <w:ind w:firstLine="480" w:firstLineChars="200"/>
        <w:outlineLvl w:val="9"/>
        <w:rPr>
          <w:rFonts w:hint="eastAsia" w:ascii="宋体" w:hAnsi="宋体" w:cs="宋体"/>
          <w:color w:val="auto"/>
          <w:highlight w:val="none"/>
        </w:rPr>
      </w:pPr>
      <w:bookmarkStart w:id="292" w:name="_Toc7451"/>
      <w:r>
        <w:rPr>
          <w:rFonts w:hint="eastAsia" w:ascii="宋体" w:hAnsi="宋体" w:cs="宋体"/>
          <w:bCs/>
          <w:color w:val="auto"/>
          <w:sz w:val="24"/>
          <w:szCs w:val="24"/>
          <w:highlight w:val="none"/>
        </w:rPr>
        <w:t>35.1本磋商文件的解释权属于采购人或采购代理机构。</w:t>
      </w:r>
      <w:bookmarkEnd w:id="292"/>
      <w:bookmarkStart w:id="293" w:name="_Toc427016287"/>
      <w:bookmarkStart w:id="294" w:name="_Toc463053207"/>
      <w:bookmarkStart w:id="295" w:name="_Toc427106476"/>
      <w:bookmarkStart w:id="296" w:name="_Toc427106477"/>
    </w:p>
    <w:p w14:paraId="0B2DC5A1">
      <w:pPr>
        <w:pageBreakBefore/>
        <w:jc w:val="center"/>
        <w:rPr>
          <w:rFonts w:hint="eastAsia" w:ascii="宋体" w:hAnsi="宋体" w:cs="宋体"/>
          <w:b/>
          <w:color w:val="auto"/>
          <w:sz w:val="28"/>
          <w:highlight w:val="none"/>
        </w:rPr>
        <w:sectPr>
          <w:footerReference r:id="rId6" w:type="first"/>
          <w:footerReference r:id="rId5" w:type="default"/>
          <w:pgSz w:w="11906" w:h="16838"/>
          <w:pgMar w:top="1134" w:right="1417" w:bottom="1134" w:left="1417" w:header="283" w:footer="680" w:gutter="0"/>
          <w:cols w:space="720" w:num="1"/>
          <w:titlePg/>
          <w:rtlGutter w:val="0"/>
          <w:docGrid w:type="lines" w:linePitch="312" w:charSpace="0"/>
        </w:sectPr>
      </w:pPr>
    </w:p>
    <w:p w14:paraId="5C42B6FE">
      <w:pPr>
        <w:keepNext/>
        <w:widowControl/>
        <w:jc w:val="center"/>
        <w:outlineLvl w:val="0"/>
        <w:rPr>
          <w:rFonts w:hint="eastAsia" w:ascii="宋体" w:hAnsi="宋体" w:eastAsia="宋体" w:cs="宋体"/>
          <w:b/>
          <w:color w:val="auto"/>
          <w:sz w:val="32"/>
          <w:szCs w:val="32"/>
          <w:highlight w:val="none"/>
        </w:rPr>
      </w:pPr>
      <w:bookmarkStart w:id="297" w:name="_Toc23375"/>
      <w:bookmarkStart w:id="298" w:name="_Toc3482"/>
      <w:r>
        <w:rPr>
          <w:rFonts w:hint="eastAsia" w:ascii="宋体" w:hAnsi="宋体" w:eastAsia="宋体" w:cs="宋体"/>
          <w:b/>
          <w:color w:val="auto"/>
          <w:sz w:val="32"/>
          <w:szCs w:val="32"/>
          <w:highlight w:val="none"/>
          <w:lang w:val="en-US" w:eastAsia="zh-CN"/>
        </w:rPr>
        <w:t>第五章</w:t>
      </w:r>
      <w:r>
        <w:rPr>
          <w:rFonts w:hint="eastAsia" w:ascii="宋体" w:hAnsi="宋体" w:eastAsia="宋体" w:cs="宋体"/>
          <w:b/>
          <w:color w:val="auto"/>
          <w:sz w:val="32"/>
          <w:szCs w:val="32"/>
          <w:highlight w:val="none"/>
        </w:rPr>
        <w:t>、采购项目服务需求</w:t>
      </w:r>
      <w:bookmarkEnd w:id="297"/>
      <w:bookmarkEnd w:id="298"/>
    </w:p>
    <w:bookmarkEnd w:id="293"/>
    <w:bookmarkEnd w:id="294"/>
    <w:bookmarkEnd w:id="295"/>
    <w:p w14:paraId="3ACA266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一、项目概述</w:t>
      </w:r>
    </w:p>
    <w:p w14:paraId="13894444">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理清滁州学院会峰校区地下供水管网管径及走向，加强校园节水管理，实现供水管网的精细化管理，为日常维护、安全保障，能源监控提供可靠保障，构建校园供水管网“可视、可查、可控”管理技术，经学校研究，对会峰校区供水管网进行物探物探、测绘及基础信息建设。</w:t>
      </w:r>
    </w:p>
    <w:p w14:paraId="5E3F899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52FCDE8D">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lang w:val="en-US" w:eastAsia="zh-CN"/>
        </w:rPr>
        <w:t>合同签订后，根据采购人通知进场后50个日历天完成本项目所有服务，具体进场时间以采购人通知时间为准。</w:t>
      </w:r>
    </w:p>
    <w:p w14:paraId="7D735D3A">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主要任务是对1.会峰校区主供水管网物探测绘成图；2.会峰校区西区消防水管与生活水管混接分离；3.采取相应措施对会峰校区供水管道的物探结果进行验证，确保物探成果的精准性；4.会峰校区东区供水系统DMA分区，出具成果文件。</w:t>
      </w:r>
    </w:p>
    <w:p w14:paraId="1E623E27">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2.1管网测绘(普查)</w:t>
      </w:r>
    </w:p>
    <w:p w14:paraId="777989D0">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主要是对会峰校区供水管网进行测绘普查，同时为了保证管网数据的完整性和为后期工程改造的经济性考虑，包括生活用水管网、消防用水管网、供水管径、管道埋深、管道质材等，进行管网测绘普查工作。管网总长度约7公里。</w:t>
      </w:r>
    </w:p>
    <w:p w14:paraId="24490983">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2.1.1管道探查</w:t>
      </w:r>
    </w:p>
    <w:p w14:paraId="4F2779C7">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实地探查和仪器探查，对测区范围内的管网的平面位置、高程、性质等进行普查，对地下管网的平面位置、埋深(管网标高)、走向、材质、规格、性质、总阀及分阀的坐标等信息进行物探，建立管网数据库。因管网物探需符合验证涉及土建、截止阀、管道井等内容均包含在服务经费内。</w:t>
      </w:r>
    </w:p>
    <w:p w14:paraId="2DFDD1AB">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2.1.2管网测量</w:t>
      </w:r>
    </w:p>
    <w:p w14:paraId="19255842">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地下管网点及阀井测量的平面位置测量中误差不得大于±5cm(相对于该管网点起算点)，高程测量中误差不得大于±5cm (相对于该管网点起算点)。</w:t>
      </w:r>
    </w:p>
    <w:p w14:paraId="2E702B18">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 内业资料整理与成图</w:t>
      </w:r>
    </w:p>
    <w:p w14:paraId="0E024B83">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对管网的物探和测量的成果进行建库成图，主要包括建立管网及检查井属性数据库和地下管网图及检查井分布图编绘。</w:t>
      </w:r>
    </w:p>
    <w:p w14:paraId="7CD32876">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2.2管网混接点排查</w:t>
      </w:r>
    </w:p>
    <w:p w14:paraId="7F595C5B">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生活用水与消防用水管道混接排查。混接点调查是管道接入点的逐个排除，根据管道探测、管道检测的成果，确定混接点位置，</w:t>
      </w:r>
      <w:r>
        <w:rPr>
          <w:rFonts w:hint="eastAsia"/>
          <w:lang w:val="en-US" w:eastAsia="zh-CN"/>
        </w:rPr>
        <w:t>方便后续</w:t>
      </w:r>
      <w:r>
        <w:rPr>
          <w:rFonts w:hint="eastAsia" w:ascii="宋体" w:hAnsi="宋体" w:eastAsia="宋体" w:cs="宋体"/>
          <w:color w:val="auto"/>
          <w:sz w:val="24"/>
          <w:szCs w:val="24"/>
          <w:highlight w:val="none"/>
          <w:lang w:val="en-US" w:eastAsia="zh-CN"/>
        </w:rPr>
        <w:t>进行管道分离改造</w:t>
      </w:r>
      <w:r>
        <w:rPr>
          <w:rFonts w:hint="eastAsia" w:ascii="宋体" w:hAnsi="宋体" w:cs="宋体"/>
          <w:color w:val="auto"/>
          <w:sz w:val="24"/>
          <w:szCs w:val="24"/>
          <w:highlight w:val="none"/>
          <w:lang w:val="en-US" w:eastAsia="zh-CN"/>
        </w:rPr>
        <w:t>。</w:t>
      </w:r>
    </w:p>
    <w:p w14:paraId="6649BDB9">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2.3数据建库</w:t>
      </w:r>
    </w:p>
    <w:p w14:paraId="3DDD80EC">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对上述测绘的管网进行绘图，建立数据库，其建库数据格式满足今后校园地下管网信息管理系统的入库的标准数据库格式。</w:t>
      </w:r>
    </w:p>
    <w:p w14:paraId="06B89747">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2.4二维CAD供水管网管理系统</w:t>
      </w:r>
    </w:p>
    <w:p w14:paraId="06DB04F0">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于管网普查测绘的成果，进行二维CAD供水系统的建设，编制会峰校区东区供水DMA分区方案，依托校园实景，管线数据融入实景平台，为后续管网系统的更新提供现代化的手段，为保证管网的现势性提供技术保障。</w:t>
      </w:r>
    </w:p>
    <w:p w14:paraId="777DD33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三、项目成果</w:t>
      </w:r>
    </w:p>
    <w:p w14:paraId="60F04983">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通过此次排查，</w:t>
      </w:r>
      <w:r>
        <w:rPr>
          <w:rFonts w:hint="eastAsia" w:ascii="宋体" w:hAnsi="宋体" w:eastAsia="宋体" w:cs="宋体"/>
          <w:color w:val="auto"/>
          <w:sz w:val="24"/>
          <w:szCs w:val="24"/>
          <w:highlight w:val="none"/>
          <w:lang w:val="en-US" w:eastAsia="zh-CN"/>
        </w:rPr>
        <w:t>摸清供水管网走向、埋深、管材、管径、分支点、控制点等，解决生活与消防用水混接问题，</w:t>
      </w:r>
      <w:r>
        <w:rPr>
          <w:rFonts w:hint="default" w:ascii="宋体" w:hAnsi="宋体" w:eastAsia="宋体" w:cs="宋体"/>
          <w:color w:val="auto"/>
          <w:sz w:val="24"/>
          <w:szCs w:val="24"/>
          <w:highlight w:val="none"/>
          <w:lang w:val="en-US" w:eastAsia="zh-CN"/>
        </w:rPr>
        <w:t>形成文字、图表、影像三位一体的成果库，为</w:t>
      </w:r>
      <w:r>
        <w:rPr>
          <w:rFonts w:hint="eastAsia" w:ascii="宋体" w:hAnsi="宋体" w:eastAsia="宋体" w:cs="宋体"/>
          <w:color w:val="auto"/>
          <w:sz w:val="24"/>
          <w:szCs w:val="24"/>
          <w:highlight w:val="none"/>
          <w:lang w:val="en-US" w:eastAsia="zh-CN"/>
        </w:rPr>
        <w:t>节约型校园</w:t>
      </w:r>
      <w:r>
        <w:rPr>
          <w:rFonts w:hint="default"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能源</w:t>
      </w:r>
      <w:r>
        <w:rPr>
          <w:rFonts w:hint="default" w:ascii="宋体" w:hAnsi="宋体" w:eastAsia="宋体" w:cs="宋体"/>
          <w:color w:val="auto"/>
          <w:sz w:val="24"/>
          <w:szCs w:val="24"/>
          <w:highlight w:val="none"/>
          <w:lang w:val="en-US" w:eastAsia="zh-CN"/>
        </w:rPr>
        <w:t>信息化管理提供有力的依据。</w:t>
      </w:r>
    </w:p>
    <w:p w14:paraId="5CA6D8B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9"/>
        <w:rPr>
          <w:rFonts w:hint="eastAsia" w:ascii="宋体" w:hAnsi="宋体" w:cs="宋体"/>
          <w:b/>
          <w:bCs/>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四、</w:t>
      </w:r>
      <w:r>
        <w:rPr>
          <w:rFonts w:hint="eastAsia" w:ascii="宋体" w:hAnsi="宋体" w:cs="宋体"/>
          <w:b/>
          <w:bCs/>
          <w:color w:val="auto"/>
          <w:sz w:val="24"/>
          <w:szCs w:val="24"/>
          <w:highlight w:val="none"/>
          <w:lang w:val="en-US" w:eastAsia="zh-CN"/>
        </w:rPr>
        <w:t>其他要求</w:t>
      </w:r>
    </w:p>
    <w:p w14:paraId="14BF1CEA">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1.项目负责人要求：</w:t>
      </w:r>
      <w:r>
        <w:rPr>
          <w:rFonts w:hint="eastAsia" w:ascii="宋体" w:hAnsi="宋体" w:cs="宋体"/>
          <w:color w:val="auto"/>
          <w:sz w:val="24"/>
          <w:szCs w:val="24"/>
          <w:highlight w:val="none"/>
          <w:lang w:val="en-US" w:eastAsia="zh-CN"/>
        </w:rPr>
        <w:t>成交人合同签订后，拟派本项目负责人在项目服务期内</w:t>
      </w:r>
      <w:r>
        <w:rPr>
          <w:rFonts w:hint="default" w:ascii="宋体" w:hAnsi="宋体" w:eastAsia="宋体" w:cs="宋体"/>
          <w:color w:val="auto"/>
          <w:sz w:val="24"/>
          <w:szCs w:val="24"/>
          <w:highlight w:val="none"/>
          <w:lang w:val="en-US" w:eastAsia="zh-CN"/>
        </w:rPr>
        <w:t>不得更换；</w:t>
      </w:r>
    </w:p>
    <w:p w14:paraId="4B944F6C">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2.成交人服务期间，做好采购人既有设施设备的保护和管理，因服务不力给采购人来损失的，应予以修复和赔偿，赔偿款从合同价中抵扣。服务结束后提交验收前应做好现场保洁，确保整洁干净。</w:t>
      </w:r>
    </w:p>
    <w:p w14:paraId="6D831D02">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3.本项目不收取水电费。</w:t>
      </w:r>
    </w:p>
    <w:p w14:paraId="00272A99">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 w:val="24"/>
          <w:szCs w:val="24"/>
          <w:highlight w:val="none"/>
          <w:lang w:val="en-US" w:eastAsia="zh-CN"/>
        </w:rPr>
      </w:pPr>
    </w:p>
    <w:p w14:paraId="2949DDB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Cs w:val="21"/>
          <w:highlight w:val="none"/>
          <w:lang w:val="en-US" w:eastAsia="zh-CN"/>
        </w:rPr>
      </w:pPr>
    </w:p>
    <w:p w14:paraId="3F111304">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Cs w:val="21"/>
          <w:highlight w:val="none"/>
          <w:lang w:val="en-US" w:eastAsia="zh-CN"/>
        </w:rPr>
      </w:pPr>
    </w:p>
    <w:p w14:paraId="206F849F">
      <w:pPr>
        <w:keepNext w:val="0"/>
        <w:keepLines w:val="0"/>
        <w:pageBreakBefore w:val="0"/>
        <w:widowControl w:val="0"/>
        <w:kinsoku/>
        <w:wordWrap/>
        <w:overflowPunct/>
        <w:topLinePunct w:val="0"/>
        <w:autoSpaceDE/>
        <w:autoSpaceDN/>
        <w:bidi w:val="0"/>
        <w:adjustRightInd/>
        <w:snapToGrid/>
        <w:spacing w:line="440" w:lineRule="exact"/>
        <w:ind w:firstLine="420" w:firstLineChars="0"/>
        <w:jc w:val="left"/>
        <w:textAlignment w:val="auto"/>
        <w:outlineLvl w:val="9"/>
        <w:rPr>
          <w:rFonts w:hint="eastAsia" w:ascii="宋体" w:hAnsi="宋体" w:eastAsia="宋体" w:cs="宋体"/>
          <w:color w:val="auto"/>
          <w:szCs w:val="21"/>
          <w:highlight w:val="none"/>
          <w:lang w:val="en-US" w:eastAsia="zh-CN"/>
        </w:rPr>
      </w:pPr>
    </w:p>
    <w:p w14:paraId="60335744">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outlineLvl w:val="9"/>
        <w:rPr>
          <w:rFonts w:hint="eastAsia" w:ascii="宋体" w:hAnsi="宋体" w:eastAsia="宋体" w:cs="宋体"/>
          <w:color w:val="auto"/>
          <w:highlight w:val="none"/>
          <w:lang w:val="en-US" w:eastAsia="zh-CN"/>
        </w:rPr>
      </w:pPr>
    </w:p>
    <w:p w14:paraId="75C6DFB9">
      <w:pPr>
        <w:outlineLvl w:val="9"/>
        <w:rPr>
          <w:color w:val="auto"/>
          <w:highlight w:val="none"/>
        </w:rPr>
      </w:pPr>
    </w:p>
    <w:p w14:paraId="775D7EB3">
      <w:pPr>
        <w:pageBreakBefore/>
        <w:spacing w:before="156" w:beforeLines="50" w:after="156" w:afterLines="50"/>
        <w:jc w:val="center"/>
        <w:outlineLvl w:val="0"/>
        <w:rPr>
          <w:rFonts w:hint="eastAsia" w:ascii="宋体" w:hAnsi="宋体" w:cs="宋体"/>
          <w:b/>
          <w:color w:val="auto"/>
          <w:sz w:val="32"/>
          <w:szCs w:val="32"/>
          <w:highlight w:val="none"/>
        </w:rPr>
      </w:pPr>
      <w:bookmarkStart w:id="299" w:name="_Toc9755"/>
      <w:bookmarkStart w:id="300" w:name="_Toc19462"/>
      <w:r>
        <w:rPr>
          <w:rFonts w:hint="eastAsia" w:ascii="宋体" w:hAnsi="宋体" w:eastAsia="宋体" w:cs="宋体"/>
          <w:b/>
          <w:color w:val="auto"/>
          <w:sz w:val="32"/>
          <w:szCs w:val="32"/>
          <w:highlight w:val="none"/>
          <w:lang w:val="en-US" w:eastAsia="zh-CN"/>
        </w:rPr>
        <w:t>第六章、</w:t>
      </w:r>
      <w:r>
        <w:rPr>
          <w:rFonts w:hint="eastAsia" w:ascii="宋体" w:hAnsi="宋体" w:eastAsia="宋体" w:cs="宋体"/>
          <w:b/>
          <w:color w:val="auto"/>
          <w:sz w:val="32"/>
          <w:szCs w:val="32"/>
          <w:highlight w:val="none"/>
        </w:rPr>
        <w:t>合同条款及格式</w:t>
      </w:r>
      <w:r>
        <w:rPr>
          <w:rFonts w:hint="eastAsia" w:ascii="宋体" w:hAnsi="宋体" w:cs="宋体"/>
          <w:b/>
          <w:color w:val="auto"/>
          <w:sz w:val="32"/>
          <w:szCs w:val="32"/>
          <w:highlight w:val="none"/>
        </w:rPr>
        <w:t>（服务类）</w:t>
      </w:r>
      <w:bookmarkEnd w:id="299"/>
      <w:bookmarkEnd w:id="300"/>
    </w:p>
    <w:p w14:paraId="05E3175F">
      <w:pPr>
        <w:spacing w:line="400" w:lineRule="exact"/>
        <w:ind w:left="360"/>
        <w:jc w:val="center"/>
        <w:rPr>
          <w:b/>
          <w:color w:val="auto"/>
          <w:sz w:val="30"/>
          <w:szCs w:val="30"/>
          <w:highlight w:val="none"/>
        </w:rPr>
      </w:pPr>
    </w:p>
    <w:p w14:paraId="2034DBAE">
      <w:pPr>
        <w:spacing w:line="400" w:lineRule="exact"/>
        <w:ind w:left="360"/>
        <w:jc w:val="center"/>
        <w:rPr>
          <w:b/>
          <w:color w:val="auto"/>
          <w:sz w:val="30"/>
          <w:szCs w:val="30"/>
          <w:highlight w:val="none"/>
        </w:rPr>
      </w:pPr>
    </w:p>
    <w:p w14:paraId="0E2FC46C">
      <w:pPr>
        <w:spacing w:line="400" w:lineRule="exact"/>
        <w:jc w:val="center"/>
        <w:outlineLvl w:val="9"/>
        <w:rPr>
          <w:rFonts w:eastAsia="黑体"/>
          <w:b/>
          <w:color w:val="auto"/>
          <w:sz w:val="30"/>
          <w:szCs w:val="30"/>
          <w:highlight w:val="none"/>
        </w:rPr>
      </w:pPr>
      <w:bookmarkStart w:id="301" w:name="_Toc449028946"/>
      <w:bookmarkStart w:id="302" w:name="_Toc19720"/>
      <w:r>
        <w:rPr>
          <w:b/>
          <w:color w:val="auto"/>
          <w:sz w:val="30"/>
          <w:szCs w:val="30"/>
          <w:highlight w:val="none"/>
        </w:rPr>
        <w:t>合同协议书（</w:t>
      </w:r>
      <w:r>
        <w:rPr>
          <w:rFonts w:hint="eastAsia"/>
          <w:b/>
          <w:color w:val="auto"/>
          <w:sz w:val="30"/>
          <w:szCs w:val="30"/>
          <w:highlight w:val="none"/>
        </w:rPr>
        <w:t>参考</w:t>
      </w:r>
      <w:r>
        <w:rPr>
          <w:b/>
          <w:color w:val="auto"/>
          <w:sz w:val="30"/>
          <w:szCs w:val="30"/>
          <w:highlight w:val="none"/>
        </w:rPr>
        <w:t>格式）</w:t>
      </w:r>
      <w:bookmarkEnd w:id="301"/>
      <w:bookmarkEnd w:id="302"/>
    </w:p>
    <w:p w14:paraId="4E8C02B7">
      <w:pPr>
        <w:spacing w:before="120" w:line="480" w:lineRule="auto"/>
        <w:ind w:left="960"/>
        <w:rPr>
          <w:color w:val="auto"/>
          <w:sz w:val="24"/>
          <w:highlight w:val="none"/>
        </w:rPr>
      </w:pPr>
    </w:p>
    <w:p w14:paraId="79F78D71">
      <w:pPr>
        <w:spacing w:before="120" w:line="480" w:lineRule="auto"/>
        <w:ind w:left="960"/>
        <w:rPr>
          <w:color w:val="auto"/>
          <w:sz w:val="24"/>
          <w:highlight w:val="none"/>
        </w:rPr>
      </w:pPr>
    </w:p>
    <w:p w14:paraId="759BA53B">
      <w:pPr>
        <w:spacing w:before="120" w:line="480" w:lineRule="auto"/>
        <w:ind w:left="960"/>
        <w:rPr>
          <w:color w:val="auto"/>
          <w:sz w:val="24"/>
          <w:highlight w:val="none"/>
        </w:rPr>
      </w:pPr>
    </w:p>
    <w:p w14:paraId="51614E45">
      <w:pPr>
        <w:spacing w:before="120" w:line="480" w:lineRule="auto"/>
        <w:ind w:left="960"/>
        <w:rPr>
          <w:color w:val="auto"/>
          <w:sz w:val="24"/>
          <w:highlight w:val="none"/>
        </w:rPr>
      </w:pPr>
    </w:p>
    <w:p w14:paraId="565CE68A">
      <w:pPr>
        <w:spacing w:before="120" w:line="480" w:lineRule="auto"/>
        <w:ind w:left="960"/>
        <w:rPr>
          <w:color w:val="auto"/>
          <w:sz w:val="24"/>
          <w:highlight w:val="none"/>
        </w:rPr>
      </w:pPr>
    </w:p>
    <w:p w14:paraId="2DFC3233">
      <w:pPr>
        <w:spacing w:before="120" w:line="480" w:lineRule="auto"/>
        <w:ind w:left="960"/>
        <w:rPr>
          <w:color w:val="auto"/>
          <w:sz w:val="24"/>
          <w:highlight w:val="none"/>
        </w:rPr>
      </w:pPr>
    </w:p>
    <w:p w14:paraId="283160A9">
      <w:pPr>
        <w:spacing w:before="120" w:line="480" w:lineRule="auto"/>
        <w:ind w:left="960"/>
        <w:rPr>
          <w:color w:val="auto"/>
          <w:sz w:val="24"/>
          <w:highlight w:val="none"/>
        </w:rPr>
      </w:pPr>
    </w:p>
    <w:p w14:paraId="6D527027">
      <w:pPr>
        <w:spacing w:before="120" w:line="480" w:lineRule="auto"/>
        <w:ind w:left="960"/>
        <w:rPr>
          <w:color w:val="auto"/>
          <w:sz w:val="24"/>
          <w:highlight w:val="none"/>
        </w:rPr>
      </w:pPr>
    </w:p>
    <w:p w14:paraId="3E8ECBF8">
      <w:pPr>
        <w:spacing w:before="120" w:line="480" w:lineRule="auto"/>
        <w:rPr>
          <w:color w:val="auto"/>
          <w:sz w:val="24"/>
          <w:szCs w:val="24"/>
          <w:highlight w:val="none"/>
        </w:rPr>
      </w:pPr>
      <w:r>
        <w:rPr>
          <w:color w:val="auto"/>
          <w:sz w:val="24"/>
          <w:szCs w:val="24"/>
          <w:highlight w:val="none"/>
        </w:rPr>
        <w:t xml:space="preserve">项目名称：    </w:t>
      </w:r>
    </w:p>
    <w:p w14:paraId="52F1B2C1">
      <w:pPr>
        <w:spacing w:before="120" w:line="480" w:lineRule="auto"/>
        <w:rPr>
          <w:color w:val="auto"/>
          <w:sz w:val="24"/>
          <w:szCs w:val="24"/>
          <w:highlight w:val="none"/>
        </w:rPr>
      </w:pPr>
      <w:r>
        <w:rPr>
          <w:color w:val="auto"/>
          <w:sz w:val="24"/>
          <w:szCs w:val="24"/>
          <w:highlight w:val="none"/>
        </w:rPr>
        <w:t>项目编号：</w:t>
      </w:r>
    </w:p>
    <w:p w14:paraId="32C991C7">
      <w:pPr>
        <w:spacing w:before="120" w:line="480" w:lineRule="auto"/>
        <w:rPr>
          <w:color w:val="auto"/>
          <w:sz w:val="24"/>
          <w:szCs w:val="24"/>
          <w:highlight w:val="none"/>
          <w:u w:val="single"/>
        </w:rPr>
      </w:pPr>
      <w:r>
        <w:rPr>
          <w:color w:val="auto"/>
          <w:sz w:val="24"/>
          <w:szCs w:val="24"/>
          <w:highlight w:val="none"/>
        </w:rPr>
        <w:t>甲方（采购人）：</w:t>
      </w:r>
      <w:r>
        <w:rPr>
          <w:color w:val="auto"/>
          <w:sz w:val="24"/>
          <w:szCs w:val="24"/>
          <w:highlight w:val="none"/>
          <w:u w:val="single"/>
        </w:rPr>
        <w:t xml:space="preserve">                              </w:t>
      </w:r>
    </w:p>
    <w:p w14:paraId="2F958F3F">
      <w:pPr>
        <w:spacing w:before="120" w:line="480" w:lineRule="auto"/>
        <w:rPr>
          <w:color w:val="auto"/>
          <w:sz w:val="24"/>
          <w:szCs w:val="24"/>
          <w:highlight w:val="none"/>
          <w:u w:val="single"/>
        </w:rPr>
      </w:pPr>
      <w:r>
        <w:rPr>
          <w:color w:val="auto"/>
          <w:sz w:val="24"/>
          <w:szCs w:val="24"/>
          <w:highlight w:val="none"/>
        </w:rPr>
        <w:t>乙方（</w:t>
      </w:r>
      <w:r>
        <w:rPr>
          <w:rFonts w:hint="eastAsia"/>
          <w:color w:val="auto"/>
          <w:sz w:val="24"/>
          <w:szCs w:val="24"/>
          <w:highlight w:val="none"/>
        </w:rPr>
        <w:t>成交</w:t>
      </w:r>
      <w:r>
        <w:rPr>
          <w:color w:val="auto"/>
          <w:sz w:val="24"/>
          <w:szCs w:val="24"/>
          <w:highlight w:val="none"/>
        </w:rPr>
        <w:t>人）：</w:t>
      </w:r>
      <w:r>
        <w:rPr>
          <w:color w:val="auto"/>
          <w:sz w:val="24"/>
          <w:szCs w:val="24"/>
          <w:highlight w:val="none"/>
          <w:u w:val="single"/>
        </w:rPr>
        <w:t xml:space="preserve">                              </w:t>
      </w:r>
    </w:p>
    <w:p w14:paraId="3DD55D7A">
      <w:pPr>
        <w:spacing w:before="120" w:line="480" w:lineRule="auto"/>
        <w:rPr>
          <w:color w:val="auto"/>
          <w:sz w:val="24"/>
          <w:szCs w:val="24"/>
          <w:highlight w:val="none"/>
          <w:u w:val="single"/>
        </w:rPr>
      </w:pPr>
      <w:r>
        <w:rPr>
          <w:color w:val="auto"/>
          <w:sz w:val="24"/>
          <w:szCs w:val="24"/>
          <w:highlight w:val="none"/>
        </w:rPr>
        <w:t>签订地：</w:t>
      </w:r>
      <w:r>
        <w:rPr>
          <w:color w:val="auto"/>
          <w:sz w:val="24"/>
          <w:szCs w:val="24"/>
          <w:highlight w:val="none"/>
          <w:u w:val="single"/>
        </w:rPr>
        <w:t xml:space="preserve">                                     </w:t>
      </w:r>
    </w:p>
    <w:p w14:paraId="7BF37E6B">
      <w:pPr>
        <w:spacing w:before="120" w:line="480" w:lineRule="auto"/>
        <w:rPr>
          <w:color w:val="auto"/>
          <w:sz w:val="24"/>
          <w:szCs w:val="24"/>
          <w:highlight w:val="none"/>
        </w:rPr>
      </w:pPr>
      <w:r>
        <w:rPr>
          <w:color w:val="auto"/>
          <w:sz w:val="24"/>
          <w:szCs w:val="24"/>
          <w:highlight w:val="none"/>
        </w:rPr>
        <w:t>签订日期：</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14:paraId="6C5512AF">
      <w:pPr>
        <w:spacing w:line="440" w:lineRule="exact"/>
        <w:ind w:firstLine="420" w:firstLineChars="200"/>
        <w:jc w:val="left"/>
        <w:rPr>
          <w:color w:val="auto"/>
          <w:szCs w:val="21"/>
          <w:highlight w:val="none"/>
        </w:rPr>
      </w:pPr>
    </w:p>
    <w:p w14:paraId="017B9590">
      <w:pPr>
        <w:spacing w:line="440" w:lineRule="exact"/>
        <w:ind w:firstLine="420" w:firstLineChars="200"/>
        <w:jc w:val="left"/>
        <w:rPr>
          <w:color w:val="auto"/>
          <w:szCs w:val="21"/>
          <w:highlight w:val="none"/>
        </w:rPr>
      </w:pPr>
    </w:p>
    <w:p w14:paraId="5A63229B">
      <w:pPr>
        <w:spacing w:line="440" w:lineRule="exact"/>
        <w:ind w:firstLine="420" w:firstLineChars="200"/>
        <w:jc w:val="left"/>
        <w:rPr>
          <w:color w:val="auto"/>
          <w:szCs w:val="21"/>
          <w:highlight w:val="none"/>
        </w:rPr>
      </w:pPr>
    </w:p>
    <w:p w14:paraId="4153F19B">
      <w:pPr>
        <w:spacing w:line="440" w:lineRule="exact"/>
        <w:jc w:val="left"/>
        <w:rPr>
          <w:color w:val="auto"/>
          <w:szCs w:val="21"/>
          <w:highlight w:val="none"/>
        </w:rPr>
      </w:pPr>
    </w:p>
    <w:p w14:paraId="01DD5F0F">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     （</w:t>
      </w:r>
      <w:r>
        <w:rPr>
          <w:rFonts w:hint="eastAsia" w:ascii="宋体" w:hAnsi="宋体" w:eastAsia="宋体" w:cs="宋体"/>
          <w:color w:val="auto"/>
          <w:sz w:val="24"/>
          <w:szCs w:val="24"/>
          <w:highlight w:val="none"/>
          <w:u w:val="single"/>
          <w:lang w:val="zh-CN"/>
        </w:rPr>
        <w:t>以下简称：甲方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通过竞争性磋商采购招标，经磋商小组评定，确定（成交人名称）（</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）为本项目成交人，现按照采购文件确定的事项签订本合同。</w:t>
      </w:r>
    </w:p>
    <w:p w14:paraId="61C7CF6E">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根据《中华人民共和国民法典》等相关法律法规之规定，按照平等、自愿、公平和诚实信用的原则，经甲方和乙方协商一致，约定以下合同条款，以兹共同遵守、全面履行。</w:t>
      </w:r>
    </w:p>
    <w:p w14:paraId="0755EF99">
      <w:pPr>
        <w:spacing w:line="440" w:lineRule="exact"/>
        <w:ind w:firstLine="482" w:firstLineChars="200"/>
        <w:jc w:val="left"/>
        <w:outlineLvl w:val="9"/>
        <w:rPr>
          <w:rFonts w:hint="eastAsia" w:ascii="宋体" w:hAnsi="宋体" w:eastAsia="宋体" w:cs="宋体"/>
          <w:b/>
          <w:bCs/>
          <w:color w:val="auto"/>
          <w:sz w:val="24"/>
          <w:szCs w:val="24"/>
          <w:highlight w:val="none"/>
          <w:lang w:val="zh-CN"/>
        </w:rPr>
      </w:pPr>
      <w:bookmarkStart w:id="303" w:name="_Toc3029"/>
      <w:bookmarkStart w:id="304" w:name="_Toc24059"/>
      <w:bookmarkStart w:id="305" w:name="_Toc2232"/>
      <w:r>
        <w:rPr>
          <w:rFonts w:hint="eastAsia" w:ascii="宋体" w:hAnsi="宋体" w:eastAsia="宋体" w:cs="宋体"/>
          <w:b/>
          <w:bCs/>
          <w:color w:val="auto"/>
          <w:sz w:val="24"/>
          <w:szCs w:val="24"/>
          <w:highlight w:val="none"/>
          <w:lang w:val="zh-CN"/>
        </w:rPr>
        <w:t>1.1 合同组成部分</w:t>
      </w:r>
      <w:bookmarkEnd w:id="303"/>
      <w:bookmarkEnd w:id="304"/>
      <w:bookmarkEnd w:id="305"/>
    </w:p>
    <w:p w14:paraId="17355494">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A8126B1">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3C03BE5F">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1.1.2成交通知书；</w:t>
      </w:r>
    </w:p>
    <w:p w14:paraId="34537C9D">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1.1.3响应文件（含澄清或者说明文件）；</w:t>
      </w:r>
    </w:p>
    <w:p w14:paraId="7D67A4AE">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1.1.4磋商文件（含澄清或者修改文件）；</w:t>
      </w:r>
    </w:p>
    <w:p w14:paraId="4CEB873C">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4DAFBA5B">
      <w:pPr>
        <w:spacing w:line="440" w:lineRule="exact"/>
        <w:ind w:firstLine="482" w:firstLineChars="200"/>
        <w:jc w:val="left"/>
        <w:outlineLvl w:val="9"/>
        <w:rPr>
          <w:rFonts w:hint="eastAsia" w:ascii="宋体" w:hAnsi="宋体" w:eastAsia="宋体" w:cs="宋体"/>
          <w:b/>
          <w:bCs/>
          <w:color w:val="auto"/>
          <w:sz w:val="24"/>
          <w:szCs w:val="24"/>
          <w:highlight w:val="none"/>
          <w:lang w:val="zh-CN"/>
        </w:rPr>
      </w:pPr>
      <w:bookmarkStart w:id="306" w:name="_Toc2918"/>
      <w:bookmarkStart w:id="307" w:name="_Toc6773"/>
      <w:bookmarkStart w:id="308" w:name="_Toc22185"/>
      <w:bookmarkStart w:id="309" w:name="_Toc18585"/>
      <w:bookmarkStart w:id="310" w:name="_Toc6311"/>
      <w:r>
        <w:rPr>
          <w:rFonts w:hint="eastAsia" w:ascii="宋体" w:hAnsi="宋体" w:eastAsia="宋体" w:cs="宋体"/>
          <w:b/>
          <w:bCs/>
          <w:color w:val="auto"/>
          <w:sz w:val="24"/>
          <w:szCs w:val="24"/>
          <w:highlight w:val="none"/>
          <w:lang w:val="zh-CN"/>
        </w:rPr>
        <w:t xml:space="preserve">1.2 </w:t>
      </w:r>
      <w:bookmarkEnd w:id="306"/>
      <w:bookmarkEnd w:id="307"/>
      <w:bookmarkEnd w:id="308"/>
      <w:bookmarkEnd w:id="309"/>
      <w:bookmarkEnd w:id="310"/>
      <w:r>
        <w:rPr>
          <w:rFonts w:hint="eastAsia" w:ascii="宋体" w:hAnsi="宋体" w:eastAsia="宋体" w:cs="宋体"/>
          <w:b/>
          <w:bCs/>
          <w:color w:val="auto"/>
          <w:sz w:val="24"/>
          <w:szCs w:val="24"/>
          <w:highlight w:val="none"/>
          <w:lang w:val="zh-CN"/>
        </w:rPr>
        <w:t>服务</w:t>
      </w:r>
    </w:p>
    <w:p w14:paraId="545AB483">
      <w:pPr>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eastAsia="zh-CN"/>
        </w:rPr>
        <w:t>滁州学院2026年会峰校区供水管网物探、测绘及基础信息建设服务项目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8533C36">
      <w:pPr>
        <w:spacing w:line="440" w:lineRule="exact"/>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具体详见本项目《</w:t>
      </w:r>
      <w:bookmarkStart w:id="311" w:name="_Toc23292"/>
      <w:bookmarkStart w:id="312" w:name="_Toc21631"/>
      <w:bookmarkStart w:id="313" w:name="_Toc21551"/>
      <w:r>
        <w:rPr>
          <w:rFonts w:hint="eastAsia" w:ascii="宋体" w:hAnsi="宋体" w:eastAsia="宋体" w:cs="宋体"/>
          <w:color w:val="auto"/>
          <w:sz w:val="24"/>
          <w:szCs w:val="24"/>
          <w:highlight w:val="none"/>
          <w:u w:val="single"/>
        </w:rPr>
        <w:t>采购服务需求及技术要求》</w:t>
      </w:r>
    </w:p>
    <w:p w14:paraId="5DD017A1">
      <w:pPr>
        <w:spacing w:line="440" w:lineRule="exact"/>
        <w:ind w:firstLine="482" w:firstLineChars="200"/>
        <w:jc w:val="left"/>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1.3 价款</w:t>
      </w:r>
      <w:bookmarkEnd w:id="311"/>
      <w:bookmarkEnd w:id="312"/>
      <w:bookmarkEnd w:id="313"/>
    </w:p>
    <w:p w14:paraId="0C6510FA">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3E536DC">
      <w:pPr>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14:paraId="092D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center"/>
          </w:tcPr>
          <w:p w14:paraId="1ECE5B25">
            <w:pPr>
              <w:spacing w:line="44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7" w:type="dxa"/>
            <w:noWrap w:val="0"/>
            <w:vAlign w:val="center"/>
          </w:tcPr>
          <w:p w14:paraId="7F396B8E">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noWrap w:val="0"/>
            <w:vAlign w:val="center"/>
          </w:tcPr>
          <w:p w14:paraId="55E1372B">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637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0BCBF7BD">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7" w:type="dxa"/>
            <w:noWrap w:val="0"/>
            <w:vAlign w:val="center"/>
          </w:tcPr>
          <w:p w14:paraId="0B4D75FC">
            <w:pPr>
              <w:spacing w:line="440" w:lineRule="exact"/>
              <w:ind w:firstLine="480" w:firstLineChars="200"/>
              <w:jc w:val="left"/>
              <w:rPr>
                <w:rFonts w:hint="eastAsia" w:ascii="宋体" w:hAnsi="宋体" w:eastAsia="宋体" w:cs="宋体"/>
                <w:color w:val="auto"/>
                <w:sz w:val="24"/>
                <w:szCs w:val="24"/>
                <w:highlight w:val="none"/>
              </w:rPr>
            </w:pPr>
          </w:p>
        </w:tc>
        <w:tc>
          <w:tcPr>
            <w:tcW w:w="3237" w:type="dxa"/>
            <w:gridSpan w:val="2"/>
            <w:noWrap w:val="0"/>
            <w:vAlign w:val="center"/>
          </w:tcPr>
          <w:p w14:paraId="2853F36A">
            <w:pPr>
              <w:spacing w:line="440" w:lineRule="exact"/>
              <w:ind w:firstLine="480" w:firstLineChars="200"/>
              <w:jc w:val="left"/>
              <w:rPr>
                <w:rFonts w:hint="eastAsia" w:ascii="宋体" w:hAnsi="宋体" w:eastAsia="宋体" w:cs="宋体"/>
                <w:color w:val="auto"/>
                <w:sz w:val="24"/>
                <w:szCs w:val="24"/>
                <w:highlight w:val="none"/>
              </w:rPr>
            </w:pPr>
          </w:p>
        </w:tc>
      </w:tr>
      <w:tr w14:paraId="2AB3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1B39A200">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7" w:type="dxa"/>
            <w:noWrap w:val="0"/>
            <w:vAlign w:val="center"/>
          </w:tcPr>
          <w:p w14:paraId="5F2D376D">
            <w:pPr>
              <w:spacing w:line="440" w:lineRule="exact"/>
              <w:ind w:firstLine="480" w:firstLineChars="200"/>
              <w:jc w:val="left"/>
              <w:rPr>
                <w:rFonts w:hint="eastAsia" w:ascii="宋体" w:hAnsi="宋体" w:eastAsia="宋体" w:cs="宋体"/>
                <w:color w:val="auto"/>
                <w:sz w:val="24"/>
                <w:szCs w:val="24"/>
                <w:highlight w:val="none"/>
              </w:rPr>
            </w:pPr>
          </w:p>
        </w:tc>
        <w:tc>
          <w:tcPr>
            <w:tcW w:w="3237" w:type="dxa"/>
            <w:gridSpan w:val="2"/>
            <w:noWrap w:val="0"/>
            <w:vAlign w:val="center"/>
          </w:tcPr>
          <w:p w14:paraId="68E96040">
            <w:pPr>
              <w:spacing w:line="440" w:lineRule="exact"/>
              <w:ind w:firstLine="480" w:firstLineChars="200"/>
              <w:jc w:val="left"/>
              <w:rPr>
                <w:rFonts w:hint="eastAsia" w:ascii="宋体" w:hAnsi="宋体" w:eastAsia="宋体" w:cs="宋体"/>
                <w:color w:val="auto"/>
                <w:sz w:val="24"/>
                <w:szCs w:val="24"/>
                <w:highlight w:val="none"/>
              </w:rPr>
            </w:pPr>
          </w:p>
        </w:tc>
      </w:tr>
      <w:tr w14:paraId="256E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72CEB32B">
            <w:pPr>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7" w:type="dxa"/>
            <w:noWrap w:val="0"/>
            <w:vAlign w:val="center"/>
          </w:tcPr>
          <w:p w14:paraId="1E8EEA86">
            <w:pPr>
              <w:spacing w:line="440" w:lineRule="exact"/>
              <w:ind w:firstLine="480" w:firstLineChars="200"/>
              <w:jc w:val="left"/>
              <w:rPr>
                <w:rFonts w:hint="eastAsia" w:ascii="宋体" w:hAnsi="宋体" w:eastAsia="宋体" w:cs="宋体"/>
                <w:color w:val="auto"/>
                <w:sz w:val="24"/>
                <w:szCs w:val="24"/>
                <w:highlight w:val="none"/>
              </w:rPr>
            </w:pPr>
          </w:p>
        </w:tc>
        <w:tc>
          <w:tcPr>
            <w:tcW w:w="3237" w:type="dxa"/>
            <w:gridSpan w:val="2"/>
            <w:noWrap w:val="0"/>
            <w:vAlign w:val="center"/>
          </w:tcPr>
          <w:p w14:paraId="4AABDCB0">
            <w:pPr>
              <w:spacing w:line="440" w:lineRule="exact"/>
              <w:ind w:firstLine="480" w:firstLineChars="200"/>
              <w:jc w:val="left"/>
              <w:rPr>
                <w:rFonts w:hint="eastAsia" w:ascii="宋体" w:hAnsi="宋体" w:eastAsia="宋体" w:cs="宋体"/>
                <w:color w:val="auto"/>
                <w:sz w:val="24"/>
                <w:szCs w:val="24"/>
                <w:highlight w:val="none"/>
              </w:rPr>
            </w:pPr>
          </w:p>
        </w:tc>
      </w:tr>
      <w:tr w14:paraId="365D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0325F7A6">
            <w:pPr>
              <w:spacing w:line="44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7" w:type="dxa"/>
            <w:noWrap w:val="0"/>
            <w:vAlign w:val="center"/>
          </w:tcPr>
          <w:p w14:paraId="0DF3907F">
            <w:pPr>
              <w:spacing w:line="440" w:lineRule="exact"/>
              <w:ind w:firstLine="480" w:firstLineChars="200"/>
              <w:jc w:val="left"/>
              <w:rPr>
                <w:rFonts w:hint="eastAsia" w:ascii="宋体" w:hAnsi="宋体" w:eastAsia="宋体" w:cs="宋体"/>
                <w:color w:val="auto"/>
                <w:sz w:val="24"/>
                <w:szCs w:val="24"/>
                <w:highlight w:val="none"/>
              </w:rPr>
            </w:pPr>
          </w:p>
        </w:tc>
        <w:tc>
          <w:tcPr>
            <w:tcW w:w="3237" w:type="dxa"/>
            <w:gridSpan w:val="2"/>
            <w:noWrap w:val="0"/>
            <w:vAlign w:val="center"/>
          </w:tcPr>
          <w:p w14:paraId="0AF62F7A">
            <w:pPr>
              <w:spacing w:line="440" w:lineRule="exact"/>
              <w:ind w:firstLine="480" w:firstLineChars="200"/>
              <w:jc w:val="left"/>
              <w:rPr>
                <w:rFonts w:hint="eastAsia" w:ascii="宋体" w:hAnsi="宋体" w:eastAsia="宋体" w:cs="宋体"/>
                <w:color w:val="auto"/>
                <w:sz w:val="24"/>
                <w:szCs w:val="24"/>
                <w:highlight w:val="none"/>
              </w:rPr>
            </w:pPr>
          </w:p>
        </w:tc>
      </w:tr>
      <w:tr w14:paraId="0176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2D277951">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noWrap w:val="0"/>
            <w:vAlign w:val="center"/>
          </w:tcPr>
          <w:p w14:paraId="03ED1620">
            <w:pPr>
              <w:spacing w:line="440" w:lineRule="exact"/>
              <w:ind w:firstLine="480" w:firstLineChars="200"/>
              <w:jc w:val="left"/>
              <w:rPr>
                <w:rFonts w:hint="eastAsia" w:ascii="宋体" w:hAnsi="宋体" w:eastAsia="宋体" w:cs="宋体"/>
                <w:color w:val="auto"/>
                <w:sz w:val="24"/>
                <w:szCs w:val="24"/>
                <w:highlight w:val="none"/>
              </w:rPr>
            </w:pPr>
          </w:p>
        </w:tc>
      </w:tr>
    </w:tbl>
    <w:p w14:paraId="46F6E2E4">
      <w:pPr>
        <w:spacing w:line="440" w:lineRule="exact"/>
        <w:ind w:firstLine="482" w:firstLineChars="200"/>
        <w:jc w:val="left"/>
        <w:outlineLvl w:val="9"/>
        <w:rPr>
          <w:rFonts w:hint="eastAsia" w:ascii="宋体" w:hAnsi="宋体" w:eastAsia="宋体" w:cs="宋体"/>
          <w:b/>
          <w:bCs/>
          <w:color w:val="auto"/>
          <w:sz w:val="24"/>
          <w:szCs w:val="24"/>
          <w:highlight w:val="none"/>
          <w:lang w:val="zh-CN"/>
        </w:rPr>
      </w:pPr>
      <w:bookmarkStart w:id="314" w:name="_Toc10340"/>
      <w:bookmarkStart w:id="315" w:name="_Toc1814"/>
      <w:bookmarkStart w:id="316" w:name="_Toc22618"/>
      <w:r>
        <w:rPr>
          <w:rFonts w:hint="eastAsia" w:ascii="宋体" w:hAnsi="宋体" w:eastAsia="宋体" w:cs="宋体"/>
          <w:b/>
          <w:bCs/>
          <w:color w:val="auto"/>
          <w:sz w:val="24"/>
          <w:szCs w:val="24"/>
          <w:highlight w:val="none"/>
          <w:lang w:val="zh-CN"/>
        </w:rPr>
        <w:t>1.4 付款方式和发票开具方式</w:t>
      </w:r>
      <w:bookmarkEnd w:id="314"/>
      <w:bookmarkEnd w:id="315"/>
      <w:bookmarkEnd w:id="316"/>
    </w:p>
    <w:p w14:paraId="515A2F04">
      <w:pPr>
        <w:pStyle w:val="110"/>
        <w:spacing w:before="0" w:beforeAutospacing="0" w:after="0" w:afterAutospacing="0" w:line="44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lang w:val="zh-CN" w:eastAsia="zh-CN"/>
        </w:rPr>
        <w:t>项目完工并验收合格后付至合同价的100%。</w:t>
      </w:r>
    </w:p>
    <w:p w14:paraId="33394E2C">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满足采购人要求                </w:t>
      </w:r>
      <w:r>
        <w:rPr>
          <w:rFonts w:hint="eastAsia" w:ascii="宋体" w:hAnsi="宋体" w:eastAsia="宋体" w:cs="宋体"/>
          <w:color w:val="auto"/>
          <w:sz w:val="24"/>
          <w:szCs w:val="24"/>
          <w:highlight w:val="none"/>
        </w:rPr>
        <w:t>。</w:t>
      </w:r>
    </w:p>
    <w:p w14:paraId="0CB051C1">
      <w:pPr>
        <w:spacing w:line="440" w:lineRule="exact"/>
        <w:ind w:firstLine="482" w:firstLineChars="200"/>
        <w:jc w:val="left"/>
        <w:outlineLvl w:val="9"/>
        <w:rPr>
          <w:rFonts w:hint="eastAsia" w:ascii="宋体" w:hAnsi="宋体" w:eastAsia="宋体" w:cs="宋体"/>
          <w:b/>
          <w:bCs/>
          <w:color w:val="auto"/>
          <w:sz w:val="24"/>
          <w:szCs w:val="24"/>
          <w:highlight w:val="none"/>
          <w:lang w:val="zh-CN"/>
        </w:rPr>
      </w:pPr>
      <w:bookmarkStart w:id="317" w:name="_Toc2846"/>
      <w:bookmarkStart w:id="318" w:name="_Toc19304"/>
      <w:bookmarkStart w:id="319" w:name="_Toc32071"/>
      <w:r>
        <w:rPr>
          <w:rFonts w:hint="eastAsia" w:ascii="宋体" w:hAnsi="宋体" w:eastAsia="宋体" w:cs="宋体"/>
          <w:b/>
          <w:bCs/>
          <w:color w:val="auto"/>
          <w:sz w:val="24"/>
          <w:szCs w:val="24"/>
          <w:highlight w:val="none"/>
          <w:lang w:val="zh-CN"/>
        </w:rPr>
        <w:t>1.5 服务期限、地点和方式</w:t>
      </w:r>
      <w:bookmarkEnd w:id="317"/>
      <w:bookmarkEnd w:id="318"/>
      <w:bookmarkEnd w:id="319"/>
    </w:p>
    <w:p w14:paraId="5F382C11">
      <w:pPr>
        <w:autoSpaceDE w:val="0"/>
        <w:autoSpaceDN w:val="0"/>
        <w:adjustRightInd w:val="0"/>
        <w:spacing w:line="440" w:lineRule="exact"/>
        <w:ind w:firstLine="436" w:firstLineChars="182"/>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cs="宋体"/>
          <w:color w:val="auto"/>
          <w:sz w:val="24"/>
          <w:szCs w:val="24"/>
          <w:highlight w:val="none"/>
          <w:u w:val="single"/>
          <w:lang w:val="en-US" w:eastAsia="zh-CN"/>
        </w:rPr>
        <w:t>合同签订后，根据采购人通知进场后50个日历天完成本项目所有服务，具体进场时间以采购人通知时间为准</w:t>
      </w:r>
      <w:r>
        <w:rPr>
          <w:rFonts w:hint="eastAsia" w:ascii="宋体" w:hAnsi="宋体" w:eastAsia="宋体" w:cs="宋体"/>
          <w:color w:val="auto"/>
          <w:sz w:val="24"/>
          <w:szCs w:val="24"/>
          <w:highlight w:val="none"/>
          <w:u w:val="single"/>
          <w:lang w:val="en-US" w:eastAsia="zh-CN"/>
        </w:rPr>
        <w:t>。</w:t>
      </w:r>
    </w:p>
    <w:p w14:paraId="02FF0591">
      <w:pPr>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质量保证期及售后服务要求：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基础质保期为2年，供应商可承诺更长质保期，并以承诺</w:t>
      </w:r>
      <w:r>
        <w:rPr>
          <w:rFonts w:hint="eastAsia" w:ascii="宋体" w:hAnsi="宋体" w:eastAsia="宋体" w:cs="宋体"/>
          <w:color w:val="auto"/>
          <w:sz w:val="24"/>
          <w:szCs w:val="24"/>
          <w:highlight w:val="none"/>
          <w:u w:val="single"/>
          <w:lang w:val="en-US" w:eastAsia="zh-CN"/>
        </w:rPr>
        <w:t>期限</w:t>
      </w:r>
      <w:r>
        <w:rPr>
          <w:rFonts w:hint="eastAsia" w:ascii="宋体" w:hAnsi="宋体" w:eastAsia="宋体" w:cs="宋体"/>
          <w:color w:val="auto"/>
          <w:sz w:val="24"/>
          <w:szCs w:val="24"/>
          <w:highlight w:val="none"/>
          <w:u w:val="single"/>
          <w:lang w:eastAsia="zh-CN"/>
        </w:rPr>
        <w:t>为准</w:t>
      </w:r>
      <w:r>
        <w:rPr>
          <w:rFonts w:hint="eastAsia" w:ascii="宋体" w:hAnsi="宋体" w:eastAsia="宋体" w:cs="宋体"/>
          <w:color w:val="auto"/>
          <w:sz w:val="24"/>
          <w:szCs w:val="24"/>
          <w:highlight w:val="none"/>
          <w:u w:val="single"/>
        </w:rPr>
        <w:t>。</w:t>
      </w:r>
    </w:p>
    <w:p w14:paraId="0E3F4C64">
      <w:pPr>
        <w:spacing w:line="440" w:lineRule="exact"/>
        <w:ind w:firstLine="482" w:firstLineChars="200"/>
        <w:jc w:val="left"/>
        <w:outlineLvl w:val="9"/>
        <w:rPr>
          <w:rFonts w:hint="eastAsia" w:ascii="宋体" w:hAnsi="宋体" w:eastAsia="宋体" w:cs="宋体"/>
          <w:b/>
          <w:bCs/>
          <w:color w:val="auto"/>
          <w:sz w:val="24"/>
          <w:szCs w:val="24"/>
          <w:highlight w:val="none"/>
          <w:lang w:val="zh-CN"/>
        </w:rPr>
      </w:pPr>
      <w:bookmarkStart w:id="320" w:name="_Toc27250"/>
      <w:bookmarkStart w:id="321" w:name="_Toc19554"/>
      <w:bookmarkStart w:id="322" w:name="_Toc21423"/>
      <w:r>
        <w:rPr>
          <w:rFonts w:hint="eastAsia" w:ascii="宋体" w:hAnsi="宋体" w:eastAsia="宋体" w:cs="宋体"/>
          <w:b/>
          <w:bCs/>
          <w:color w:val="auto"/>
          <w:sz w:val="24"/>
          <w:szCs w:val="24"/>
          <w:highlight w:val="none"/>
          <w:lang w:val="zh-CN"/>
        </w:rPr>
        <w:t>1.6 违约责任</w:t>
      </w:r>
      <w:bookmarkEnd w:id="320"/>
      <w:bookmarkEnd w:id="321"/>
      <w:bookmarkEnd w:id="322"/>
    </w:p>
    <w:p w14:paraId="7DAEB09B">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186F9423">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04827C72">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38AF4B">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8F1130">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1452BF7">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1.6.6如果出现采购监督管理部门在处理投诉事项期间，书面通知甲方暂停采购活动的情形，或者询问或质疑事项可能影响</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结果的，导致甲方中止履行合同的情形，均不视为甲方违约。</w:t>
      </w:r>
    </w:p>
    <w:p w14:paraId="570F1F55">
      <w:pPr>
        <w:spacing w:line="440" w:lineRule="exact"/>
        <w:ind w:firstLine="482" w:firstLineChars="200"/>
        <w:jc w:val="left"/>
        <w:outlineLvl w:val="9"/>
        <w:rPr>
          <w:rFonts w:hint="eastAsia" w:ascii="宋体" w:hAnsi="宋体" w:eastAsia="宋体" w:cs="宋体"/>
          <w:b/>
          <w:bCs/>
          <w:color w:val="auto"/>
          <w:sz w:val="24"/>
          <w:szCs w:val="24"/>
          <w:highlight w:val="none"/>
          <w:lang w:val="zh-CN"/>
        </w:rPr>
      </w:pPr>
      <w:bookmarkStart w:id="323" w:name="_Toc15583"/>
      <w:bookmarkStart w:id="324" w:name="_Toc28375"/>
      <w:bookmarkStart w:id="325" w:name="_Toc16021"/>
      <w:r>
        <w:rPr>
          <w:rFonts w:hint="eastAsia" w:ascii="宋体" w:hAnsi="宋体" w:eastAsia="宋体" w:cs="宋体"/>
          <w:b/>
          <w:bCs/>
          <w:color w:val="auto"/>
          <w:sz w:val="24"/>
          <w:szCs w:val="24"/>
          <w:highlight w:val="none"/>
          <w:lang w:val="zh-CN"/>
        </w:rPr>
        <w:t>1.7 合同争议的解决</w:t>
      </w:r>
      <w:bookmarkEnd w:id="323"/>
      <w:bookmarkEnd w:id="324"/>
      <w:bookmarkEnd w:id="325"/>
    </w:p>
    <w:p w14:paraId="52E5C8B0">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91C8F20">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1.7.1将争议提交滁州仲裁委员会依申请仲裁时其现行有效的仲裁规则裁决；</w:t>
      </w:r>
    </w:p>
    <w:p w14:paraId="6C04FE13">
      <w:pPr>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1.7.2向甲方（采购人）所在地人民法院起诉。</w:t>
      </w:r>
    </w:p>
    <w:p w14:paraId="6B4C87BD">
      <w:pPr>
        <w:spacing w:line="440" w:lineRule="exact"/>
        <w:ind w:firstLine="437"/>
        <w:outlineLvl w:val="9"/>
        <w:rPr>
          <w:rFonts w:hint="eastAsia" w:ascii="宋体" w:hAnsi="宋体" w:eastAsia="宋体" w:cs="宋体"/>
          <w:b/>
          <w:bCs/>
          <w:color w:val="auto"/>
          <w:sz w:val="24"/>
          <w:szCs w:val="24"/>
          <w:highlight w:val="none"/>
          <w:lang w:val="zh-CN"/>
        </w:rPr>
      </w:pPr>
      <w:bookmarkStart w:id="326" w:name="_Toc15322"/>
      <w:bookmarkStart w:id="327" w:name="_Toc7245"/>
      <w:bookmarkStart w:id="328" w:name="_Toc11173"/>
      <w:r>
        <w:rPr>
          <w:rFonts w:hint="eastAsia" w:ascii="宋体" w:hAnsi="宋体" w:eastAsia="宋体" w:cs="宋体"/>
          <w:b/>
          <w:bCs/>
          <w:color w:val="auto"/>
          <w:sz w:val="24"/>
          <w:szCs w:val="24"/>
          <w:highlight w:val="none"/>
          <w:lang w:val="zh-CN"/>
        </w:rPr>
        <w:t>1.8 合同生效</w:t>
      </w:r>
      <w:bookmarkEnd w:id="326"/>
      <w:bookmarkEnd w:id="327"/>
      <w:bookmarkEnd w:id="328"/>
    </w:p>
    <w:p w14:paraId="6197F530">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本合同自双方当事人盖章时生效。</w:t>
      </w:r>
    </w:p>
    <w:p w14:paraId="16074760">
      <w:pPr>
        <w:autoSpaceDE w:val="0"/>
        <w:autoSpaceDN w:val="0"/>
        <w:adjustRightInd w:val="0"/>
        <w:spacing w:line="440" w:lineRule="exact"/>
        <w:rPr>
          <w:rFonts w:hint="eastAsia" w:ascii="宋体" w:hAnsi="宋体" w:eastAsia="宋体" w:cs="宋体"/>
          <w:color w:val="auto"/>
          <w:sz w:val="24"/>
          <w:szCs w:val="24"/>
          <w:highlight w:val="none"/>
          <w:lang w:val="zh-CN"/>
        </w:rPr>
      </w:pPr>
    </w:p>
    <w:p w14:paraId="5EAB085F">
      <w:pPr>
        <w:autoSpaceDE w:val="0"/>
        <w:autoSpaceDN w:val="0"/>
        <w:adjustRightInd w:val="0"/>
        <w:spacing w:line="44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zh-CN"/>
        </w:rPr>
        <w:t>方：</w:t>
      </w:r>
      <w:r>
        <w:rPr>
          <w:rFonts w:hint="eastAsia" w:ascii="宋体" w:hAnsi="宋体" w:eastAsia="宋体" w:cs="宋体"/>
          <w:bCs/>
          <w:color w:val="auto"/>
          <w:sz w:val="24"/>
          <w:szCs w:val="24"/>
          <w:highlight w:val="none"/>
          <w:u w:val="single"/>
          <w:lang w:val="zh-CN"/>
        </w:rPr>
        <w:t xml:space="preserve">    （单位盖章）     </w:t>
      </w:r>
    </w:p>
    <w:p w14:paraId="50878E1A">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38BAF532">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424D5929">
      <w:pPr>
        <w:spacing w:line="440" w:lineRule="exact"/>
        <w:jc w:val="left"/>
        <w:rPr>
          <w:rFonts w:hint="eastAsia" w:ascii="宋体" w:hAnsi="宋体" w:cs="宋体"/>
          <w:bCs/>
          <w:color w:val="auto"/>
          <w:szCs w:val="21"/>
          <w:highlight w:val="none"/>
        </w:rPr>
      </w:pPr>
      <w:bookmarkStart w:id="329"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10181E23">
      <w:pPr>
        <w:spacing w:before="156" w:beforeLines="50" w:after="156" w:afterLines="50" w:line="440" w:lineRule="exact"/>
        <w:jc w:val="center"/>
        <w:outlineLvl w:val="9"/>
        <w:rPr>
          <w:b/>
          <w:color w:val="auto"/>
          <w:sz w:val="28"/>
          <w:szCs w:val="28"/>
          <w:highlight w:val="none"/>
        </w:rPr>
      </w:pPr>
      <w:r>
        <w:rPr>
          <w:b/>
          <w:color w:val="auto"/>
          <w:szCs w:val="21"/>
          <w:highlight w:val="none"/>
        </w:rPr>
        <w:br w:type="page"/>
      </w:r>
      <w:r>
        <w:rPr>
          <w:b/>
          <w:color w:val="auto"/>
          <w:sz w:val="28"/>
          <w:szCs w:val="28"/>
          <w:highlight w:val="none"/>
        </w:rPr>
        <w:t>第二部分 合同一般条款</w:t>
      </w:r>
      <w:bookmarkEnd w:id="329"/>
    </w:p>
    <w:p w14:paraId="721E62B9">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330" w:name="_Toc487900349"/>
      <w:bookmarkStart w:id="331" w:name="_Toc279701240"/>
      <w:bookmarkStart w:id="332" w:name="_Ref467379094"/>
      <w:bookmarkStart w:id="333" w:name="_Ref467379225"/>
      <w:bookmarkStart w:id="334" w:name="_Ref467378463"/>
      <w:bookmarkStart w:id="335" w:name="_Ref467378404"/>
      <w:bookmarkStart w:id="336" w:name="_Toc259093669"/>
      <w:bookmarkStart w:id="337" w:name="_Ref467379109"/>
      <w:bookmarkStart w:id="338" w:name="_Ref467378499"/>
      <w:bookmarkStart w:id="339" w:name="_Toc28763"/>
      <w:bookmarkStart w:id="340" w:name="_Toc19614"/>
      <w:bookmarkStart w:id="341" w:name="_Ref467379101"/>
      <w:bookmarkStart w:id="342" w:name="_Ref467379205"/>
      <w:bookmarkStart w:id="343" w:name="_Ref467379195"/>
      <w:bookmarkStart w:id="344" w:name="_Ref467379214"/>
      <w:bookmarkStart w:id="345" w:name="_Toc16917"/>
      <w:r>
        <w:rPr>
          <w:rFonts w:hint="eastAsia" w:ascii="宋体" w:hAnsi="宋体" w:eastAsia="宋体" w:cs="宋体"/>
          <w:b/>
          <w:bCs/>
          <w:color w:val="auto"/>
          <w:sz w:val="24"/>
          <w:szCs w:val="24"/>
          <w:highlight w:val="none"/>
          <w:lang w:val="zh-CN"/>
        </w:rPr>
        <w:t>2.1 定义</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F395C3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4771F1F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2.1.1“合同”系指采购人和成交人签订的载明双方当事人所达成的协议，并包括所有的附件、附录和构成合同的其他文件。</w:t>
      </w:r>
    </w:p>
    <w:p w14:paraId="282A828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2.1.2“合同价”系指根据合同约定，成交人在完全履行合同义务后，采购人应支付给成交人的价格。</w:t>
      </w:r>
    </w:p>
    <w:p w14:paraId="4B828ED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2.1.3“服务”系指成交人根据合同约定应向采购人履行的除货物和工程以外的其他采购对象，包括采购人自身需要的服务和向社会公众提供的公共服务。</w:t>
      </w:r>
    </w:p>
    <w:p w14:paraId="6D8ACFFE">
      <w:pPr>
        <w:spacing w:line="440" w:lineRule="exact"/>
        <w:ind w:firstLine="480" w:firstLineChars="200"/>
        <w:rPr>
          <w:rFonts w:hint="eastAsia" w:ascii="宋体" w:hAnsi="宋体" w:eastAsia="宋体" w:cs="宋体"/>
          <w:color w:val="auto"/>
          <w:sz w:val="24"/>
          <w:szCs w:val="24"/>
          <w:highlight w:val="none"/>
        </w:rPr>
      </w:pPr>
      <w:bookmarkStart w:id="346" w:name="_Ref467378840"/>
      <w:r>
        <w:rPr>
          <w:rFonts w:hint="eastAsia" w:ascii="宋体" w:hAnsi="宋体" w:eastAsia="宋体" w:cs="宋体"/>
          <w:color w:val="auto"/>
          <w:sz w:val="24"/>
          <w:szCs w:val="24"/>
          <w:highlight w:val="none"/>
        </w:rPr>
        <w:t>2.1.4“甲方”系指与成交人签署合同的采购人</w:t>
      </w:r>
      <w:bookmarkEnd w:id="346"/>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692FF44B">
      <w:pPr>
        <w:spacing w:line="440" w:lineRule="exact"/>
        <w:ind w:firstLine="480" w:firstLineChars="200"/>
        <w:rPr>
          <w:rFonts w:hint="eastAsia" w:ascii="宋体" w:hAnsi="宋体" w:eastAsia="宋体" w:cs="宋体"/>
          <w:color w:val="auto"/>
          <w:sz w:val="24"/>
          <w:szCs w:val="24"/>
          <w:highlight w:val="none"/>
        </w:rPr>
      </w:pPr>
      <w:bookmarkStart w:id="347" w:name="_Ref467379400"/>
      <w:r>
        <w:rPr>
          <w:rFonts w:hint="eastAsia" w:ascii="宋体" w:hAnsi="宋体" w:eastAsia="宋体" w:cs="宋体"/>
          <w:color w:val="auto"/>
          <w:sz w:val="24"/>
          <w:szCs w:val="24"/>
          <w:highlight w:val="none"/>
        </w:rPr>
        <w:t>2.1.5“乙方”系指根据合同约定提供服务的</w:t>
      </w:r>
      <w:bookmarkEnd w:id="347"/>
      <w:r>
        <w:rPr>
          <w:rFonts w:hint="eastAsia" w:ascii="宋体" w:hAnsi="宋体" w:eastAsia="宋体" w:cs="宋体"/>
          <w:color w:val="auto"/>
          <w:sz w:val="24"/>
          <w:szCs w:val="24"/>
          <w:highlight w:val="none"/>
        </w:rPr>
        <w:t>成交人；两个以上的自然人、法人或者其他组织组成一个联合体，以一个供应商的身份共同参加采购的，联合体各方均应为乙方或者与乙方相同地位的合同当事人，并就合同约定的事项对甲方承担连带责任。</w:t>
      </w:r>
    </w:p>
    <w:p w14:paraId="011044AB">
      <w:pPr>
        <w:spacing w:line="440" w:lineRule="exact"/>
        <w:ind w:firstLine="480" w:firstLineChars="200"/>
        <w:outlineLvl w:val="9"/>
        <w:rPr>
          <w:rFonts w:hint="eastAsia" w:ascii="宋体" w:hAnsi="宋体" w:eastAsia="宋体" w:cs="宋体"/>
          <w:color w:val="auto"/>
          <w:sz w:val="24"/>
          <w:szCs w:val="24"/>
          <w:highlight w:val="none"/>
        </w:rPr>
      </w:pPr>
      <w:bookmarkStart w:id="348" w:name="_Ref467379436"/>
      <w:r>
        <w:rPr>
          <w:rFonts w:hint="eastAsia" w:ascii="宋体" w:hAnsi="宋体" w:eastAsia="宋体" w:cs="宋体"/>
          <w:color w:val="auto"/>
          <w:sz w:val="24"/>
          <w:szCs w:val="24"/>
          <w:highlight w:val="none"/>
        </w:rPr>
        <w:t>2.1.6“现场”系指合同约定提供服务的地点。</w:t>
      </w:r>
      <w:bookmarkEnd w:id="348"/>
    </w:p>
    <w:p w14:paraId="09CB33EB">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349" w:name="_Toc487900350"/>
      <w:bookmarkStart w:id="350" w:name="_Toc27635"/>
      <w:bookmarkStart w:id="351" w:name="_Toc279701241"/>
      <w:bookmarkStart w:id="352" w:name="_Toc13336"/>
      <w:bookmarkStart w:id="353" w:name="_Toc259093670"/>
      <w:bookmarkStart w:id="354" w:name="_Toc32504"/>
      <w:r>
        <w:rPr>
          <w:rFonts w:hint="eastAsia" w:ascii="宋体" w:hAnsi="宋体" w:eastAsia="宋体" w:cs="宋体"/>
          <w:b/>
          <w:bCs/>
          <w:color w:val="auto"/>
          <w:sz w:val="24"/>
          <w:szCs w:val="24"/>
          <w:highlight w:val="none"/>
          <w:lang w:val="zh-CN"/>
        </w:rPr>
        <w:t>2.2 技术规范</w:t>
      </w:r>
      <w:bookmarkEnd w:id="349"/>
      <w:bookmarkEnd w:id="350"/>
      <w:bookmarkEnd w:id="351"/>
      <w:bookmarkEnd w:id="352"/>
      <w:bookmarkEnd w:id="353"/>
      <w:bookmarkEnd w:id="354"/>
    </w:p>
    <w:p w14:paraId="3FC1280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2FD7EDD">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355" w:name="_Toc487900351"/>
      <w:bookmarkStart w:id="356" w:name="_Toc259093671"/>
      <w:bookmarkStart w:id="357" w:name="_Toc9829"/>
      <w:bookmarkStart w:id="358" w:name="_Toc279701242"/>
      <w:bookmarkStart w:id="359" w:name="_Toc31634"/>
      <w:bookmarkStart w:id="360" w:name="_Toc27853"/>
      <w:r>
        <w:rPr>
          <w:rFonts w:hint="eastAsia" w:ascii="宋体" w:hAnsi="宋体" w:eastAsia="宋体" w:cs="宋体"/>
          <w:b/>
          <w:bCs/>
          <w:color w:val="auto"/>
          <w:sz w:val="24"/>
          <w:szCs w:val="24"/>
          <w:highlight w:val="none"/>
          <w:lang w:val="zh-CN"/>
        </w:rPr>
        <w:t>2.3 知识产权</w:t>
      </w:r>
      <w:bookmarkEnd w:id="355"/>
      <w:bookmarkEnd w:id="356"/>
      <w:bookmarkEnd w:id="357"/>
      <w:bookmarkEnd w:id="358"/>
      <w:bookmarkEnd w:id="359"/>
      <w:bookmarkEnd w:id="360"/>
    </w:p>
    <w:p w14:paraId="20F35D9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75C829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2.3.2具有知识产权的计算机软件等货物的知识产权归属，详见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2A03291C">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361" w:name="_Toc487900354"/>
      <w:bookmarkStart w:id="362" w:name="_Ref467379527"/>
      <w:bookmarkStart w:id="363" w:name="_Ref467379536"/>
      <w:bookmarkStart w:id="364" w:name="_Ref467378591"/>
      <w:bookmarkStart w:id="365" w:name="_Ref467379542"/>
      <w:bookmarkStart w:id="366" w:name="_Ref467378541"/>
      <w:bookmarkStart w:id="367" w:name="_Toc259093674"/>
      <w:bookmarkStart w:id="368" w:name="_Toc279701245"/>
      <w:bookmarkStart w:id="369" w:name="_Toc26182"/>
      <w:bookmarkStart w:id="370" w:name="_Toc19074"/>
      <w:bookmarkStart w:id="371" w:name="_Toc30272"/>
      <w:r>
        <w:rPr>
          <w:rFonts w:hint="eastAsia" w:ascii="宋体" w:hAnsi="宋体" w:eastAsia="宋体" w:cs="宋体"/>
          <w:b/>
          <w:bCs/>
          <w:color w:val="auto"/>
          <w:sz w:val="24"/>
          <w:szCs w:val="24"/>
          <w:highlight w:val="none"/>
          <w:lang w:val="zh-CN"/>
        </w:rPr>
        <w:t>2.</w:t>
      </w:r>
      <w:bookmarkEnd w:id="361"/>
      <w:bookmarkEnd w:id="362"/>
      <w:bookmarkEnd w:id="363"/>
      <w:bookmarkEnd w:id="364"/>
      <w:bookmarkEnd w:id="365"/>
      <w:bookmarkEnd w:id="366"/>
      <w:bookmarkEnd w:id="367"/>
      <w:bookmarkEnd w:id="368"/>
      <w:r>
        <w:rPr>
          <w:rFonts w:hint="eastAsia" w:ascii="宋体" w:hAnsi="宋体" w:eastAsia="宋体" w:cs="宋体"/>
          <w:b/>
          <w:bCs/>
          <w:color w:val="auto"/>
          <w:sz w:val="24"/>
          <w:szCs w:val="24"/>
          <w:highlight w:val="none"/>
          <w:lang w:val="zh-CN"/>
        </w:rPr>
        <w:t>4 履约检查和问题反馈</w:t>
      </w:r>
      <w:bookmarkEnd w:id="369"/>
      <w:bookmarkEnd w:id="370"/>
      <w:bookmarkEnd w:id="371"/>
    </w:p>
    <w:p w14:paraId="1A2E455A">
      <w:pPr>
        <w:spacing w:line="440" w:lineRule="exact"/>
        <w:ind w:firstLine="480" w:firstLineChars="200"/>
        <w:rPr>
          <w:rFonts w:hint="eastAsia" w:ascii="宋体" w:hAnsi="宋体" w:eastAsia="宋体" w:cs="宋体"/>
          <w:color w:val="auto"/>
          <w:sz w:val="24"/>
          <w:szCs w:val="24"/>
          <w:highlight w:val="none"/>
        </w:rPr>
      </w:pPr>
      <w:bookmarkStart w:id="372" w:name="_Toc186431854"/>
      <w:bookmarkStart w:id="373" w:name="_Toc487900357"/>
      <w:bookmarkStart w:id="374" w:name="_Toc279701247"/>
      <w:bookmarkStart w:id="375" w:name="_Ref467379807"/>
      <w:bookmarkStart w:id="376" w:name="_Ref467379793"/>
      <w:bookmarkStart w:id="377" w:name="_Toc259093676"/>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F41EE5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372"/>
      <w:bookmarkStart w:id="378" w:name="_Toc186431855"/>
      <w:r>
        <w:rPr>
          <w:rFonts w:hint="eastAsia" w:ascii="宋体" w:hAnsi="宋体" w:eastAsia="宋体" w:cs="宋体"/>
          <w:color w:val="auto"/>
          <w:sz w:val="24"/>
          <w:szCs w:val="24"/>
          <w:highlight w:val="none"/>
        </w:rPr>
        <w:t>。</w:t>
      </w:r>
    </w:p>
    <w:bookmarkEnd w:id="378"/>
    <w:p w14:paraId="41570423">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379" w:name="_Toc7836"/>
      <w:bookmarkStart w:id="380" w:name="_Toc28451"/>
      <w:bookmarkStart w:id="381" w:name="_Toc19219"/>
      <w:r>
        <w:rPr>
          <w:rFonts w:hint="eastAsia" w:ascii="宋体" w:hAnsi="宋体" w:eastAsia="宋体" w:cs="宋体"/>
          <w:b/>
          <w:bCs/>
          <w:color w:val="auto"/>
          <w:sz w:val="24"/>
          <w:szCs w:val="24"/>
          <w:highlight w:val="none"/>
          <w:lang w:val="zh-CN"/>
        </w:rPr>
        <w:t>2.5 结算方式和付款条件</w:t>
      </w:r>
      <w:bookmarkEnd w:id="373"/>
      <w:bookmarkEnd w:id="374"/>
      <w:bookmarkEnd w:id="375"/>
      <w:bookmarkEnd w:id="376"/>
      <w:bookmarkEnd w:id="377"/>
      <w:bookmarkEnd w:id="379"/>
      <w:bookmarkEnd w:id="380"/>
      <w:bookmarkEnd w:id="381"/>
    </w:p>
    <w:p w14:paraId="58A1DA4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02962A48">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382" w:name="_Ref467379852"/>
      <w:bookmarkStart w:id="383" w:name="_Toc487900358"/>
      <w:bookmarkStart w:id="384" w:name="_Ref467379863"/>
      <w:bookmarkStart w:id="385" w:name="_Toc259093677"/>
      <w:bookmarkStart w:id="386" w:name="_Toc279701248"/>
      <w:bookmarkStart w:id="387" w:name="_Ref467379923"/>
      <w:bookmarkStart w:id="388" w:name="_Toc16110"/>
      <w:bookmarkStart w:id="389" w:name="_Toc774"/>
      <w:bookmarkStart w:id="390" w:name="_Toc3225"/>
      <w:r>
        <w:rPr>
          <w:rFonts w:hint="eastAsia" w:ascii="宋体" w:hAnsi="宋体" w:eastAsia="宋体" w:cs="宋体"/>
          <w:b/>
          <w:bCs/>
          <w:color w:val="auto"/>
          <w:sz w:val="24"/>
          <w:szCs w:val="24"/>
          <w:highlight w:val="none"/>
          <w:lang w:val="zh-CN"/>
        </w:rPr>
        <w:t>2.6 技术资料</w:t>
      </w:r>
      <w:bookmarkEnd w:id="382"/>
      <w:bookmarkEnd w:id="383"/>
      <w:bookmarkEnd w:id="384"/>
      <w:bookmarkEnd w:id="385"/>
      <w:bookmarkEnd w:id="386"/>
      <w:bookmarkEnd w:id="387"/>
      <w:r>
        <w:rPr>
          <w:rFonts w:hint="eastAsia" w:ascii="宋体" w:hAnsi="宋体" w:eastAsia="宋体" w:cs="宋体"/>
          <w:b/>
          <w:bCs/>
          <w:color w:val="auto"/>
          <w:sz w:val="24"/>
          <w:szCs w:val="24"/>
          <w:highlight w:val="none"/>
          <w:lang w:val="zh-CN"/>
        </w:rPr>
        <w:t>和保密义务</w:t>
      </w:r>
      <w:bookmarkEnd w:id="388"/>
      <w:bookmarkEnd w:id="389"/>
      <w:bookmarkEnd w:id="390"/>
    </w:p>
    <w:p w14:paraId="4CA7BF2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2.6.1乙方有权依据合同约定和项目需要，向甲方了解有关情况，调阅有关资料等，甲方应予积极配合；</w:t>
      </w:r>
    </w:p>
    <w:p w14:paraId="18C456A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2.6.2乙方有义务妥善保管和保护由甲方提供的前款信息和资料等；</w:t>
      </w:r>
    </w:p>
    <w:p w14:paraId="4E1DF31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FBEA3CD">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391" w:name="_Toc7860"/>
      <w:r>
        <w:rPr>
          <w:rFonts w:hint="eastAsia" w:ascii="宋体" w:hAnsi="宋体" w:eastAsia="宋体" w:cs="宋体"/>
          <w:b/>
          <w:bCs/>
          <w:color w:val="auto"/>
          <w:sz w:val="24"/>
          <w:szCs w:val="24"/>
          <w:highlight w:val="none"/>
          <w:lang w:val="zh-CN"/>
        </w:rPr>
        <w:t>2.7 质量保证</w:t>
      </w:r>
      <w:bookmarkEnd w:id="391"/>
    </w:p>
    <w:p w14:paraId="158A7A5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2.7.1乙方应建立和完善履行合同的内部质量保证体系，并提供相关内部规章制度给甲方，以便甲方进行监督检查；</w:t>
      </w:r>
    </w:p>
    <w:p w14:paraId="4AA91C4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2.7.2乙方应保证履行合同的人员数量和素质、软件和硬件设备的配置、场地、环境和设施等满足全面履行合同的要求，并应接受甲方的监督检查。</w:t>
      </w:r>
    </w:p>
    <w:p w14:paraId="25B6962C">
      <w:pPr>
        <w:spacing w:line="440" w:lineRule="exact"/>
        <w:ind w:firstLine="482" w:firstLineChars="200"/>
        <w:outlineLvl w:val="9"/>
        <w:rPr>
          <w:rFonts w:hint="eastAsia" w:ascii="宋体" w:hAnsi="宋体" w:eastAsia="宋体" w:cs="宋体"/>
          <w:b/>
          <w:color w:val="auto"/>
          <w:sz w:val="24"/>
          <w:szCs w:val="24"/>
          <w:highlight w:val="none"/>
        </w:rPr>
      </w:pPr>
      <w:bookmarkStart w:id="392" w:name="_Toc22267"/>
      <w:r>
        <w:rPr>
          <w:rFonts w:hint="eastAsia" w:ascii="宋体" w:hAnsi="宋体" w:eastAsia="宋体" w:cs="宋体"/>
          <w:b/>
          <w:color w:val="auto"/>
          <w:sz w:val="24"/>
          <w:szCs w:val="24"/>
          <w:highlight w:val="none"/>
        </w:rPr>
        <w:t>2.8 延迟履行</w:t>
      </w:r>
      <w:bookmarkEnd w:id="392"/>
    </w:p>
    <w:p w14:paraId="2ECB62E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2CA4FF8">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393" w:name="_Toc7502"/>
      <w:bookmarkStart w:id="394" w:name="_Ref467378121"/>
      <w:bookmarkStart w:id="395" w:name="_Toc259093683"/>
      <w:bookmarkStart w:id="396" w:name="_Toc487900364"/>
      <w:bookmarkStart w:id="397" w:name="_Toc279701254"/>
      <w:r>
        <w:rPr>
          <w:rFonts w:hint="eastAsia" w:ascii="宋体" w:hAnsi="宋体" w:eastAsia="宋体" w:cs="宋体"/>
          <w:b/>
          <w:bCs/>
          <w:color w:val="auto"/>
          <w:sz w:val="24"/>
          <w:szCs w:val="24"/>
          <w:highlight w:val="none"/>
          <w:lang w:val="zh-CN"/>
        </w:rPr>
        <w:t>2.9 合同变更</w:t>
      </w:r>
      <w:bookmarkEnd w:id="393"/>
    </w:p>
    <w:p w14:paraId="53E5BD9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2.9.1双方当事人协商一致，可以签订书面补充合同的形式变更合同，但不得违背采购文件确定的事项；</w:t>
      </w:r>
    </w:p>
    <w:p w14:paraId="0E1E023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398" w:name="_Toc487900369"/>
      <w:bookmarkStart w:id="399" w:name="_Toc259093688"/>
      <w:bookmarkStart w:id="400" w:name="_Toc279701259"/>
    </w:p>
    <w:p w14:paraId="10DBD624">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401" w:name="_Toc15237"/>
      <w:bookmarkStart w:id="402" w:name="_Toc22955"/>
      <w:bookmarkStart w:id="403" w:name="_Toc10366"/>
      <w:r>
        <w:rPr>
          <w:rFonts w:hint="eastAsia" w:ascii="宋体" w:hAnsi="宋体" w:eastAsia="宋体" w:cs="宋体"/>
          <w:b/>
          <w:bCs/>
          <w:color w:val="auto"/>
          <w:sz w:val="24"/>
          <w:szCs w:val="24"/>
          <w:highlight w:val="none"/>
          <w:lang w:val="zh-CN"/>
        </w:rPr>
        <w:t>2.10 合同转让</w:t>
      </w:r>
      <w:bookmarkEnd w:id="398"/>
      <w:bookmarkEnd w:id="399"/>
      <w:bookmarkEnd w:id="400"/>
      <w:r>
        <w:rPr>
          <w:rFonts w:hint="eastAsia" w:ascii="宋体" w:hAnsi="宋体" w:eastAsia="宋体" w:cs="宋体"/>
          <w:b/>
          <w:bCs/>
          <w:color w:val="auto"/>
          <w:sz w:val="24"/>
          <w:szCs w:val="24"/>
          <w:highlight w:val="none"/>
          <w:lang w:val="zh-CN"/>
        </w:rPr>
        <w:t>和分包</w:t>
      </w:r>
      <w:bookmarkEnd w:id="401"/>
      <w:bookmarkEnd w:id="402"/>
      <w:bookmarkEnd w:id="403"/>
    </w:p>
    <w:p w14:paraId="1BC8EFB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A03EA51">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404" w:name="_Toc13566"/>
      <w:bookmarkStart w:id="405" w:name="_Toc16508"/>
      <w:bookmarkStart w:id="406" w:name="_Toc14066"/>
      <w:r>
        <w:rPr>
          <w:rFonts w:hint="eastAsia" w:ascii="宋体" w:hAnsi="宋体" w:eastAsia="宋体" w:cs="宋体"/>
          <w:b/>
          <w:bCs/>
          <w:color w:val="auto"/>
          <w:sz w:val="24"/>
          <w:szCs w:val="24"/>
          <w:highlight w:val="none"/>
          <w:lang w:val="zh-CN"/>
        </w:rPr>
        <w:t>2.11 不可抗力</w:t>
      </w:r>
      <w:bookmarkEnd w:id="404"/>
      <w:bookmarkEnd w:id="405"/>
      <w:bookmarkEnd w:id="406"/>
    </w:p>
    <w:p w14:paraId="2A65144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12150DA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2.11.2因不可抗力致使不能实现合同目的的，当事人可以解除合同；</w:t>
      </w:r>
    </w:p>
    <w:p w14:paraId="5C5B581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59D2BDF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2743FE45">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407" w:name="_Toc279701255"/>
      <w:bookmarkStart w:id="408" w:name="_Toc6969"/>
      <w:bookmarkStart w:id="409" w:name="_Toc689"/>
      <w:bookmarkStart w:id="410" w:name="_Toc487900365"/>
      <w:bookmarkStart w:id="411" w:name="_Toc259093684"/>
      <w:bookmarkStart w:id="412" w:name="_Toc30676"/>
      <w:r>
        <w:rPr>
          <w:rFonts w:hint="eastAsia" w:ascii="宋体" w:hAnsi="宋体" w:eastAsia="宋体" w:cs="宋体"/>
          <w:b/>
          <w:bCs/>
          <w:color w:val="auto"/>
          <w:sz w:val="24"/>
          <w:szCs w:val="24"/>
          <w:highlight w:val="none"/>
          <w:lang w:val="zh-CN"/>
        </w:rPr>
        <w:t>2.12 税费</w:t>
      </w:r>
      <w:bookmarkEnd w:id="407"/>
      <w:bookmarkEnd w:id="408"/>
      <w:bookmarkEnd w:id="409"/>
      <w:bookmarkEnd w:id="410"/>
      <w:bookmarkEnd w:id="411"/>
      <w:bookmarkEnd w:id="412"/>
    </w:p>
    <w:p w14:paraId="0018A6A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26B56A1D">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413" w:name="_Toc16959"/>
      <w:bookmarkStart w:id="414" w:name="_Toc7102"/>
      <w:bookmarkStart w:id="415" w:name="_Toc279701258"/>
      <w:bookmarkStart w:id="416" w:name="_Toc8298"/>
      <w:bookmarkStart w:id="417" w:name="_Toc259093687"/>
      <w:bookmarkStart w:id="418" w:name="_Toc487900368"/>
      <w:r>
        <w:rPr>
          <w:rFonts w:hint="eastAsia" w:ascii="宋体" w:hAnsi="宋体" w:eastAsia="宋体" w:cs="宋体"/>
          <w:b/>
          <w:bCs/>
          <w:color w:val="auto"/>
          <w:sz w:val="24"/>
          <w:szCs w:val="24"/>
          <w:highlight w:val="none"/>
          <w:lang w:val="zh-CN"/>
        </w:rPr>
        <w:t>2.13 乙方破产</w:t>
      </w:r>
      <w:bookmarkEnd w:id="413"/>
      <w:bookmarkEnd w:id="414"/>
      <w:bookmarkEnd w:id="415"/>
      <w:bookmarkEnd w:id="416"/>
      <w:bookmarkEnd w:id="417"/>
      <w:bookmarkEnd w:id="418"/>
    </w:p>
    <w:p w14:paraId="3D3015E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432F46A">
      <w:pPr>
        <w:spacing w:line="440" w:lineRule="exact"/>
        <w:ind w:firstLine="482" w:firstLineChars="200"/>
        <w:outlineLvl w:val="9"/>
        <w:rPr>
          <w:rFonts w:hint="eastAsia" w:ascii="宋体" w:hAnsi="宋体" w:eastAsia="宋体" w:cs="宋体"/>
          <w:b/>
          <w:color w:val="auto"/>
          <w:sz w:val="24"/>
          <w:szCs w:val="24"/>
          <w:highlight w:val="none"/>
        </w:rPr>
      </w:pPr>
      <w:bookmarkStart w:id="419" w:name="_Toc6134"/>
      <w:bookmarkStart w:id="420" w:name="_Toc15387"/>
      <w:bookmarkStart w:id="421" w:name="_Toc29333"/>
      <w:r>
        <w:rPr>
          <w:rFonts w:hint="eastAsia" w:ascii="宋体" w:hAnsi="宋体" w:eastAsia="宋体" w:cs="宋体"/>
          <w:b/>
          <w:bCs/>
          <w:color w:val="auto"/>
          <w:sz w:val="24"/>
          <w:szCs w:val="24"/>
          <w:highlight w:val="none"/>
          <w:lang w:val="zh-CN"/>
        </w:rPr>
        <w:t>2.14 合同中止、终止</w:t>
      </w:r>
      <w:bookmarkEnd w:id="419"/>
      <w:bookmarkEnd w:id="420"/>
      <w:bookmarkEnd w:id="421"/>
    </w:p>
    <w:p w14:paraId="358F3878">
      <w:pPr>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2.14.1双方当事人不得擅自中止或者终止合同；</w:t>
      </w:r>
    </w:p>
    <w:p w14:paraId="268D9EC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2045001">
      <w:pPr>
        <w:spacing w:line="440" w:lineRule="exact"/>
        <w:ind w:firstLine="482" w:firstLineChars="200"/>
        <w:outlineLvl w:val="9"/>
        <w:rPr>
          <w:rFonts w:hint="eastAsia" w:ascii="宋体" w:hAnsi="宋体" w:eastAsia="宋体" w:cs="宋体"/>
          <w:b/>
          <w:bCs/>
          <w:color w:val="auto"/>
          <w:sz w:val="24"/>
          <w:szCs w:val="24"/>
          <w:highlight w:val="none"/>
          <w:lang w:val="zh-CN"/>
        </w:rPr>
      </w:pPr>
      <w:bookmarkStart w:id="422" w:name="_Toc1125"/>
      <w:bookmarkStart w:id="423" w:name="_Toc6596"/>
      <w:bookmarkStart w:id="424" w:name="_Toc14563"/>
      <w:r>
        <w:rPr>
          <w:rFonts w:hint="eastAsia" w:ascii="宋体" w:hAnsi="宋体" w:eastAsia="宋体" w:cs="宋体"/>
          <w:b/>
          <w:bCs/>
          <w:color w:val="auto"/>
          <w:sz w:val="24"/>
          <w:szCs w:val="24"/>
          <w:highlight w:val="none"/>
          <w:lang w:val="zh-CN"/>
        </w:rPr>
        <w:t>2.15 检验和验收</w:t>
      </w:r>
      <w:bookmarkEnd w:id="422"/>
      <w:bookmarkEnd w:id="423"/>
      <w:bookmarkEnd w:id="424"/>
    </w:p>
    <w:p w14:paraId="2B9BC54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6FBA42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BB07BE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394"/>
    <w:bookmarkEnd w:id="395"/>
    <w:bookmarkEnd w:id="396"/>
    <w:bookmarkEnd w:id="397"/>
    <w:p w14:paraId="4D6C15B9">
      <w:pPr>
        <w:spacing w:line="440" w:lineRule="exact"/>
        <w:ind w:firstLine="482" w:firstLineChars="200"/>
        <w:outlineLvl w:val="9"/>
        <w:rPr>
          <w:rFonts w:hint="eastAsia" w:ascii="宋体" w:hAnsi="宋体" w:eastAsia="宋体" w:cs="宋体"/>
          <w:b/>
          <w:bCs/>
          <w:color w:val="auto"/>
          <w:sz w:val="24"/>
          <w:szCs w:val="24"/>
          <w:highlight w:val="none"/>
        </w:rPr>
      </w:pPr>
      <w:bookmarkStart w:id="425" w:name="_Toc10330"/>
      <w:bookmarkStart w:id="426" w:name="_Toc18567"/>
      <w:bookmarkStart w:id="427" w:name="_Toc259093692"/>
      <w:bookmarkStart w:id="428" w:name="_Toc12773"/>
      <w:bookmarkStart w:id="429" w:name="_Toc487900373"/>
      <w:bookmarkStart w:id="430" w:name="_Toc279701263"/>
      <w:r>
        <w:rPr>
          <w:rFonts w:hint="eastAsia" w:ascii="宋体" w:hAnsi="宋体" w:eastAsia="宋体" w:cs="宋体"/>
          <w:b/>
          <w:bCs/>
          <w:color w:val="auto"/>
          <w:sz w:val="24"/>
          <w:szCs w:val="24"/>
          <w:highlight w:val="none"/>
        </w:rPr>
        <w:t xml:space="preserve">2.16 </w:t>
      </w:r>
      <w:r>
        <w:rPr>
          <w:rFonts w:hint="eastAsia" w:ascii="宋体" w:hAnsi="宋体" w:eastAsia="宋体" w:cs="宋体"/>
          <w:b/>
          <w:bCs/>
          <w:color w:val="auto"/>
          <w:sz w:val="24"/>
          <w:szCs w:val="24"/>
          <w:highlight w:val="none"/>
          <w:lang w:val="zh-CN"/>
        </w:rPr>
        <w:t>合同使用的文字和适用的法律</w:t>
      </w:r>
      <w:bookmarkEnd w:id="425"/>
      <w:bookmarkEnd w:id="426"/>
      <w:bookmarkEnd w:id="427"/>
      <w:bookmarkEnd w:id="428"/>
      <w:bookmarkEnd w:id="429"/>
      <w:bookmarkEnd w:id="430"/>
    </w:p>
    <w:p w14:paraId="5971948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2.16.1合同使用汉语进行书写、变更和解释；</w:t>
      </w:r>
    </w:p>
    <w:p w14:paraId="3065AE9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2.16.2合同适用中华人民共和国法律。</w:t>
      </w:r>
    </w:p>
    <w:p w14:paraId="4A2F6A2F">
      <w:pPr>
        <w:spacing w:line="440" w:lineRule="exact"/>
        <w:ind w:firstLine="482" w:firstLineChars="200"/>
        <w:outlineLvl w:val="9"/>
        <w:rPr>
          <w:rFonts w:hint="eastAsia" w:ascii="宋体" w:hAnsi="宋体" w:eastAsia="宋体" w:cs="宋体"/>
          <w:b/>
          <w:color w:val="auto"/>
          <w:sz w:val="24"/>
          <w:szCs w:val="24"/>
          <w:highlight w:val="none"/>
        </w:rPr>
      </w:pPr>
      <w:bookmarkStart w:id="431" w:name="_Toc6885"/>
      <w:bookmarkStart w:id="432" w:name="_Toc19890"/>
      <w:bookmarkStart w:id="433" w:name="_Toc14001"/>
      <w:r>
        <w:rPr>
          <w:rFonts w:hint="eastAsia" w:ascii="宋体" w:hAnsi="宋体" w:eastAsia="宋体" w:cs="宋体"/>
          <w:b/>
          <w:bCs/>
          <w:color w:val="auto"/>
          <w:sz w:val="24"/>
          <w:szCs w:val="24"/>
          <w:highlight w:val="none"/>
          <w:lang w:val="zh-CN"/>
        </w:rPr>
        <w:t>2.1</w:t>
      </w: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val="zh-CN"/>
        </w:rPr>
        <w:t xml:space="preserve"> 合同份数</w:t>
      </w:r>
      <w:bookmarkEnd w:id="431"/>
      <w:bookmarkEnd w:id="432"/>
      <w:bookmarkEnd w:id="433"/>
    </w:p>
    <w:p w14:paraId="20675AEC">
      <w:pPr>
        <w:spacing w:line="440" w:lineRule="exact"/>
        <w:ind w:firstLine="480" w:firstLineChars="200"/>
        <w:rPr>
          <w:rFonts w:hint="eastAsia" w:ascii="宋体" w:hAnsi="宋体" w:cs="宋体"/>
          <w:color w:val="auto"/>
          <w:szCs w:val="21"/>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267FFB31">
      <w:pPr>
        <w:pageBreakBefore/>
        <w:spacing w:before="156" w:beforeLines="50" w:after="156" w:afterLines="50" w:line="440" w:lineRule="exact"/>
        <w:jc w:val="center"/>
        <w:outlineLvl w:val="9"/>
        <w:rPr>
          <w:b/>
          <w:color w:val="auto"/>
          <w:sz w:val="28"/>
          <w:szCs w:val="28"/>
          <w:highlight w:val="none"/>
        </w:rPr>
      </w:pPr>
      <w:bookmarkStart w:id="434" w:name="_Toc331685784"/>
      <w:r>
        <w:rPr>
          <w:b/>
          <w:color w:val="auto"/>
          <w:sz w:val="28"/>
          <w:szCs w:val="28"/>
          <w:highlight w:val="none"/>
        </w:rPr>
        <w:t>第三部分 合同专用条款</w:t>
      </w:r>
      <w:bookmarkEnd w:id="434"/>
    </w:p>
    <w:p w14:paraId="61061F69">
      <w:pPr>
        <w:spacing w:line="360" w:lineRule="auto"/>
        <w:ind w:firstLine="435"/>
        <w:rPr>
          <w:color w:val="auto"/>
          <w:sz w:val="24"/>
          <w:szCs w:val="24"/>
          <w:highlight w:val="none"/>
        </w:rPr>
      </w:pPr>
      <w:r>
        <w:rPr>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92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03"/>
        <w:gridCol w:w="8256"/>
      </w:tblGrid>
      <w:tr w14:paraId="462C1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jc w:val="center"/>
        </w:trPr>
        <w:tc>
          <w:tcPr>
            <w:tcW w:w="1003" w:type="dxa"/>
            <w:tcBorders>
              <w:left w:val="single" w:color="auto" w:sz="4" w:space="0"/>
            </w:tcBorders>
            <w:noWrap w:val="0"/>
            <w:vAlign w:val="center"/>
          </w:tcPr>
          <w:p w14:paraId="13D32B1E">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256" w:type="dxa"/>
            <w:noWrap w:val="0"/>
            <w:vAlign w:val="center"/>
          </w:tcPr>
          <w:p w14:paraId="3464435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017CC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352D8FC9">
            <w:pPr>
              <w:spacing w:line="560" w:lineRule="exact"/>
              <w:rPr>
                <w:rFonts w:hint="eastAsia" w:ascii="宋体" w:hAnsi="宋体" w:eastAsia="宋体" w:cs="宋体"/>
                <w:color w:val="auto"/>
                <w:sz w:val="24"/>
                <w:szCs w:val="24"/>
                <w:highlight w:val="none"/>
              </w:rPr>
            </w:pPr>
          </w:p>
        </w:tc>
        <w:tc>
          <w:tcPr>
            <w:tcW w:w="8256" w:type="dxa"/>
            <w:noWrap w:val="0"/>
            <w:vAlign w:val="center"/>
          </w:tcPr>
          <w:p w14:paraId="0C47CF73">
            <w:pPr>
              <w:spacing w:line="560" w:lineRule="exact"/>
              <w:rPr>
                <w:rFonts w:hint="eastAsia" w:ascii="宋体" w:hAnsi="宋体" w:eastAsia="宋体" w:cs="宋体"/>
                <w:color w:val="auto"/>
                <w:sz w:val="24"/>
                <w:szCs w:val="24"/>
                <w:highlight w:val="none"/>
              </w:rPr>
            </w:pPr>
          </w:p>
        </w:tc>
      </w:tr>
      <w:tr w14:paraId="54BF2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1A80B7EF">
            <w:pPr>
              <w:spacing w:line="560" w:lineRule="exact"/>
              <w:rPr>
                <w:rFonts w:hint="eastAsia" w:ascii="宋体" w:hAnsi="宋体" w:eastAsia="宋体" w:cs="宋体"/>
                <w:color w:val="auto"/>
                <w:sz w:val="24"/>
                <w:szCs w:val="24"/>
                <w:highlight w:val="none"/>
              </w:rPr>
            </w:pPr>
          </w:p>
        </w:tc>
        <w:tc>
          <w:tcPr>
            <w:tcW w:w="8256" w:type="dxa"/>
            <w:noWrap w:val="0"/>
            <w:vAlign w:val="center"/>
          </w:tcPr>
          <w:p w14:paraId="1BDDBB5F">
            <w:pPr>
              <w:spacing w:line="560" w:lineRule="exact"/>
              <w:rPr>
                <w:rFonts w:hint="eastAsia" w:ascii="宋体" w:hAnsi="宋体" w:eastAsia="宋体" w:cs="宋体"/>
                <w:color w:val="auto"/>
                <w:sz w:val="24"/>
                <w:szCs w:val="24"/>
                <w:highlight w:val="none"/>
              </w:rPr>
            </w:pPr>
          </w:p>
        </w:tc>
      </w:tr>
      <w:tr w14:paraId="4D31D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1B0F22A0">
            <w:pPr>
              <w:spacing w:line="560" w:lineRule="exact"/>
              <w:rPr>
                <w:rFonts w:hint="eastAsia" w:ascii="宋体" w:hAnsi="宋体" w:eastAsia="宋体" w:cs="宋体"/>
                <w:color w:val="auto"/>
                <w:sz w:val="24"/>
                <w:szCs w:val="24"/>
                <w:highlight w:val="none"/>
              </w:rPr>
            </w:pPr>
          </w:p>
        </w:tc>
        <w:tc>
          <w:tcPr>
            <w:tcW w:w="8256" w:type="dxa"/>
            <w:noWrap w:val="0"/>
            <w:vAlign w:val="center"/>
          </w:tcPr>
          <w:p w14:paraId="1A35C8A9">
            <w:pPr>
              <w:spacing w:line="560" w:lineRule="exact"/>
              <w:rPr>
                <w:rFonts w:hint="eastAsia" w:ascii="宋体" w:hAnsi="宋体" w:eastAsia="宋体" w:cs="宋体"/>
                <w:color w:val="auto"/>
                <w:sz w:val="24"/>
                <w:szCs w:val="24"/>
                <w:highlight w:val="none"/>
              </w:rPr>
            </w:pPr>
          </w:p>
        </w:tc>
      </w:tr>
      <w:tr w14:paraId="77437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7FA303AA">
            <w:pPr>
              <w:spacing w:line="560" w:lineRule="exact"/>
              <w:rPr>
                <w:rFonts w:hint="eastAsia" w:ascii="宋体" w:hAnsi="宋体" w:eastAsia="宋体" w:cs="宋体"/>
                <w:color w:val="auto"/>
                <w:sz w:val="24"/>
                <w:szCs w:val="24"/>
                <w:highlight w:val="none"/>
              </w:rPr>
            </w:pPr>
          </w:p>
        </w:tc>
        <w:tc>
          <w:tcPr>
            <w:tcW w:w="8256" w:type="dxa"/>
            <w:noWrap w:val="0"/>
            <w:vAlign w:val="center"/>
          </w:tcPr>
          <w:p w14:paraId="40FD263C">
            <w:pPr>
              <w:spacing w:line="560" w:lineRule="exact"/>
              <w:rPr>
                <w:rFonts w:hint="eastAsia" w:ascii="宋体" w:hAnsi="宋体" w:eastAsia="宋体" w:cs="宋体"/>
                <w:color w:val="auto"/>
                <w:sz w:val="24"/>
                <w:szCs w:val="24"/>
                <w:highlight w:val="none"/>
              </w:rPr>
            </w:pPr>
          </w:p>
        </w:tc>
      </w:tr>
      <w:tr w14:paraId="5FC05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2ED02D03">
            <w:pPr>
              <w:spacing w:line="560" w:lineRule="exact"/>
              <w:rPr>
                <w:rFonts w:hint="eastAsia" w:ascii="宋体" w:hAnsi="宋体" w:eastAsia="宋体" w:cs="宋体"/>
                <w:color w:val="auto"/>
                <w:sz w:val="24"/>
                <w:szCs w:val="24"/>
                <w:highlight w:val="none"/>
              </w:rPr>
            </w:pPr>
          </w:p>
        </w:tc>
        <w:tc>
          <w:tcPr>
            <w:tcW w:w="8256" w:type="dxa"/>
            <w:noWrap w:val="0"/>
            <w:vAlign w:val="center"/>
          </w:tcPr>
          <w:p w14:paraId="106BFB85">
            <w:pPr>
              <w:spacing w:line="560" w:lineRule="exact"/>
              <w:rPr>
                <w:rFonts w:hint="eastAsia" w:ascii="宋体" w:hAnsi="宋体" w:eastAsia="宋体" w:cs="宋体"/>
                <w:color w:val="auto"/>
                <w:sz w:val="24"/>
                <w:szCs w:val="24"/>
                <w:highlight w:val="none"/>
                <w:u w:val="single"/>
              </w:rPr>
            </w:pPr>
          </w:p>
        </w:tc>
      </w:tr>
      <w:tr w14:paraId="17F1C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2070F370">
            <w:pPr>
              <w:spacing w:line="560" w:lineRule="exact"/>
              <w:rPr>
                <w:rFonts w:hint="eastAsia" w:ascii="宋体" w:hAnsi="宋体" w:eastAsia="宋体" w:cs="宋体"/>
                <w:color w:val="auto"/>
                <w:sz w:val="24"/>
                <w:szCs w:val="24"/>
                <w:highlight w:val="none"/>
              </w:rPr>
            </w:pPr>
          </w:p>
        </w:tc>
        <w:tc>
          <w:tcPr>
            <w:tcW w:w="8256" w:type="dxa"/>
            <w:noWrap w:val="0"/>
            <w:vAlign w:val="center"/>
          </w:tcPr>
          <w:p w14:paraId="2130158F">
            <w:pPr>
              <w:spacing w:line="560" w:lineRule="exact"/>
              <w:rPr>
                <w:rFonts w:hint="eastAsia" w:ascii="宋体" w:hAnsi="宋体" w:eastAsia="宋体" w:cs="宋体"/>
                <w:color w:val="auto"/>
                <w:sz w:val="24"/>
                <w:szCs w:val="24"/>
                <w:highlight w:val="none"/>
              </w:rPr>
            </w:pPr>
          </w:p>
        </w:tc>
      </w:tr>
      <w:tr w14:paraId="6FDB7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5D6B1316">
            <w:pPr>
              <w:spacing w:line="560" w:lineRule="exact"/>
              <w:rPr>
                <w:rFonts w:hint="eastAsia" w:ascii="宋体" w:hAnsi="宋体" w:eastAsia="宋体" w:cs="宋体"/>
                <w:color w:val="auto"/>
                <w:sz w:val="24"/>
                <w:szCs w:val="24"/>
                <w:highlight w:val="none"/>
              </w:rPr>
            </w:pPr>
          </w:p>
        </w:tc>
        <w:tc>
          <w:tcPr>
            <w:tcW w:w="8256" w:type="dxa"/>
            <w:noWrap w:val="0"/>
            <w:vAlign w:val="center"/>
          </w:tcPr>
          <w:p w14:paraId="474D123E">
            <w:pPr>
              <w:spacing w:line="560" w:lineRule="exact"/>
              <w:rPr>
                <w:rFonts w:hint="eastAsia" w:ascii="宋体" w:hAnsi="宋体" w:eastAsia="宋体" w:cs="宋体"/>
                <w:color w:val="auto"/>
                <w:sz w:val="24"/>
                <w:szCs w:val="24"/>
                <w:highlight w:val="none"/>
                <w:u w:val="single"/>
              </w:rPr>
            </w:pPr>
          </w:p>
        </w:tc>
      </w:tr>
      <w:tr w14:paraId="7E2AB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51C2E6E6">
            <w:pPr>
              <w:spacing w:line="560" w:lineRule="exact"/>
              <w:rPr>
                <w:rFonts w:hint="eastAsia" w:ascii="宋体" w:hAnsi="宋体" w:eastAsia="宋体" w:cs="宋体"/>
                <w:color w:val="auto"/>
                <w:sz w:val="24"/>
                <w:szCs w:val="24"/>
                <w:highlight w:val="none"/>
              </w:rPr>
            </w:pPr>
          </w:p>
        </w:tc>
        <w:tc>
          <w:tcPr>
            <w:tcW w:w="8256" w:type="dxa"/>
            <w:noWrap w:val="0"/>
            <w:vAlign w:val="center"/>
          </w:tcPr>
          <w:p w14:paraId="7DAF447D">
            <w:pPr>
              <w:spacing w:line="560" w:lineRule="exact"/>
              <w:rPr>
                <w:rFonts w:hint="eastAsia" w:ascii="宋体" w:hAnsi="宋体" w:eastAsia="宋体" w:cs="宋体"/>
                <w:color w:val="auto"/>
                <w:sz w:val="24"/>
                <w:szCs w:val="24"/>
                <w:highlight w:val="none"/>
              </w:rPr>
            </w:pPr>
          </w:p>
        </w:tc>
      </w:tr>
      <w:tr w14:paraId="62225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4D626263">
            <w:pPr>
              <w:spacing w:line="560" w:lineRule="exact"/>
              <w:rPr>
                <w:rFonts w:hint="eastAsia" w:ascii="宋体" w:hAnsi="宋体" w:eastAsia="宋体" w:cs="宋体"/>
                <w:color w:val="auto"/>
                <w:sz w:val="24"/>
                <w:szCs w:val="24"/>
                <w:highlight w:val="none"/>
              </w:rPr>
            </w:pPr>
          </w:p>
        </w:tc>
        <w:tc>
          <w:tcPr>
            <w:tcW w:w="8256" w:type="dxa"/>
            <w:noWrap w:val="0"/>
            <w:vAlign w:val="center"/>
          </w:tcPr>
          <w:p w14:paraId="4E14D650">
            <w:pPr>
              <w:spacing w:line="560" w:lineRule="exact"/>
              <w:rPr>
                <w:rFonts w:hint="eastAsia" w:ascii="宋体" w:hAnsi="宋体" w:eastAsia="宋体" w:cs="宋体"/>
                <w:color w:val="auto"/>
                <w:sz w:val="24"/>
                <w:szCs w:val="24"/>
                <w:highlight w:val="none"/>
              </w:rPr>
            </w:pPr>
          </w:p>
        </w:tc>
      </w:tr>
      <w:tr w14:paraId="44953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03" w:type="dxa"/>
            <w:tcBorders>
              <w:left w:val="single" w:color="auto" w:sz="4" w:space="0"/>
            </w:tcBorders>
            <w:noWrap w:val="0"/>
            <w:vAlign w:val="center"/>
          </w:tcPr>
          <w:p w14:paraId="4F276523">
            <w:pPr>
              <w:spacing w:line="560" w:lineRule="exact"/>
              <w:rPr>
                <w:rFonts w:hint="eastAsia" w:ascii="宋体" w:hAnsi="宋体" w:eastAsia="宋体" w:cs="宋体"/>
                <w:color w:val="auto"/>
                <w:sz w:val="24"/>
                <w:szCs w:val="24"/>
                <w:highlight w:val="none"/>
              </w:rPr>
            </w:pPr>
          </w:p>
        </w:tc>
        <w:tc>
          <w:tcPr>
            <w:tcW w:w="8256" w:type="dxa"/>
            <w:noWrap w:val="0"/>
            <w:vAlign w:val="center"/>
          </w:tcPr>
          <w:p w14:paraId="0C4BBEEE">
            <w:pPr>
              <w:spacing w:line="560" w:lineRule="exact"/>
              <w:rPr>
                <w:rFonts w:hint="eastAsia" w:ascii="宋体" w:hAnsi="宋体" w:eastAsia="宋体" w:cs="宋体"/>
                <w:color w:val="auto"/>
                <w:sz w:val="24"/>
                <w:szCs w:val="24"/>
                <w:highlight w:val="none"/>
              </w:rPr>
            </w:pPr>
          </w:p>
        </w:tc>
      </w:tr>
      <w:tr w14:paraId="56B79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003" w:type="dxa"/>
            <w:tcBorders>
              <w:top w:val="single" w:color="auto" w:sz="6" w:space="0"/>
              <w:left w:val="single" w:color="auto" w:sz="4" w:space="0"/>
              <w:bottom w:val="single" w:color="auto" w:sz="6" w:space="0"/>
              <w:right w:val="single" w:color="auto" w:sz="6" w:space="0"/>
            </w:tcBorders>
            <w:noWrap w:val="0"/>
            <w:vAlign w:val="center"/>
          </w:tcPr>
          <w:p w14:paraId="7FBE09A8">
            <w:pPr>
              <w:spacing w:line="560" w:lineRule="exact"/>
              <w:rPr>
                <w:rFonts w:hint="eastAsia" w:ascii="宋体" w:hAnsi="宋体" w:eastAsia="宋体" w:cs="宋体"/>
                <w:color w:val="auto"/>
                <w:sz w:val="24"/>
                <w:szCs w:val="24"/>
                <w:highlight w:val="none"/>
              </w:rPr>
            </w:pPr>
          </w:p>
        </w:tc>
        <w:tc>
          <w:tcPr>
            <w:tcW w:w="8256" w:type="dxa"/>
            <w:tcBorders>
              <w:top w:val="single" w:color="auto" w:sz="6" w:space="0"/>
              <w:left w:val="single" w:color="auto" w:sz="6" w:space="0"/>
              <w:bottom w:val="single" w:color="auto" w:sz="6" w:space="0"/>
              <w:right w:val="single" w:color="auto" w:sz="6" w:space="0"/>
            </w:tcBorders>
            <w:noWrap w:val="0"/>
            <w:vAlign w:val="center"/>
          </w:tcPr>
          <w:p w14:paraId="38570174">
            <w:pPr>
              <w:spacing w:line="560" w:lineRule="exact"/>
              <w:rPr>
                <w:rFonts w:hint="eastAsia" w:ascii="宋体" w:hAnsi="宋体" w:eastAsia="宋体" w:cs="宋体"/>
                <w:color w:val="auto"/>
                <w:sz w:val="24"/>
                <w:szCs w:val="24"/>
                <w:highlight w:val="none"/>
              </w:rPr>
            </w:pPr>
          </w:p>
        </w:tc>
      </w:tr>
    </w:tbl>
    <w:p w14:paraId="15F83843">
      <w:pPr>
        <w:pStyle w:val="36"/>
        <w:ind w:firstLine="0" w:firstLineChars="0"/>
        <w:outlineLvl w:val="9"/>
        <w:rPr>
          <w:rFonts w:hint="eastAsia" w:ascii="宋体" w:hAnsi="宋体" w:eastAsia="宋体"/>
          <w:b/>
          <w:bCs/>
          <w:color w:val="auto"/>
          <w:sz w:val="28"/>
          <w:szCs w:val="28"/>
          <w:highlight w:val="none"/>
          <w:shd w:val="clear" w:color="auto" w:fill="FFFFFF"/>
        </w:rPr>
      </w:pPr>
    </w:p>
    <w:p w14:paraId="3AE9EB86">
      <w:pPr>
        <w:spacing w:before="156" w:beforeLines="50" w:after="156" w:afterLines="50" w:line="440" w:lineRule="exact"/>
        <w:rPr>
          <w:rFonts w:hint="eastAsia" w:ascii="宋体" w:hAnsi="宋体" w:cs="宋体"/>
          <w:b/>
          <w:color w:val="auto"/>
          <w:sz w:val="32"/>
          <w:szCs w:val="32"/>
          <w:highlight w:val="none"/>
        </w:rPr>
      </w:pPr>
    </w:p>
    <w:p w14:paraId="45F5B464">
      <w:pPr>
        <w:spacing w:before="156" w:beforeLines="50" w:after="156" w:afterLines="50" w:line="440" w:lineRule="exact"/>
        <w:rPr>
          <w:rFonts w:hint="eastAsia" w:ascii="宋体" w:hAnsi="宋体" w:cs="宋体"/>
          <w:b/>
          <w:color w:val="auto"/>
          <w:sz w:val="32"/>
          <w:szCs w:val="32"/>
          <w:highlight w:val="none"/>
        </w:rPr>
      </w:pPr>
    </w:p>
    <w:p w14:paraId="140C262A">
      <w:pPr>
        <w:pStyle w:val="36"/>
        <w:ind w:firstLine="643"/>
        <w:rPr>
          <w:rFonts w:hint="eastAsia" w:cs="宋体"/>
          <w:b/>
          <w:color w:val="auto"/>
          <w:sz w:val="32"/>
          <w:szCs w:val="32"/>
          <w:highlight w:val="none"/>
        </w:rPr>
      </w:pPr>
    </w:p>
    <w:p w14:paraId="2D21CE4C">
      <w:pPr>
        <w:pStyle w:val="26"/>
        <w:rPr>
          <w:rFonts w:hint="eastAsia" w:ascii="宋体" w:hAnsi="宋体" w:eastAsia="宋体" w:cs="宋体"/>
          <w:b/>
          <w:color w:val="auto"/>
          <w:sz w:val="32"/>
          <w:szCs w:val="32"/>
          <w:highlight w:val="none"/>
        </w:rPr>
      </w:pPr>
    </w:p>
    <w:p w14:paraId="41AA7B68">
      <w:pPr>
        <w:rPr>
          <w:rFonts w:hint="eastAsia" w:ascii="宋体" w:hAnsi="宋体" w:cs="宋体"/>
          <w:b/>
          <w:color w:val="auto"/>
          <w:sz w:val="32"/>
          <w:szCs w:val="32"/>
          <w:highlight w:val="none"/>
        </w:rPr>
      </w:pPr>
    </w:p>
    <w:p w14:paraId="1AC9C4CA">
      <w:pPr>
        <w:pStyle w:val="36"/>
        <w:ind w:firstLine="643"/>
        <w:rPr>
          <w:rFonts w:hint="eastAsia" w:cs="宋体"/>
          <w:b/>
          <w:color w:val="auto"/>
          <w:sz w:val="32"/>
          <w:szCs w:val="32"/>
          <w:highlight w:val="none"/>
        </w:rPr>
      </w:pPr>
    </w:p>
    <w:p w14:paraId="39763D4A">
      <w:pPr>
        <w:pStyle w:val="26"/>
        <w:rPr>
          <w:rFonts w:hint="eastAsia" w:ascii="宋体" w:hAnsi="宋体" w:eastAsia="宋体" w:cs="宋体"/>
          <w:b/>
          <w:color w:val="auto"/>
          <w:sz w:val="32"/>
          <w:szCs w:val="32"/>
          <w:highlight w:val="none"/>
        </w:rPr>
      </w:pPr>
    </w:p>
    <w:p w14:paraId="51197B30">
      <w:pPr>
        <w:rPr>
          <w:rFonts w:hint="eastAsia" w:ascii="宋体" w:hAnsi="宋体" w:cs="宋体"/>
          <w:b/>
          <w:color w:val="auto"/>
          <w:sz w:val="32"/>
          <w:szCs w:val="32"/>
          <w:highlight w:val="none"/>
        </w:rPr>
      </w:pPr>
    </w:p>
    <w:p w14:paraId="7F3F2638">
      <w:pPr>
        <w:pStyle w:val="2"/>
        <w:pageBreakBefore/>
        <w:spacing w:before="157" w:beforeLines="50" w:after="157" w:afterLines="50" w:line="440" w:lineRule="exact"/>
        <w:jc w:val="center"/>
        <w:rPr>
          <w:rFonts w:hint="eastAsia" w:ascii="宋体" w:hAnsi="宋体" w:cs="宋体"/>
          <w:b/>
          <w:color w:val="auto"/>
          <w:sz w:val="32"/>
          <w:szCs w:val="32"/>
          <w:highlight w:val="none"/>
        </w:rPr>
      </w:pPr>
      <w:bookmarkStart w:id="435" w:name="_Toc19978"/>
      <w:bookmarkStart w:id="436" w:name="_Toc24935"/>
      <w:r>
        <w:rPr>
          <w:rFonts w:hint="eastAsia" w:ascii="宋体" w:hAnsi="宋体" w:cs="宋体"/>
          <w:b/>
          <w:color w:val="auto"/>
          <w:sz w:val="32"/>
          <w:szCs w:val="32"/>
          <w:highlight w:val="none"/>
          <w:lang w:val="en-US" w:eastAsia="zh-CN"/>
        </w:rPr>
        <w:t>第七章、</w:t>
      </w:r>
      <w:r>
        <w:rPr>
          <w:rFonts w:hint="eastAsia" w:ascii="宋体" w:hAnsi="宋体" w:cs="宋体"/>
          <w:b/>
          <w:color w:val="auto"/>
          <w:sz w:val="32"/>
          <w:szCs w:val="32"/>
          <w:highlight w:val="none"/>
        </w:rPr>
        <w:t>响应文件格式</w:t>
      </w:r>
      <w:bookmarkEnd w:id="296"/>
      <w:bookmarkEnd w:id="435"/>
      <w:bookmarkEnd w:id="436"/>
    </w:p>
    <w:p w14:paraId="10E3927D">
      <w:pPr>
        <w:ind w:firstLine="6860" w:firstLineChars="2450"/>
        <w:rPr>
          <w:rFonts w:hint="eastAsia" w:ascii="宋体" w:hAnsi="宋体" w:cs="宋体"/>
          <w:color w:val="auto"/>
          <w:highlight w:val="none"/>
        </w:rPr>
      </w:pPr>
      <w:r>
        <w:rPr>
          <w:rFonts w:hint="eastAsia" w:ascii="宋体" w:hAnsi="宋体" w:cs="宋体"/>
          <w:color w:val="auto"/>
          <w:sz w:val="28"/>
          <w:szCs w:val="28"/>
          <w:highlight w:val="none"/>
          <w:bdr w:val="single" w:color="auto" w:sz="4" w:space="0"/>
        </w:rPr>
        <w:t>注明正本或副本</w:t>
      </w:r>
    </w:p>
    <w:p w14:paraId="6424A623">
      <w:pPr>
        <w:rPr>
          <w:rFonts w:hint="eastAsia" w:ascii="宋体" w:hAnsi="宋体" w:cs="宋体"/>
          <w:color w:val="auto"/>
          <w:highlight w:val="none"/>
        </w:rPr>
      </w:pPr>
    </w:p>
    <w:p w14:paraId="1FFE28BC">
      <w:pPr>
        <w:jc w:val="center"/>
        <w:rPr>
          <w:rFonts w:hint="eastAsia" w:ascii="宋体" w:hAnsi="宋体" w:cs="宋体"/>
          <w:b/>
          <w:color w:val="auto"/>
          <w:sz w:val="32"/>
          <w:szCs w:val="32"/>
          <w:highlight w:val="none"/>
        </w:rPr>
      </w:pPr>
      <w:bookmarkStart w:id="437" w:name="_Toc477418344"/>
      <w:bookmarkStart w:id="438" w:name="_Toc461056631"/>
      <w:bookmarkStart w:id="439" w:name="_Toc461053086"/>
      <w:bookmarkStart w:id="440" w:name="_Toc519783893"/>
    </w:p>
    <w:p w14:paraId="7CF8361C">
      <w:pPr>
        <w:jc w:val="center"/>
        <w:outlineLvl w:val="9"/>
        <w:rPr>
          <w:rFonts w:hint="eastAsia" w:ascii="宋体" w:hAnsi="宋体" w:cs="宋体"/>
          <w:b/>
          <w:color w:val="auto"/>
          <w:sz w:val="32"/>
          <w:szCs w:val="32"/>
          <w:highlight w:val="none"/>
        </w:rPr>
      </w:pPr>
      <w:bookmarkStart w:id="441" w:name="_Toc15182"/>
      <w:bookmarkStart w:id="442" w:name="_Toc21768"/>
      <w:r>
        <w:rPr>
          <w:rFonts w:hint="eastAsia" w:ascii="宋体" w:hAnsi="宋体" w:cs="宋体"/>
          <w:b/>
          <w:color w:val="auto"/>
          <w:sz w:val="32"/>
          <w:szCs w:val="32"/>
          <w:highlight w:val="none"/>
        </w:rPr>
        <w:t>资格证明文件</w:t>
      </w:r>
      <w:bookmarkEnd w:id="437"/>
      <w:bookmarkEnd w:id="441"/>
      <w:bookmarkEnd w:id="442"/>
    </w:p>
    <w:p w14:paraId="6D93562A">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（响应文件一）</w:t>
      </w:r>
    </w:p>
    <w:p w14:paraId="551DDD42">
      <w:pPr>
        <w:jc w:val="center"/>
        <w:rPr>
          <w:rFonts w:hint="eastAsia" w:ascii="宋体" w:hAnsi="宋体" w:cs="宋体"/>
          <w:color w:val="auto"/>
          <w:sz w:val="44"/>
          <w:szCs w:val="44"/>
          <w:highlight w:val="none"/>
        </w:rPr>
      </w:pPr>
    </w:p>
    <w:p w14:paraId="2A7E1F41">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4848EE83">
      <w:pPr>
        <w:ind w:firstLine="3360" w:firstLineChars="1200"/>
        <w:rPr>
          <w:rFonts w:hint="eastAsia" w:ascii="宋体" w:hAnsi="宋体" w:cs="宋体"/>
          <w:color w:val="auto"/>
          <w:sz w:val="44"/>
          <w:szCs w:val="44"/>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rPr>
        <w:t xml:space="preserve">        </w:t>
      </w:r>
    </w:p>
    <w:p w14:paraId="257625A4">
      <w:pPr>
        <w:rPr>
          <w:rFonts w:hint="eastAsia" w:ascii="宋体" w:hAnsi="宋体" w:cs="宋体"/>
          <w:color w:val="auto"/>
          <w:sz w:val="28"/>
          <w:szCs w:val="28"/>
          <w:highlight w:val="none"/>
        </w:rPr>
      </w:pPr>
    </w:p>
    <w:p w14:paraId="0F030835">
      <w:pPr>
        <w:rPr>
          <w:rFonts w:hint="eastAsia" w:ascii="宋体" w:hAnsi="宋体" w:cs="宋体"/>
          <w:color w:val="auto"/>
          <w:sz w:val="28"/>
          <w:szCs w:val="28"/>
          <w:highlight w:val="none"/>
        </w:rPr>
      </w:pPr>
    </w:p>
    <w:p w14:paraId="2F2E7204">
      <w:pPr>
        <w:rPr>
          <w:rFonts w:hint="eastAsia" w:ascii="宋体" w:hAnsi="宋体" w:cs="宋体"/>
          <w:color w:val="auto"/>
          <w:sz w:val="28"/>
          <w:szCs w:val="28"/>
          <w:highlight w:val="none"/>
        </w:rPr>
      </w:pPr>
    </w:p>
    <w:p w14:paraId="49D546F7">
      <w:pPr>
        <w:rPr>
          <w:rFonts w:hint="eastAsia" w:ascii="宋体" w:hAnsi="宋体" w:cs="宋体"/>
          <w:color w:val="auto"/>
          <w:sz w:val="28"/>
          <w:szCs w:val="28"/>
          <w:highlight w:val="none"/>
        </w:rPr>
      </w:pPr>
    </w:p>
    <w:p w14:paraId="2BE14066">
      <w:pPr>
        <w:rPr>
          <w:rFonts w:hint="eastAsia" w:ascii="宋体" w:hAnsi="宋体" w:cs="宋体"/>
          <w:color w:val="auto"/>
          <w:sz w:val="28"/>
          <w:szCs w:val="28"/>
          <w:highlight w:val="none"/>
        </w:rPr>
      </w:pPr>
    </w:p>
    <w:p w14:paraId="3A995949">
      <w:pPr>
        <w:rPr>
          <w:rFonts w:hint="eastAsia" w:ascii="宋体" w:hAnsi="宋体" w:cs="宋体"/>
          <w:color w:val="auto"/>
          <w:sz w:val="28"/>
          <w:szCs w:val="28"/>
          <w:highlight w:val="none"/>
        </w:rPr>
      </w:pPr>
    </w:p>
    <w:p w14:paraId="02C0BA22">
      <w:pPr>
        <w:rPr>
          <w:rFonts w:hint="eastAsia" w:ascii="宋体" w:hAnsi="宋体" w:cs="宋体"/>
          <w:color w:val="auto"/>
          <w:sz w:val="28"/>
          <w:szCs w:val="28"/>
          <w:highlight w:val="none"/>
        </w:rPr>
      </w:pPr>
    </w:p>
    <w:p w14:paraId="7DB3FC4F">
      <w:pPr>
        <w:rPr>
          <w:rFonts w:hint="eastAsia" w:ascii="宋体" w:hAnsi="宋体" w:cs="宋体"/>
          <w:color w:val="auto"/>
          <w:sz w:val="28"/>
          <w:szCs w:val="28"/>
          <w:highlight w:val="none"/>
        </w:rPr>
      </w:pPr>
    </w:p>
    <w:p w14:paraId="0E70640C">
      <w:pPr>
        <w:rPr>
          <w:rFonts w:hint="eastAsia" w:ascii="宋体" w:hAnsi="宋体" w:cs="宋体"/>
          <w:color w:val="auto"/>
          <w:sz w:val="28"/>
          <w:szCs w:val="28"/>
          <w:highlight w:val="none"/>
        </w:rPr>
      </w:pPr>
    </w:p>
    <w:p w14:paraId="16DBE487">
      <w:pPr>
        <w:rPr>
          <w:rFonts w:hint="eastAsia" w:ascii="宋体" w:hAnsi="宋体" w:cs="宋体"/>
          <w:color w:val="auto"/>
          <w:sz w:val="28"/>
          <w:szCs w:val="28"/>
          <w:highlight w:val="none"/>
        </w:rPr>
      </w:pPr>
    </w:p>
    <w:p w14:paraId="705ABE3E">
      <w:pPr>
        <w:jc w:val="center"/>
        <w:rPr>
          <w:rFonts w:hint="eastAsia" w:ascii="宋体" w:hAnsi="宋体" w:cs="宋体"/>
          <w:color w:val="auto"/>
          <w:sz w:val="28"/>
          <w:szCs w:val="28"/>
          <w:highlight w:val="none"/>
        </w:rPr>
      </w:pPr>
    </w:p>
    <w:p w14:paraId="7497442E">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default" w:ascii="宋体" w:hAnsi="宋体" w:cs="宋体"/>
          <w:color w:val="auto"/>
          <w:sz w:val="28"/>
          <w:szCs w:val="28"/>
          <w:highlight w:val="none"/>
          <w:lang w:val="en-US"/>
        </w:rPr>
        <w:t>盖单位章</w:t>
      </w:r>
      <w:r>
        <w:rPr>
          <w:rFonts w:hint="eastAsia" w:ascii="宋体" w:hAnsi="宋体" w:cs="宋体"/>
          <w:color w:val="auto"/>
          <w:sz w:val="28"/>
          <w:szCs w:val="28"/>
          <w:highlight w:val="none"/>
        </w:rPr>
        <w:t>）</w:t>
      </w:r>
    </w:p>
    <w:p w14:paraId="5DCE97BB">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28BD6981">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1E78ABD6">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5C6BAC38">
      <w:pPr>
        <w:spacing w:line="457" w:lineRule="exact"/>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（1）法定代表人身份证明及其有效身份证（或法定代表人授权委托书及其有效身份证）（格式见附件）；</w:t>
      </w:r>
    </w:p>
    <w:p w14:paraId="4033216C">
      <w:pPr>
        <w:spacing w:line="457" w:lineRule="exact"/>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（2）供应商有效的营业执照（或三证合一的有效证件）；</w:t>
      </w:r>
    </w:p>
    <w:p w14:paraId="1A17C2EB">
      <w:pPr>
        <w:spacing w:line="457" w:lineRule="exact"/>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w:t>
      </w:r>
      <w:r>
        <w:rPr>
          <w:rFonts w:hint="eastAsia" w:ascii="宋体" w:hAnsi="宋体" w:cs="宋体"/>
          <w:color w:val="auto"/>
          <w:sz w:val="24"/>
          <w:szCs w:val="20"/>
          <w:highlight w:val="none"/>
          <w:lang w:val="en-US" w:eastAsia="zh-CN"/>
        </w:rPr>
        <w:t>3</w:t>
      </w:r>
      <w:r>
        <w:rPr>
          <w:rFonts w:hint="eastAsia" w:ascii="宋体" w:hAnsi="宋体" w:cs="宋体"/>
          <w:color w:val="auto"/>
          <w:sz w:val="24"/>
          <w:szCs w:val="20"/>
          <w:highlight w:val="none"/>
        </w:rPr>
        <w:t>）供应商</w:t>
      </w:r>
      <w:r>
        <w:rPr>
          <w:rFonts w:hint="eastAsia" w:ascii="宋体" w:hAnsi="宋体" w:cs="宋体"/>
          <w:color w:val="auto"/>
          <w:sz w:val="24"/>
          <w:szCs w:val="20"/>
          <w:highlight w:val="none"/>
          <w:lang w:val="en-US" w:eastAsia="zh-CN"/>
        </w:rPr>
        <w:t>资质证书</w:t>
      </w:r>
      <w:r>
        <w:rPr>
          <w:rFonts w:hint="eastAsia" w:ascii="宋体" w:hAnsi="宋体" w:cs="宋体"/>
          <w:color w:val="auto"/>
          <w:sz w:val="24"/>
          <w:szCs w:val="20"/>
          <w:highlight w:val="none"/>
        </w:rPr>
        <w:t>；</w:t>
      </w:r>
    </w:p>
    <w:p w14:paraId="2A887D82">
      <w:pPr>
        <w:spacing w:line="457" w:lineRule="exact"/>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w:t>
      </w:r>
      <w:r>
        <w:rPr>
          <w:rFonts w:hint="eastAsia" w:ascii="宋体" w:hAnsi="宋体" w:cs="宋体"/>
          <w:color w:val="auto"/>
          <w:sz w:val="24"/>
          <w:szCs w:val="20"/>
          <w:highlight w:val="none"/>
          <w:lang w:val="en-US" w:eastAsia="zh-CN"/>
        </w:rPr>
        <w:t>4</w:t>
      </w:r>
      <w:r>
        <w:rPr>
          <w:rFonts w:hint="eastAsia" w:ascii="宋体" w:hAnsi="宋体" w:cs="宋体"/>
          <w:color w:val="auto"/>
          <w:sz w:val="24"/>
          <w:szCs w:val="20"/>
          <w:highlight w:val="none"/>
        </w:rPr>
        <w:t>）</w:t>
      </w:r>
      <w:r>
        <w:rPr>
          <w:rFonts w:hint="eastAsia" w:ascii="宋体" w:hAnsi="宋体" w:cs="宋体"/>
          <w:color w:val="auto"/>
          <w:sz w:val="24"/>
          <w:szCs w:val="20"/>
          <w:highlight w:val="none"/>
          <w:lang w:val="en-US" w:eastAsia="zh-CN"/>
        </w:rPr>
        <w:t>项目负责人证书</w:t>
      </w:r>
      <w:r>
        <w:rPr>
          <w:rFonts w:hint="eastAsia" w:ascii="宋体" w:hAnsi="宋体" w:cs="宋体"/>
          <w:color w:val="auto"/>
          <w:sz w:val="24"/>
          <w:szCs w:val="20"/>
          <w:highlight w:val="none"/>
        </w:rPr>
        <w:t>；</w:t>
      </w:r>
    </w:p>
    <w:p w14:paraId="1023D1E2">
      <w:pPr>
        <w:spacing w:line="457" w:lineRule="exact"/>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w:t>
      </w:r>
      <w:r>
        <w:rPr>
          <w:rFonts w:hint="eastAsia" w:ascii="宋体" w:hAnsi="宋体" w:cs="宋体"/>
          <w:color w:val="auto"/>
          <w:sz w:val="24"/>
          <w:szCs w:val="20"/>
          <w:highlight w:val="none"/>
          <w:lang w:val="en-US" w:eastAsia="zh-CN"/>
        </w:rPr>
        <w:t>5</w:t>
      </w:r>
      <w:r>
        <w:rPr>
          <w:rFonts w:hint="eastAsia" w:ascii="宋体" w:hAnsi="宋体" w:cs="宋体"/>
          <w:color w:val="auto"/>
          <w:sz w:val="24"/>
          <w:szCs w:val="20"/>
          <w:highlight w:val="none"/>
        </w:rPr>
        <w:t>）诚信响应承诺书（格式见附件）；</w:t>
      </w:r>
    </w:p>
    <w:p w14:paraId="5EDED779">
      <w:pPr>
        <w:spacing w:line="457" w:lineRule="exact"/>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w:t>
      </w:r>
      <w:r>
        <w:rPr>
          <w:rFonts w:hint="eastAsia" w:ascii="宋体" w:hAnsi="宋体" w:cs="宋体"/>
          <w:color w:val="auto"/>
          <w:sz w:val="24"/>
          <w:szCs w:val="20"/>
          <w:highlight w:val="none"/>
          <w:lang w:val="en-US" w:eastAsia="zh-CN"/>
        </w:rPr>
        <w:t>6</w:t>
      </w:r>
      <w:r>
        <w:rPr>
          <w:rFonts w:hint="eastAsia" w:ascii="宋体" w:hAnsi="宋体" w:cs="宋体"/>
          <w:color w:val="auto"/>
          <w:sz w:val="24"/>
          <w:szCs w:val="20"/>
          <w:highlight w:val="none"/>
        </w:rPr>
        <w:t>）资信评审评分细则中所需要的证明材料；</w:t>
      </w:r>
    </w:p>
    <w:p w14:paraId="332A9CB9">
      <w:pPr>
        <w:spacing w:line="457" w:lineRule="exact"/>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w:t>
      </w:r>
      <w:r>
        <w:rPr>
          <w:rFonts w:hint="eastAsia" w:ascii="宋体" w:hAnsi="宋体" w:cs="宋体"/>
          <w:color w:val="auto"/>
          <w:sz w:val="24"/>
          <w:szCs w:val="20"/>
          <w:highlight w:val="none"/>
          <w:lang w:val="en-US" w:eastAsia="zh-CN"/>
        </w:rPr>
        <w:t>7</w:t>
      </w:r>
      <w:r>
        <w:rPr>
          <w:rFonts w:hint="eastAsia" w:ascii="宋体" w:hAnsi="宋体" w:cs="宋体"/>
          <w:color w:val="auto"/>
          <w:sz w:val="24"/>
          <w:szCs w:val="20"/>
          <w:highlight w:val="none"/>
        </w:rPr>
        <w:t>）供应商针对本项目认为需要提供的其他证明材料。</w:t>
      </w:r>
    </w:p>
    <w:p w14:paraId="5DE6BDA1">
      <w:pPr>
        <w:spacing w:line="360" w:lineRule="auto"/>
        <w:ind w:left="63" w:leftChars="30" w:firstLine="480" w:firstLineChars="200"/>
        <w:rPr>
          <w:rFonts w:hint="eastAsia" w:ascii="宋体" w:hAnsi="宋体" w:cs="宋体"/>
          <w:color w:val="auto"/>
          <w:kern w:val="0"/>
          <w:sz w:val="24"/>
          <w:szCs w:val="20"/>
          <w:highlight w:val="none"/>
        </w:rPr>
      </w:pPr>
    </w:p>
    <w:p w14:paraId="397683A2">
      <w:pPr>
        <w:ind w:left="420" w:hanging="420"/>
        <w:rPr>
          <w:rFonts w:hint="eastAsia" w:ascii="宋体" w:hAnsi="宋体" w:cs="宋体"/>
          <w:color w:val="auto"/>
          <w:sz w:val="24"/>
          <w:highlight w:val="none"/>
        </w:rPr>
      </w:pPr>
    </w:p>
    <w:p w14:paraId="3BFC8BC7">
      <w:pPr>
        <w:ind w:left="420" w:hanging="420"/>
        <w:rPr>
          <w:rFonts w:hint="eastAsia" w:ascii="宋体" w:hAnsi="宋体" w:cs="宋体"/>
          <w:color w:val="auto"/>
          <w:sz w:val="24"/>
          <w:highlight w:val="none"/>
        </w:rPr>
      </w:pPr>
    </w:p>
    <w:p w14:paraId="2A0E30EC">
      <w:pPr>
        <w:spacing w:line="457" w:lineRule="exact"/>
        <w:ind w:firstLine="480" w:firstLineChars="200"/>
        <w:rPr>
          <w:rFonts w:hint="eastAsia" w:ascii="宋体" w:hAnsi="宋体" w:cs="宋体"/>
          <w:color w:val="auto"/>
          <w:sz w:val="24"/>
          <w:szCs w:val="20"/>
          <w:highlight w:val="none"/>
        </w:rPr>
      </w:pPr>
    </w:p>
    <w:p w14:paraId="157E8C5B">
      <w:pPr>
        <w:spacing w:line="457" w:lineRule="exact"/>
        <w:ind w:firstLine="480" w:firstLineChars="200"/>
        <w:rPr>
          <w:rFonts w:hint="eastAsia" w:ascii="宋体" w:hAnsi="宋体" w:cs="宋体"/>
          <w:color w:val="auto"/>
          <w:sz w:val="24"/>
          <w:szCs w:val="20"/>
          <w:highlight w:val="none"/>
        </w:rPr>
      </w:pPr>
    </w:p>
    <w:p w14:paraId="0CCD2B18">
      <w:pPr>
        <w:spacing w:line="457" w:lineRule="exact"/>
        <w:rPr>
          <w:rFonts w:hint="eastAsia" w:ascii="宋体" w:hAnsi="宋体" w:cs="宋体"/>
          <w:color w:val="auto"/>
          <w:sz w:val="24"/>
          <w:szCs w:val="20"/>
          <w:highlight w:val="none"/>
        </w:rPr>
      </w:pPr>
    </w:p>
    <w:p w14:paraId="5D0183F8">
      <w:pPr>
        <w:pStyle w:val="36"/>
        <w:ind w:firstLine="420"/>
        <w:rPr>
          <w:rFonts w:hint="eastAsia" w:cs="宋体"/>
          <w:color w:val="auto"/>
          <w:highlight w:val="none"/>
        </w:rPr>
      </w:pPr>
    </w:p>
    <w:p w14:paraId="4650DBBE">
      <w:pPr>
        <w:pStyle w:val="26"/>
        <w:rPr>
          <w:rFonts w:hint="eastAsia" w:ascii="宋体" w:hAnsi="宋体" w:eastAsia="宋体" w:cs="宋体"/>
          <w:color w:val="auto"/>
          <w:highlight w:val="none"/>
        </w:rPr>
      </w:pPr>
    </w:p>
    <w:p w14:paraId="57D4AD13">
      <w:pPr>
        <w:pStyle w:val="26"/>
        <w:rPr>
          <w:rFonts w:hint="eastAsia" w:ascii="宋体" w:hAnsi="宋体" w:eastAsia="宋体" w:cs="宋体"/>
          <w:color w:val="auto"/>
          <w:highlight w:val="none"/>
        </w:rPr>
      </w:pPr>
    </w:p>
    <w:p w14:paraId="669F2A0B">
      <w:pPr>
        <w:pStyle w:val="26"/>
        <w:rPr>
          <w:rFonts w:hint="eastAsia" w:ascii="宋体" w:hAnsi="宋体" w:eastAsia="宋体" w:cs="宋体"/>
          <w:color w:val="auto"/>
          <w:highlight w:val="none"/>
        </w:rPr>
      </w:pPr>
    </w:p>
    <w:p w14:paraId="7B882A18">
      <w:pPr>
        <w:pStyle w:val="26"/>
        <w:rPr>
          <w:rFonts w:hint="eastAsia" w:ascii="宋体" w:hAnsi="宋体" w:eastAsia="宋体" w:cs="宋体"/>
          <w:color w:val="auto"/>
          <w:highlight w:val="none"/>
        </w:rPr>
      </w:pPr>
    </w:p>
    <w:p w14:paraId="4CABB24E">
      <w:pPr>
        <w:pageBreakBefore/>
        <w:spacing w:line="360" w:lineRule="auto"/>
        <w:jc w:val="center"/>
        <w:outlineLvl w:val="9"/>
        <w:rPr>
          <w:rFonts w:hint="eastAsia" w:ascii="宋体" w:hAnsi="宋体" w:cs="宋体"/>
          <w:b/>
          <w:color w:val="auto"/>
          <w:sz w:val="28"/>
          <w:szCs w:val="28"/>
          <w:highlight w:val="none"/>
        </w:rPr>
      </w:pPr>
      <w:bookmarkStart w:id="443" w:name="_Toc32078"/>
      <w:bookmarkStart w:id="444" w:name="_Toc477418345"/>
      <w:bookmarkStart w:id="445" w:name="_Toc466709895"/>
      <w:bookmarkStart w:id="446" w:name="_Toc17236"/>
      <w:bookmarkStart w:id="447" w:name="_Toc466727476"/>
      <w:r>
        <w:rPr>
          <w:rFonts w:hint="eastAsia" w:ascii="宋体" w:hAnsi="宋体" w:cs="宋体"/>
          <w:b/>
          <w:color w:val="auto"/>
          <w:sz w:val="28"/>
          <w:szCs w:val="28"/>
          <w:highlight w:val="none"/>
        </w:rPr>
        <w:t>附件1、法定代表人身份证明或授权委托书</w:t>
      </w:r>
      <w:bookmarkEnd w:id="443"/>
      <w:bookmarkEnd w:id="444"/>
      <w:bookmarkEnd w:id="445"/>
      <w:bookmarkEnd w:id="446"/>
      <w:bookmarkEnd w:id="447"/>
    </w:p>
    <w:p w14:paraId="1F681C16">
      <w:pPr>
        <w:widowControl/>
        <w:spacing w:before="312" w:beforeLines="100" w:after="312" w:afterLines="100" w:line="480" w:lineRule="exact"/>
        <w:ind w:firstLine="180" w:firstLineChars="75"/>
        <w:jc w:val="center"/>
        <w:textAlignment w:val="baseline"/>
        <w:rPr>
          <w:rFonts w:hint="eastAsia" w:ascii="宋体" w:hAnsi="宋体" w:cs="宋体"/>
          <w:b/>
          <w:color w:val="auto"/>
          <w:kern w:val="0"/>
          <w:sz w:val="24"/>
          <w:highlight w:val="none"/>
          <w:u w:val="none" w:color="000000"/>
        </w:rPr>
      </w:pPr>
      <w:r>
        <w:rPr>
          <w:rFonts w:hint="eastAsia" w:ascii="宋体" w:hAnsi="宋体" w:cs="宋体"/>
          <w:color w:val="auto"/>
          <w:kern w:val="0"/>
          <w:sz w:val="24"/>
          <w:highlight w:val="none"/>
          <w:u w:val="none" w:color="000000"/>
        </w:rPr>
        <w:t>法定代表人身份证明</w:t>
      </w:r>
    </w:p>
    <w:p w14:paraId="64B69AF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81649D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B694D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CF42A0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6830E6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75E0773">
      <w:pPr>
        <w:spacing w:line="480" w:lineRule="exact"/>
        <w:ind w:firstLine="1440" w:firstLineChars="200"/>
        <w:rPr>
          <w:rFonts w:hint="eastAsia" w:ascii="宋体" w:hAnsi="宋体" w:cs="宋体"/>
          <w:color w:val="auto"/>
          <w:sz w:val="24"/>
          <w:highlight w:val="non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w:t>
      </w:r>
    </w:p>
    <w:p w14:paraId="25D56AA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w:t>
      </w:r>
    </w:p>
    <w:p w14:paraId="412026AE">
      <w:pPr>
        <w:spacing w:line="48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14:paraId="21556D6E">
      <w:pPr>
        <w:spacing w:line="48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附：法定代表人身份证</w:t>
      </w:r>
      <w:r>
        <w:rPr>
          <w:rFonts w:hint="eastAsia" w:ascii="宋体" w:hAnsi="宋体" w:cs="宋体"/>
          <w:color w:val="auto"/>
          <w:sz w:val="24"/>
          <w:highlight w:val="none"/>
          <w:lang w:val="en-US" w:eastAsia="zh-CN"/>
        </w:rPr>
        <w:t>复印件</w:t>
      </w:r>
    </w:p>
    <w:p w14:paraId="6602983E">
      <w:pPr>
        <w:spacing w:line="360" w:lineRule="auto"/>
        <w:ind w:firstLine="3480" w:firstLineChars="1450"/>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5F4198AE">
      <w:pPr>
        <w:spacing w:line="360" w:lineRule="auto"/>
        <w:rPr>
          <w:rFonts w:hint="eastAsia" w:ascii="宋体" w:hAnsi="宋体" w:cs="宋体"/>
          <w:color w:val="auto"/>
          <w:szCs w:val="20"/>
          <w:highlight w:val="none"/>
        </w:rPr>
      </w:pPr>
      <w:r>
        <w:rPr>
          <w:rFonts w:hint="eastAsia" w:ascii="宋体" w:hAnsi="宋体" w:cs="宋体"/>
          <w:color w:val="auto"/>
          <w:sz w:val="24"/>
          <w:highlight w:val="none"/>
        </w:rPr>
        <w:t xml:space="preserve">                                        年    月     日</w:t>
      </w:r>
    </w:p>
    <w:p w14:paraId="16B9BF0D">
      <w:pPr>
        <w:widowControl/>
        <w:spacing w:before="312" w:beforeLines="100" w:after="312" w:afterLines="100" w:line="480" w:lineRule="exact"/>
        <w:ind w:firstLine="180" w:firstLineChars="75"/>
        <w:jc w:val="center"/>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授权委托书</w:t>
      </w:r>
    </w:p>
    <w:p w14:paraId="55ABCC6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本人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”（项目名称、编号）磋商文件，全权处理与该项目磋商、评审答疑、签订合同以及与合同执行有关的一切事务，其法律后果由我方承担。</w:t>
      </w:r>
    </w:p>
    <w:p w14:paraId="25A1DD1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委托期限：                                </w:t>
      </w:r>
    </w:p>
    <w:p w14:paraId="71DB6AD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3B414A27">
      <w:pPr>
        <w:spacing w:line="48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附：法定代表人身份证和委托代理人身份证</w:t>
      </w:r>
      <w:r>
        <w:rPr>
          <w:rFonts w:hint="eastAsia" w:ascii="宋体" w:hAnsi="宋体" w:cs="宋体"/>
          <w:color w:val="auto"/>
          <w:sz w:val="24"/>
          <w:highlight w:val="none"/>
          <w:lang w:val="en-US" w:eastAsia="zh-CN"/>
        </w:rPr>
        <w:t>复印件</w:t>
      </w:r>
    </w:p>
    <w:p w14:paraId="47B37D9F">
      <w:pPr>
        <w:spacing w:line="360" w:lineRule="auto"/>
        <w:ind w:left="63" w:leftChars="30" w:firstLine="420" w:firstLineChars="200"/>
        <w:rPr>
          <w:rFonts w:hint="eastAsia" w:ascii="宋体" w:hAnsi="宋体" w:cs="宋体"/>
          <w:color w:val="auto"/>
          <w:kern w:val="0"/>
          <w:szCs w:val="20"/>
          <w:highlight w:val="none"/>
        </w:rPr>
      </w:pPr>
    </w:p>
    <w:p w14:paraId="53F97768">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供应商（盖单位章）：</w:t>
      </w:r>
    </w:p>
    <w:p w14:paraId="52873702">
      <w:pPr>
        <w:spacing w:line="480" w:lineRule="exact"/>
        <w:ind w:left="1676" w:leftChars="798"/>
        <w:rPr>
          <w:rFonts w:hint="eastAsia" w:ascii="宋体" w:hAnsi="宋体" w:cs="宋体"/>
          <w:color w:val="auto"/>
          <w:sz w:val="24"/>
          <w:highlight w:val="none"/>
        </w:rPr>
      </w:pPr>
      <w:r>
        <w:rPr>
          <w:rFonts w:hint="eastAsia" w:ascii="宋体" w:hAnsi="宋体" w:cs="宋体"/>
          <w:color w:val="auto"/>
          <w:sz w:val="24"/>
          <w:highlight w:val="none"/>
        </w:rPr>
        <w:t>法定代表人（身份证号码）：                      （签字或盖章）</w:t>
      </w:r>
    </w:p>
    <w:p w14:paraId="2C33C568">
      <w:pPr>
        <w:spacing w:line="480" w:lineRule="exact"/>
        <w:ind w:left="1676" w:leftChars="798"/>
        <w:rPr>
          <w:rFonts w:hint="eastAsia" w:ascii="宋体" w:hAnsi="宋体" w:cs="宋体"/>
          <w:color w:val="auto"/>
          <w:sz w:val="24"/>
          <w:highlight w:val="none"/>
        </w:rPr>
      </w:pPr>
      <w:r>
        <w:rPr>
          <w:rFonts w:hint="eastAsia" w:ascii="宋体" w:hAnsi="宋体" w:cs="宋体"/>
          <w:color w:val="auto"/>
          <w:sz w:val="24"/>
          <w:highlight w:val="none"/>
        </w:rPr>
        <w:t>委托代理人（身份证号码）：                      （签字或盖章）</w:t>
      </w:r>
    </w:p>
    <w:p w14:paraId="09A25F23">
      <w:pPr>
        <w:spacing w:line="480" w:lineRule="exact"/>
        <w:ind w:firstLine="2820" w:firstLineChars="1175"/>
        <w:jc w:val="right"/>
        <w:rPr>
          <w:rFonts w:hint="eastAsia" w:ascii="宋体" w:hAnsi="宋体" w:cs="宋体"/>
          <w:b/>
          <w:color w:val="auto"/>
          <w:sz w:val="28"/>
          <w:szCs w:val="28"/>
          <w:highlight w:val="none"/>
        </w:rPr>
      </w:pPr>
      <w:r>
        <w:rPr>
          <w:rFonts w:hint="eastAsia" w:ascii="宋体" w:hAnsi="宋体" w:cs="宋体"/>
          <w:color w:val="auto"/>
          <w:sz w:val="24"/>
          <w:szCs w:val="20"/>
          <w:highlight w:val="none"/>
        </w:rPr>
        <w:t xml:space="preserve">              年    月    日</w:t>
      </w:r>
    </w:p>
    <w:p w14:paraId="5759928C">
      <w:pPr>
        <w:spacing w:line="400" w:lineRule="exact"/>
        <w:ind w:firstLine="562" w:firstLineChars="200"/>
        <w:rPr>
          <w:rFonts w:hint="eastAsia" w:ascii="宋体" w:hAnsi="宋体" w:cs="宋体"/>
          <w:b/>
          <w:color w:val="auto"/>
          <w:sz w:val="28"/>
          <w:szCs w:val="28"/>
          <w:highlight w:val="none"/>
        </w:rPr>
      </w:pPr>
    </w:p>
    <w:p w14:paraId="4EF50B0D">
      <w:pPr>
        <w:spacing w:line="360" w:lineRule="auto"/>
        <w:jc w:val="center"/>
        <w:outlineLvl w:val="9"/>
        <w:rPr>
          <w:rFonts w:hint="eastAsia" w:ascii="宋体" w:hAnsi="宋体" w:cs="宋体"/>
          <w:b/>
          <w:color w:val="auto"/>
          <w:sz w:val="28"/>
          <w:szCs w:val="28"/>
          <w:highlight w:val="none"/>
        </w:rPr>
      </w:pPr>
      <w:bookmarkStart w:id="448" w:name="_Toc19090"/>
      <w:bookmarkStart w:id="449" w:name="_Toc13606"/>
      <w:r>
        <w:rPr>
          <w:rFonts w:hint="eastAsia" w:ascii="宋体" w:hAnsi="宋体" w:cs="宋体"/>
          <w:b/>
          <w:color w:val="auto"/>
          <w:sz w:val="28"/>
          <w:szCs w:val="28"/>
          <w:highlight w:val="none"/>
        </w:rPr>
        <w:t>附件2、诚信响应承诺书</w:t>
      </w:r>
      <w:bookmarkEnd w:id="448"/>
      <w:bookmarkEnd w:id="449"/>
    </w:p>
    <w:p w14:paraId="2B995E6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本人以企业法定代表人的身份郑重承诺：</w:t>
      </w:r>
    </w:p>
    <w:p w14:paraId="5AF9BC3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一、将遵循公开、公正和诚实信用的原则自愿参加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项目的投标，所提供的一切材料都是真实、有效、合法的；</w:t>
      </w:r>
    </w:p>
    <w:p w14:paraId="0AEECCC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单位郑重声明，我公司具有良好的商业信誉和健全的财务会计制度，具有履行合同所必需的设备和专业技术能力，具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36FFC90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三、不出借、转让资质证书，不让他人挂靠投标，不以他人名义投标或者以其他方式弄虚作假，骗取</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w:t>
      </w:r>
    </w:p>
    <w:p w14:paraId="53C0D4B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四、不与其他供应商相互串通投标报价，不排挤其他供应商的公平竞争、损害采购人的合法权益；</w:t>
      </w:r>
    </w:p>
    <w:p w14:paraId="5773C48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五、不与采购人、招标代理机构或其他供应商串通投标，损害国家利益、社会公共利益或者他人的合法权益；</w:t>
      </w:r>
    </w:p>
    <w:p w14:paraId="3C8035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六、我公司没有下列情形： 1、被人民法院列入失信被执行人的；2、供应商或其法定代表人或拟派项目负责人前三年有行贿犯罪行为的；3、被市场监督管理部门列入经营异常名录或者严重违法企业名单的；4、被税收部门列入重大税收违法案件当事人的；5、被采购监管部门列入采购严重违法失信行为记录名单的；6、在“信用中国”网站上披露仍在公示期的严重失信行为的；7、被滁州市县两级行业主管部门及</w:t>
      </w:r>
      <w:r>
        <w:rPr>
          <w:rFonts w:hint="eastAsia" w:ascii="宋体" w:hAnsi="宋体" w:cs="宋体"/>
          <w:color w:val="auto"/>
          <w:szCs w:val="21"/>
          <w:highlight w:val="none"/>
          <w:lang w:eastAsia="zh-CN"/>
        </w:rPr>
        <w:t>公共资源交易监督管理部门</w:t>
      </w:r>
      <w:r>
        <w:rPr>
          <w:rFonts w:hint="eastAsia" w:ascii="宋体" w:hAnsi="宋体" w:cs="宋体"/>
          <w:color w:val="auto"/>
          <w:szCs w:val="21"/>
          <w:highlight w:val="none"/>
        </w:rPr>
        <w:t>禁止在一定期限内参加采购活动且在禁止期限内的；8、被滁州市县两级</w:t>
      </w:r>
      <w:r>
        <w:rPr>
          <w:rFonts w:hint="eastAsia" w:ascii="宋体" w:hAnsi="宋体" w:cs="宋体"/>
          <w:color w:val="auto"/>
          <w:szCs w:val="21"/>
          <w:highlight w:val="none"/>
          <w:lang w:eastAsia="zh-CN"/>
        </w:rPr>
        <w:t>公共资源交易监督管理部门</w:t>
      </w:r>
      <w:r>
        <w:rPr>
          <w:rFonts w:hint="eastAsia" w:ascii="宋体" w:hAnsi="宋体" w:cs="宋体"/>
          <w:color w:val="auto"/>
          <w:szCs w:val="21"/>
          <w:highlight w:val="none"/>
        </w:rPr>
        <w:t>记入不良行为记录或者信用信息记录，且在披露期内的；</w:t>
      </w:r>
    </w:p>
    <w:p w14:paraId="236EA9B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七、严格遵守开标现场纪律，服从监管人员管理；</w:t>
      </w:r>
    </w:p>
    <w:p w14:paraId="09C28F4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八、保证</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后不转包，若有分包征得采购人同意；</w:t>
      </w:r>
    </w:p>
    <w:p w14:paraId="165E050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九、保证</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之后，按照响应文件要求提供相关后续服务；</w:t>
      </w:r>
    </w:p>
    <w:p w14:paraId="14119F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十、保证企业及所属相关人员在本次投标中无行贿等犯罪行为；</w:t>
      </w:r>
    </w:p>
    <w:p w14:paraId="5CE08B1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6A8CE1A">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十二、</w:t>
      </w:r>
      <w:r>
        <w:rPr>
          <w:rFonts w:hint="eastAsia" w:ascii="宋体" w:hAnsi="宋体" w:cs="宋体"/>
          <w:b/>
          <w:bCs/>
          <w:color w:val="auto"/>
          <w:szCs w:val="21"/>
          <w:highlight w:val="none"/>
        </w:rPr>
        <w:t>与我单位负责人为同一人、存在直接控股及管理关系的单位如下表：</w:t>
      </w:r>
    </w:p>
    <w:tbl>
      <w:tblPr>
        <w:tblStyle w:val="37"/>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360"/>
        <w:gridCol w:w="6054"/>
      </w:tblGrid>
      <w:tr w14:paraId="78CF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25" w:type="dxa"/>
            <w:noWrap w:val="0"/>
            <w:vAlign w:val="center"/>
          </w:tcPr>
          <w:p w14:paraId="54B291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我单位名称（全称）</w:t>
            </w:r>
          </w:p>
        </w:tc>
        <w:tc>
          <w:tcPr>
            <w:tcW w:w="7414" w:type="dxa"/>
            <w:gridSpan w:val="2"/>
            <w:noWrap w:val="0"/>
            <w:vAlign w:val="center"/>
          </w:tcPr>
          <w:p w14:paraId="5D3B239E">
            <w:pPr>
              <w:spacing w:line="440" w:lineRule="exact"/>
              <w:ind w:firstLine="0" w:firstLineChars="0"/>
              <w:rPr>
                <w:rFonts w:hint="eastAsia" w:ascii="宋体" w:hAnsi="宋体" w:eastAsia="宋体" w:cs="宋体"/>
                <w:color w:val="auto"/>
                <w:szCs w:val="21"/>
                <w:highlight w:val="none"/>
              </w:rPr>
            </w:pPr>
          </w:p>
        </w:tc>
      </w:tr>
      <w:tr w14:paraId="0C80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25" w:type="dxa"/>
            <w:vMerge w:val="restart"/>
            <w:noWrap w:val="0"/>
            <w:vAlign w:val="center"/>
          </w:tcPr>
          <w:p w14:paraId="2A44B1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我单位法定代表人/单位负责人</w:t>
            </w:r>
          </w:p>
        </w:tc>
        <w:tc>
          <w:tcPr>
            <w:tcW w:w="1360" w:type="dxa"/>
            <w:noWrap w:val="0"/>
            <w:vAlign w:val="center"/>
          </w:tcPr>
          <w:p w14:paraId="7439347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6054" w:type="dxa"/>
            <w:noWrap w:val="0"/>
            <w:vAlign w:val="center"/>
          </w:tcPr>
          <w:p w14:paraId="163AED6D">
            <w:pPr>
              <w:spacing w:line="440" w:lineRule="exact"/>
              <w:ind w:firstLine="0" w:firstLineChars="0"/>
              <w:rPr>
                <w:rFonts w:hint="eastAsia" w:ascii="宋体" w:hAnsi="宋体" w:eastAsia="宋体" w:cs="宋体"/>
                <w:color w:val="auto"/>
                <w:szCs w:val="21"/>
                <w:highlight w:val="none"/>
              </w:rPr>
            </w:pPr>
          </w:p>
        </w:tc>
      </w:tr>
      <w:tr w14:paraId="4B45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25" w:type="dxa"/>
            <w:vMerge w:val="continue"/>
            <w:noWrap w:val="0"/>
            <w:vAlign w:val="center"/>
          </w:tcPr>
          <w:p w14:paraId="7E7AA49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Cs w:val="21"/>
                <w:highlight w:val="none"/>
              </w:rPr>
            </w:pPr>
          </w:p>
        </w:tc>
        <w:tc>
          <w:tcPr>
            <w:tcW w:w="1360" w:type="dxa"/>
            <w:noWrap w:val="0"/>
            <w:vAlign w:val="center"/>
          </w:tcPr>
          <w:p w14:paraId="1D40472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6054" w:type="dxa"/>
            <w:noWrap w:val="0"/>
            <w:vAlign w:val="center"/>
          </w:tcPr>
          <w:p w14:paraId="14AF008F">
            <w:pPr>
              <w:spacing w:line="440" w:lineRule="exact"/>
              <w:ind w:firstLine="0" w:firstLineChars="0"/>
              <w:rPr>
                <w:rFonts w:hint="eastAsia" w:ascii="宋体" w:hAnsi="宋体" w:eastAsia="宋体" w:cs="宋体"/>
                <w:color w:val="auto"/>
                <w:szCs w:val="21"/>
                <w:highlight w:val="none"/>
              </w:rPr>
            </w:pPr>
          </w:p>
        </w:tc>
      </w:tr>
      <w:tr w14:paraId="64D2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25" w:type="dxa"/>
            <w:noWrap w:val="0"/>
            <w:vAlign w:val="center"/>
          </w:tcPr>
          <w:p w14:paraId="338B4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单位负责人为同一人的单位</w:t>
            </w:r>
          </w:p>
        </w:tc>
        <w:tc>
          <w:tcPr>
            <w:tcW w:w="7414" w:type="dxa"/>
            <w:gridSpan w:val="2"/>
            <w:noWrap w:val="0"/>
            <w:vAlign w:val="center"/>
          </w:tcPr>
          <w:p w14:paraId="7A054C7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单位名称：                 </w:t>
            </w:r>
          </w:p>
        </w:tc>
      </w:tr>
      <w:tr w14:paraId="46E6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025" w:type="dxa"/>
            <w:vMerge w:val="restart"/>
            <w:noWrap w:val="0"/>
            <w:vAlign w:val="center"/>
          </w:tcPr>
          <w:p w14:paraId="27B8BF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存在直接控股关系的单位</w:t>
            </w:r>
          </w:p>
        </w:tc>
        <w:tc>
          <w:tcPr>
            <w:tcW w:w="1360" w:type="dxa"/>
            <w:noWrap w:val="0"/>
            <w:vAlign w:val="center"/>
          </w:tcPr>
          <w:p w14:paraId="3EE84F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直接控股我单位的单位</w:t>
            </w:r>
          </w:p>
        </w:tc>
        <w:tc>
          <w:tcPr>
            <w:tcW w:w="6054" w:type="dxa"/>
            <w:noWrap w:val="0"/>
            <w:vAlign w:val="center"/>
          </w:tcPr>
          <w:p w14:paraId="376F8483">
            <w:pPr>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全称：         ，出资比例：     %</w:t>
            </w:r>
          </w:p>
        </w:tc>
      </w:tr>
      <w:tr w14:paraId="2C71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025" w:type="dxa"/>
            <w:vMerge w:val="continue"/>
            <w:noWrap w:val="0"/>
            <w:vAlign w:val="center"/>
          </w:tcPr>
          <w:p w14:paraId="1B7589C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Cs w:val="21"/>
                <w:highlight w:val="none"/>
              </w:rPr>
            </w:pPr>
          </w:p>
        </w:tc>
        <w:tc>
          <w:tcPr>
            <w:tcW w:w="1360" w:type="dxa"/>
            <w:noWrap w:val="0"/>
            <w:vAlign w:val="center"/>
          </w:tcPr>
          <w:p w14:paraId="699CBD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我单位直接控股的单位</w:t>
            </w:r>
          </w:p>
        </w:tc>
        <w:tc>
          <w:tcPr>
            <w:tcW w:w="6054" w:type="dxa"/>
            <w:noWrap w:val="0"/>
            <w:vAlign w:val="center"/>
          </w:tcPr>
          <w:p w14:paraId="38287917">
            <w:pPr>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全称：         ，出资比例：     %</w:t>
            </w:r>
          </w:p>
        </w:tc>
      </w:tr>
      <w:tr w14:paraId="79E0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025" w:type="dxa"/>
            <w:vMerge w:val="restart"/>
            <w:noWrap w:val="0"/>
            <w:vAlign w:val="center"/>
          </w:tcPr>
          <w:p w14:paraId="5DCA4A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存在直接管理关系的单位</w:t>
            </w:r>
          </w:p>
        </w:tc>
        <w:tc>
          <w:tcPr>
            <w:tcW w:w="1360" w:type="dxa"/>
            <w:noWrap w:val="0"/>
            <w:vAlign w:val="center"/>
          </w:tcPr>
          <w:p w14:paraId="328A27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直接管理我单位</w:t>
            </w:r>
          </w:p>
        </w:tc>
        <w:tc>
          <w:tcPr>
            <w:tcW w:w="6054" w:type="dxa"/>
            <w:noWrap w:val="0"/>
            <w:vAlign w:val="center"/>
          </w:tcPr>
          <w:p w14:paraId="03B24B0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管理单位全称：             ，</w:t>
            </w:r>
          </w:p>
          <w:p w14:paraId="6C6C4CE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管理单位全称：             ，</w:t>
            </w:r>
          </w:p>
          <w:p w14:paraId="01EF9839">
            <w:pPr>
              <w:spacing w:line="44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w:t>
            </w:r>
          </w:p>
        </w:tc>
      </w:tr>
      <w:tr w14:paraId="517E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025" w:type="dxa"/>
            <w:vMerge w:val="continue"/>
            <w:noWrap w:val="0"/>
            <w:vAlign w:val="center"/>
          </w:tcPr>
          <w:p w14:paraId="0845FE25">
            <w:pPr>
              <w:spacing w:line="440" w:lineRule="exact"/>
              <w:ind w:firstLine="0" w:firstLineChars="0"/>
              <w:rPr>
                <w:rFonts w:hint="eastAsia" w:ascii="宋体" w:hAnsi="宋体" w:eastAsia="宋体" w:cs="宋体"/>
                <w:color w:val="auto"/>
                <w:szCs w:val="21"/>
                <w:highlight w:val="none"/>
              </w:rPr>
            </w:pPr>
          </w:p>
        </w:tc>
        <w:tc>
          <w:tcPr>
            <w:tcW w:w="1360" w:type="dxa"/>
            <w:noWrap w:val="0"/>
            <w:vAlign w:val="center"/>
          </w:tcPr>
          <w:p w14:paraId="075227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我单位直接管理</w:t>
            </w:r>
          </w:p>
        </w:tc>
        <w:tc>
          <w:tcPr>
            <w:tcW w:w="6054" w:type="dxa"/>
            <w:noWrap w:val="0"/>
            <w:vAlign w:val="center"/>
          </w:tcPr>
          <w:p w14:paraId="098C66F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单位全称：             ，</w:t>
            </w:r>
          </w:p>
          <w:p w14:paraId="260CF64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单位全称：             ，</w:t>
            </w:r>
          </w:p>
          <w:p w14:paraId="2BCF0384">
            <w:pPr>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542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439" w:type="dxa"/>
            <w:gridSpan w:val="3"/>
            <w:noWrap w:val="0"/>
            <w:vAlign w:val="center"/>
          </w:tcPr>
          <w:p w14:paraId="59A0A735">
            <w:pPr>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9F22929">
            <w:pPr>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（1）直接控股关系是指出资比例在50%以上，或者出资比例不足50%，但享有公司股东会/董事会控制权的投资方（含单位或者个人，以下同）。</w:t>
            </w:r>
          </w:p>
          <w:p w14:paraId="77817A69">
            <w:pPr>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（2）直接管理关系单位是指与不具有出资持股关系的其他单位之间存在直接管理与被管理关系的单位。</w:t>
            </w:r>
          </w:p>
          <w:p w14:paraId="7B85E44C">
            <w:pPr>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（3）如未有相关情况，请在相应栏填写“无”。</w:t>
            </w:r>
          </w:p>
          <w:p w14:paraId="77E92D4A">
            <w:pPr>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c>
      </w:tr>
    </w:tbl>
    <w:p w14:paraId="661D864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以上内容我已仔细阅读，本公司若有违反承诺内容的行为，自愿接受取消投标或者</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资格、记入不良行为记录、投标保证金不予退还等有关处理，愿意承担法律责任，给采购人造成损失的，依法承担赔偿责任。</w:t>
      </w:r>
    </w:p>
    <w:p w14:paraId="357F7C1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w:t>
      </w:r>
    </w:p>
    <w:p w14:paraId="05F98EB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                          基本账户：</w:t>
      </w:r>
    </w:p>
    <w:p w14:paraId="574857D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供应商（盖单位章）：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法定代表人（签字或盖章）：</w:t>
      </w:r>
    </w:p>
    <w:p w14:paraId="232B5DFD">
      <w:pPr>
        <w:spacing w:line="440" w:lineRule="exact"/>
        <w:ind w:firstLine="420" w:firstLineChars="200"/>
        <w:rPr>
          <w:rFonts w:hint="eastAsia" w:ascii="宋体" w:hAnsi="宋体" w:cs="宋体"/>
          <w:color w:val="auto"/>
          <w:szCs w:val="21"/>
          <w:highlight w:val="none"/>
        </w:rPr>
      </w:pPr>
    </w:p>
    <w:p w14:paraId="597658EF">
      <w:pPr>
        <w:spacing w:line="440" w:lineRule="exact"/>
        <w:ind w:firstLine="420" w:firstLineChars="200"/>
        <w:jc w:val="right"/>
        <w:rPr>
          <w:rFonts w:hint="eastAsia" w:ascii="宋体" w:hAnsi="宋体" w:cs="宋体"/>
          <w:color w:val="auto"/>
          <w:sz w:val="32"/>
          <w:szCs w:val="32"/>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A01B9B6">
      <w:pPr>
        <w:spacing w:line="440" w:lineRule="exact"/>
        <w:ind w:firstLine="602" w:firstLineChars="200"/>
        <w:rPr>
          <w:rFonts w:hint="eastAsia" w:ascii="宋体" w:hAnsi="宋体" w:cs="宋体"/>
          <w:b/>
          <w:color w:val="auto"/>
          <w:sz w:val="30"/>
          <w:szCs w:val="30"/>
          <w:highlight w:val="none"/>
        </w:rPr>
      </w:pPr>
    </w:p>
    <w:p w14:paraId="3D4FD596">
      <w:pPr>
        <w:ind w:left="420" w:hanging="420"/>
        <w:rPr>
          <w:rFonts w:hint="eastAsia" w:ascii="宋体" w:hAnsi="宋体" w:cs="宋体"/>
          <w:b/>
          <w:color w:val="auto"/>
          <w:sz w:val="30"/>
          <w:szCs w:val="30"/>
          <w:highlight w:val="none"/>
        </w:rPr>
      </w:pPr>
    </w:p>
    <w:p w14:paraId="44F1DC33">
      <w:pPr>
        <w:ind w:firstLine="6860" w:firstLineChars="2450"/>
        <w:rPr>
          <w:rFonts w:hint="eastAsia" w:ascii="宋体" w:hAnsi="宋体" w:cs="宋体"/>
          <w:color w:val="auto"/>
          <w:sz w:val="28"/>
          <w:szCs w:val="28"/>
          <w:highlight w:val="none"/>
          <w:bdr w:val="single" w:color="auto" w:sz="4" w:space="0"/>
        </w:rPr>
      </w:pPr>
    </w:p>
    <w:p w14:paraId="2F80D783">
      <w:pPr>
        <w:ind w:firstLine="6860" w:firstLineChars="2450"/>
        <w:rPr>
          <w:rFonts w:hint="eastAsia" w:ascii="宋体" w:hAnsi="宋体" w:cs="宋体"/>
          <w:color w:val="auto"/>
          <w:sz w:val="28"/>
          <w:szCs w:val="28"/>
          <w:highlight w:val="none"/>
          <w:bdr w:val="single" w:color="auto" w:sz="4" w:space="0"/>
        </w:rPr>
      </w:pPr>
    </w:p>
    <w:p w14:paraId="3BA32E42">
      <w:pPr>
        <w:ind w:firstLine="6860" w:firstLineChars="2450"/>
        <w:rPr>
          <w:rFonts w:hint="eastAsia" w:ascii="宋体" w:hAnsi="宋体" w:cs="宋体"/>
          <w:color w:val="auto"/>
          <w:highlight w:val="none"/>
        </w:rPr>
      </w:pPr>
      <w:r>
        <w:rPr>
          <w:rFonts w:hint="eastAsia" w:ascii="宋体" w:hAnsi="宋体" w:cs="宋体"/>
          <w:color w:val="auto"/>
          <w:sz w:val="28"/>
          <w:szCs w:val="28"/>
          <w:highlight w:val="none"/>
          <w:bdr w:val="single" w:color="auto" w:sz="4" w:space="0"/>
        </w:rPr>
        <w:t>注明正本或副本</w:t>
      </w:r>
    </w:p>
    <w:p w14:paraId="24855B0F">
      <w:pPr>
        <w:keepNext/>
        <w:keepLines/>
        <w:spacing w:before="340" w:after="330" w:line="576" w:lineRule="auto"/>
        <w:jc w:val="center"/>
        <w:outlineLvl w:val="9"/>
        <w:rPr>
          <w:rFonts w:hint="eastAsia" w:ascii="宋体" w:hAnsi="宋体" w:cs="宋体"/>
          <w:b/>
          <w:color w:val="auto"/>
          <w:kern w:val="44"/>
          <w:sz w:val="44"/>
          <w:highlight w:val="none"/>
        </w:rPr>
      </w:pPr>
      <w:bookmarkStart w:id="450" w:name="_Toc477418350"/>
      <w:bookmarkStart w:id="451" w:name="_Toc20357"/>
      <w:bookmarkStart w:id="452" w:name="_Toc30054"/>
      <w:r>
        <w:rPr>
          <w:rFonts w:hint="eastAsia" w:ascii="宋体" w:hAnsi="宋体" w:cs="宋体"/>
          <w:b/>
          <w:color w:val="auto"/>
          <w:kern w:val="44"/>
          <w:sz w:val="44"/>
          <w:highlight w:val="none"/>
        </w:rPr>
        <w:t>技术标</w:t>
      </w:r>
      <w:bookmarkEnd w:id="450"/>
      <w:bookmarkEnd w:id="451"/>
      <w:bookmarkEnd w:id="452"/>
    </w:p>
    <w:p w14:paraId="37F83C34">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（响应文件二）</w:t>
      </w:r>
    </w:p>
    <w:p w14:paraId="67B8CBFB">
      <w:pPr>
        <w:jc w:val="center"/>
        <w:rPr>
          <w:rFonts w:hint="eastAsia" w:ascii="宋体" w:hAnsi="宋体" w:cs="宋体"/>
          <w:color w:val="auto"/>
          <w:sz w:val="44"/>
          <w:szCs w:val="44"/>
          <w:highlight w:val="none"/>
        </w:rPr>
      </w:pPr>
    </w:p>
    <w:p w14:paraId="3ED4C00B">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7A8EE830">
      <w:pPr>
        <w:ind w:firstLine="3360" w:firstLineChars="1200"/>
        <w:rPr>
          <w:rFonts w:hint="eastAsia" w:ascii="宋体" w:hAnsi="宋体" w:cs="宋体"/>
          <w:color w:val="auto"/>
          <w:sz w:val="44"/>
          <w:szCs w:val="44"/>
          <w:highlight w:val="none"/>
          <w:u w:val="singl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rPr>
        <w:t xml:space="preserve">           </w:t>
      </w:r>
    </w:p>
    <w:p w14:paraId="0D159DDE">
      <w:pPr>
        <w:rPr>
          <w:rFonts w:hint="eastAsia" w:ascii="宋体" w:hAnsi="宋体" w:cs="宋体"/>
          <w:color w:val="auto"/>
          <w:sz w:val="28"/>
          <w:szCs w:val="28"/>
          <w:highlight w:val="none"/>
        </w:rPr>
      </w:pPr>
    </w:p>
    <w:p w14:paraId="5CC53EC5">
      <w:pPr>
        <w:rPr>
          <w:rFonts w:hint="eastAsia" w:ascii="宋体" w:hAnsi="宋体" w:cs="宋体"/>
          <w:color w:val="auto"/>
          <w:sz w:val="28"/>
          <w:szCs w:val="28"/>
          <w:highlight w:val="none"/>
        </w:rPr>
      </w:pPr>
    </w:p>
    <w:p w14:paraId="17AB31AC">
      <w:pPr>
        <w:rPr>
          <w:rFonts w:hint="eastAsia" w:ascii="宋体" w:hAnsi="宋体" w:cs="宋体"/>
          <w:color w:val="auto"/>
          <w:sz w:val="28"/>
          <w:szCs w:val="28"/>
          <w:highlight w:val="none"/>
        </w:rPr>
      </w:pPr>
    </w:p>
    <w:p w14:paraId="3CBF4BBE">
      <w:pPr>
        <w:rPr>
          <w:rFonts w:hint="eastAsia" w:ascii="宋体" w:hAnsi="宋体" w:cs="宋体"/>
          <w:color w:val="auto"/>
          <w:sz w:val="28"/>
          <w:szCs w:val="28"/>
          <w:highlight w:val="none"/>
        </w:rPr>
      </w:pPr>
    </w:p>
    <w:p w14:paraId="625864B1">
      <w:pPr>
        <w:rPr>
          <w:rFonts w:hint="eastAsia" w:ascii="宋体" w:hAnsi="宋体" w:cs="宋体"/>
          <w:color w:val="auto"/>
          <w:sz w:val="28"/>
          <w:szCs w:val="28"/>
          <w:highlight w:val="none"/>
        </w:rPr>
      </w:pPr>
    </w:p>
    <w:p w14:paraId="3555E854">
      <w:pPr>
        <w:rPr>
          <w:rFonts w:hint="eastAsia" w:ascii="宋体" w:hAnsi="宋体" w:cs="宋体"/>
          <w:color w:val="auto"/>
          <w:sz w:val="28"/>
          <w:szCs w:val="28"/>
          <w:highlight w:val="none"/>
        </w:rPr>
      </w:pPr>
    </w:p>
    <w:p w14:paraId="026978D7">
      <w:pPr>
        <w:rPr>
          <w:rFonts w:hint="eastAsia" w:ascii="宋体" w:hAnsi="宋体" w:cs="宋体"/>
          <w:color w:val="auto"/>
          <w:sz w:val="28"/>
          <w:szCs w:val="28"/>
          <w:highlight w:val="none"/>
        </w:rPr>
      </w:pPr>
    </w:p>
    <w:p w14:paraId="5E6CB660">
      <w:pPr>
        <w:rPr>
          <w:rFonts w:hint="eastAsia" w:ascii="宋体" w:hAnsi="宋体" w:cs="宋体"/>
          <w:color w:val="auto"/>
          <w:sz w:val="28"/>
          <w:szCs w:val="28"/>
          <w:highlight w:val="none"/>
        </w:rPr>
      </w:pPr>
    </w:p>
    <w:p w14:paraId="713EB639">
      <w:pPr>
        <w:rPr>
          <w:rFonts w:hint="eastAsia" w:ascii="宋体" w:hAnsi="宋体" w:cs="宋体"/>
          <w:color w:val="auto"/>
          <w:sz w:val="28"/>
          <w:szCs w:val="28"/>
          <w:highlight w:val="none"/>
        </w:rPr>
      </w:pPr>
    </w:p>
    <w:p w14:paraId="6AE55D8B">
      <w:pPr>
        <w:rPr>
          <w:rFonts w:hint="eastAsia" w:ascii="宋体" w:hAnsi="宋体" w:cs="宋体"/>
          <w:color w:val="auto"/>
          <w:sz w:val="28"/>
          <w:szCs w:val="28"/>
          <w:highlight w:val="none"/>
        </w:rPr>
      </w:pPr>
    </w:p>
    <w:p w14:paraId="056B91EB">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6BBBBFAD">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3FFACB8F">
      <w:pPr>
        <w:jc w:val="center"/>
        <w:rPr>
          <w:rFonts w:hint="default" w:ascii="宋体" w:hAnsi="宋体" w:eastAsia="宋体" w:cs="宋体"/>
          <w:color w:val="auto"/>
          <w:sz w:val="28"/>
          <w:szCs w:val="28"/>
          <w:highlight w:val="none"/>
          <w:lang w:val="en-US" w:eastAsia="zh-CN"/>
        </w:rPr>
        <w:sectPr>
          <w:pgSz w:w="11906" w:h="16838"/>
          <w:pgMar w:top="1134" w:right="1417" w:bottom="1134" w:left="1417" w:header="283" w:footer="680" w:gutter="0"/>
          <w:cols w:space="720" w:num="1"/>
          <w:titlePg/>
          <w:rtlGutter w:val="0"/>
          <w:docGrid w:type="lines" w:linePitch="312" w:charSpace="0"/>
        </w:sect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日</w:t>
      </w:r>
    </w:p>
    <w:p w14:paraId="461CBA91">
      <w:pPr>
        <w:spacing w:line="400" w:lineRule="exact"/>
        <w:ind w:left="0" w:leftChars="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2A67B111">
      <w:pPr>
        <w:pStyle w:val="36"/>
        <w:ind w:firstLine="420"/>
        <w:rPr>
          <w:rFonts w:hint="eastAsia" w:cs="宋体"/>
          <w:color w:val="auto"/>
          <w:highlight w:val="none"/>
        </w:rPr>
      </w:pPr>
    </w:p>
    <w:p w14:paraId="346D3D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453" w:name="_Toc477418351"/>
      <w:r>
        <w:rPr>
          <w:rFonts w:hint="eastAsia" w:ascii="宋体" w:hAnsi="宋体" w:eastAsia="宋体" w:cs="宋体"/>
          <w:color w:val="auto"/>
          <w:sz w:val="24"/>
          <w:szCs w:val="24"/>
          <w:highlight w:val="none"/>
          <w:lang w:val="en-US" w:eastAsia="zh-CN"/>
        </w:rPr>
        <w:t>（1）技术评分所需内容；</w:t>
      </w:r>
    </w:p>
    <w:p w14:paraId="0C8CBC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（2）服务承诺：是否响应磋商文件要求的书面说明和服务承诺书（格式见附件）；</w:t>
      </w:r>
    </w:p>
    <w:p w14:paraId="2A5544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（3）供应商认为需要提供的其他材料。</w:t>
      </w:r>
    </w:p>
    <w:p w14:paraId="4608E694">
      <w:pPr>
        <w:spacing w:line="440" w:lineRule="exact"/>
        <w:ind w:right="-1" w:firstLine="482" w:firstLineChars="20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 </w:t>
      </w:r>
    </w:p>
    <w:p w14:paraId="3ABC12FA">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1E72422C">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37E2875C">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52E0AAB3">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3042E933">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4941EEA3">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1C16AA72">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27ADC6F2">
      <w:pPr>
        <w:rPr>
          <w:rFonts w:hint="eastAsia" w:ascii="宋体" w:hAnsi="宋体" w:cs="宋体"/>
          <w:color w:val="auto"/>
          <w:highlight w:val="none"/>
        </w:rPr>
      </w:pPr>
    </w:p>
    <w:p w14:paraId="702AC90B">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24EF0602">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21C4D9B6">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6045B675">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7E4759CD">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7767FB91">
      <w:pPr>
        <w:pStyle w:val="36"/>
        <w:ind w:firstLine="602"/>
        <w:rPr>
          <w:rFonts w:hint="eastAsia" w:cs="宋体"/>
          <w:b/>
          <w:color w:val="auto"/>
          <w:kern w:val="0"/>
          <w:sz w:val="30"/>
          <w:szCs w:val="30"/>
          <w:highlight w:val="none"/>
          <w:u w:val="none" w:color="000000"/>
        </w:rPr>
      </w:pPr>
    </w:p>
    <w:p w14:paraId="4337D98E">
      <w:pPr>
        <w:rPr>
          <w:rFonts w:hint="eastAsia" w:ascii="宋体" w:hAnsi="宋体" w:cs="宋体"/>
          <w:color w:val="auto"/>
          <w:highlight w:val="none"/>
        </w:rPr>
      </w:pPr>
    </w:p>
    <w:p w14:paraId="0655A88C">
      <w:pPr>
        <w:rPr>
          <w:rFonts w:hint="eastAsia" w:ascii="宋体" w:hAnsi="宋体" w:cs="宋体"/>
          <w:color w:val="auto"/>
          <w:highlight w:val="none"/>
        </w:rPr>
      </w:pPr>
    </w:p>
    <w:p w14:paraId="481C47B0">
      <w:pPr>
        <w:keepNext w:val="0"/>
        <w:keepLines w:val="0"/>
        <w:pageBreakBefore/>
        <w:widowControl/>
        <w:kinsoku/>
        <w:wordWrap/>
        <w:overflowPunct/>
        <w:topLinePunct w:val="0"/>
        <w:autoSpaceDE/>
        <w:autoSpaceDN/>
        <w:bidi w:val="0"/>
        <w:adjustRightInd/>
        <w:snapToGrid/>
        <w:spacing w:line="357" w:lineRule="atLeast"/>
        <w:jc w:val="center"/>
        <w:textAlignment w:val="baseline"/>
        <w:rPr>
          <w:rFonts w:hint="eastAsia" w:ascii="宋体" w:hAnsi="宋体" w:cs="宋体"/>
          <w:b/>
          <w:color w:val="auto"/>
          <w:kern w:val="0"/>
          <w:sz w:val="30"/>
          <w:szCs w:val="30"/>
          <w:highlight w:val="none"/>
          <w:u w:val="none" w:color="000000"/>
        </w:rPr>
      </w:pPr>
      <w:r>
        <w:rPr>
          <w:rFonts w:hint="eastAsia" w:ascii="宋体" w:hAnsi="宋体" w:cs="宋体"/>
          <w:b/>
          <w:color w:val="auto"/>
          <w:kern w:val="0"/>
          <w:sz w:val="30"/>
          <w:szCs w:val="30"/>
          <w:highlight w:val="none"/>
          <w:u w:val="none" w:color="000000"/>
        </w:rPr>
        <w:t>服务承诺书</w:t>
      </w:r>
    </w:p>
    <w:p w14:paraId="3D22C344">
      <w:pPr>
        <w:widowControl/>
        <w:spacing w:line="357" w:lineRule="atLeast"/>
        <w:ind w:firstLine="480" w:firstLineChars="200"/>
        <w:textAlignment w:val="baseline"/>
        <w:rPr>
          <w:rFonts w:hint="eastAsia" w:ascii="宋体" w:hAnsi="宋体" w:cs="宋体"/>
          <w:color w:val="auto"/>
          <w:kern w:val="0"/>
          <w:sz w:val="24"/>
          <w:highlight w:val="none"/>
          <w:u w:val="none" w:color="000000"/>
        </w:rPr>
      </w:pPr>
    </w:p>
    <w:p w14:paraId="4B7EC52B">
      <w:pPr>
        <w:widowControl/>
        <w:spacing w:line="357" w:lineRule="atLeast"/>
        <w:textAlignment w:val="baseline"/>
        <w:rPr>
          <w:rFonts w:hint="eastAsia" w:ascii="宋体" w:hAnsi="宋体" w:cs="宋体"/>
          <w:b/>
          <w:color w:val="auto"/>
          <w:kern w:val="0"/>
          <w:sz w:val="24"/>
          <w:highlight w:val="none"/>
          <w:u w:val="none" w:color="000000"/>
        </w:rPr>
      </w:pPr>
      <w:r>
        <w:rPr>
          <w:rFonts w:hint="eastAsia" w:ascii="宋体" w:hAnsi="宋体" w:cs="宋体"/>
          <w:color w:val="auto"/>
          <w:kern w:val="0"/>
          <w:sz w:val="24"/>
          <w:highlight w:val="none"/>
          <w:u w:val="none" w:color="000000"/>
        </w:rPr>
        <w:t>致：</w:t>
      </w:r>
      <w:r>
        <w:rPr>
          <w:rFonts w:hint="eastAsia" w:ascii="宋体" w:hAnsi="宋体" w:cs="宋体"/>
          <w:color w:val="auto"/>
          <w:kern w:val="0"/>
          <w:sz w:val="24"/>
          <w:highlight w:val="none"/>
          <w:u w:val="single" w:color="000000"/>
        </w:rPr>
        <w:t xml:space="preserve">          （采购人）     ：</w:t>
      </w:r>
    </w:p>
    <w:p w14:paraId="66AC5AE6">
      <w:pPr>
        <w:widowControl/>
        <w:spacing w:line="800" w:lineRule="exact"/>
        <w:ind w:firstLine="480" w:firstLineChars="200"/>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本承诺声明：</w:t>
      </w:r>
      <w:r>
        <w:rPr>
          <w:rFonts w:hint="eastAsia"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u w:val="none" w:color="000000"/>
        </w:rPr>
        <w:t>（供应商名称）对本磋商文件的相关要求</w:t>
      </w:r>
      <w:r>
        <w:rPr>
          <w:rFonts w:hint="eastAsia" w:ascii="宋体" w:hAnsi="宋体" w:cs="宋体"/>
          <w:color w:val="auto"/>
          <w:kern w:val="0"/>
          <w:sz w:val="24"/>
          <w:highlight w:val="none"/>
          <w:u w:val="single"/>
        </w:rPr>
        <w:t xml:space="preserve">       （完全响应或优于）</w:t>
      </w:r>
      <w:r>
        <w:rPr>
          <w:rFonts w:hint="eastAsia" w:ascii="宋体" w:hAnsi="宋体" w:cs="宋体"/>
          <w:color w:val="auto"/>
          <w:kern w:val="0"/>
          <w:sz w:val="24"/>
          <w:highlight w:val="none"/>
          <w:u w:val="none" w:color="000000"/>
        </w:rPr>
        <w:t>。（包括但不限于采购内容及服务内容）承诺完全满足。若有幸成交将严格按照以上承诺进行服务。</w:t>
      </w:r>
    </w:p>
    <w:p w14:paraId="3DE9FD51">
      <w:pPr>
        <w:widowControl/>
        <w:spacing w:line="480" w:lineRule="auto"/>
        <w:textAlignment w:val="baseline"/>
        <w:rPr>
          <w:rFonts w:hint="eastAsia" w:ascii="宋体" w:hAnsi="宋体" w:cs="宋体"/>
          <w:color w:val="auto"/>
          <w:kern w:val="0"/>
          <w:sz w:val="24"/>
          <w:highlight w:val="none"/>
          <w:u w:val="none" w:color="000000"/>
        </w:rPr>
      </w:pPr>
    </w:p>
    <w:p w14:paraId="2AB54DCA">
      <w:pPr>
        <w:widowControl/>
        <w:spacing w:line="480" w:lineRule="auto"/>
        <w:textAlignment w:val="baseline"/>
        <w:rPr>
          <w:rFonts w:hint="eastAsia" w:ascii="宋体" w:hAnsi="宋体" w:cs="宋体"/>
          <w:color w:val="auto"/>
          <w:kern w:val="0"/>
          <w:sz w:val="24"/>
          <w:highlight w:val="none"/>
          <w:u w:val="none" w:color="000000"/>
        </w:rPr>
      </w:pPr>
    </w:p>
    <w:p w14:paraId="118EDC37">
      <w:pPr>
        <w:widowControl/>
        <w:spacing w:line="440" w:lineRule="exac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特此声明</w:t>
      </w:r>
    </w:p>
    <w:p w14:paraId="333ADA97">
      <w:pPr>
        <w:widowControl/>
        <w:spacing w:line="600" w:lineRule="exac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w:t>
      </w:r>
    </w:p>
    <w:p w14:paraId="63FC708B">
      <w:pPr>
        <w:widowControl/>
        <w:spacing w:line="600" w:lineRule="exact"/>
        <w:textAlignment w:val="baseline"/>
        <w:rPr>
          <w:rFonts w:hint="eastAsia" w:ascii="宋体" w:hAnsi="宋体" w:cs="宋体"/>
          <w:color w:val="auto"/>
          <w:kern w:val="0"/>
          <w:sz w:val="24"/>
          <w:highlight w:val="none"/>
          <w:u w:val="none" w:color="000000"/>
        </w:rPr>
      </w:pPr>
    </w:p>
    <w:p w14:paraId="58C488BB">
      <w:pPr>
        <w:widowControl/>
        <w:spacing w:line="600" w:lineRule="exact"/>
        <w:textAlignment w:val="baseline"/>
        <w:rPr>
          <w:rFonts w:hint="eastAsia" w:ascii="宋体" w:hAnsi="宋体" w:cs="宋体"/>
          <w:color w:val="auto"/>
          <w:kern w:val="0"/>
          <w:sz w:val="24"/>
          <w:highlight w:val="none"/>
          <w:u w:val="none" w:color="000000"/>
        </w:rPr>
      </w:pPr>
    </w:p>
    <w:p w14:paraId="7AAF38FD">
      <w:pPr>
        <w:widowControl/>
        <w:spacing w:line="600" w:lineRule="exact"/>
        <w:textAlignment w:val="baseline"/>
        <w:rPr>
          <w:rFonts w:hint="eastAsia" w:ascii="宋体" w:hAnsi="宋体" w:cs="宋体"/>
          <w:color w:val="auto"/>
          <w:kern w:val="0"/>
          <w:sz w:val="24"/>
          <w:highlight w:val="none"/>
          <w:u w:val="none" w:color="000000"/>
        </w:rPr>
      </w:pPr>
    </w:p>
    <w:p w14:paraId="18F086E2">
      <w:pPr>
        <w:widowControl/>
        <w:spacing w:line="600" w:lineRule="exact"/>
        <w:textAlignment w:val="baseline"/>
        <w:rPr>
          <w:rFonts w:hint="eastAsia" w:ascii="宋体" w:hAnsi="宋体" w:cs="宋体"/>
          <w:color w:val="auto"/>
          <w:kern w:val="0"/>
          <w:sz w:val="24"/>
          <w:highlight w:val="none"/>
          <w:u w:val="none" w:color="000000"/>
        </w:rPr>
      </w:pPr>
    </w:p>
    <w:p w14:paraId="1FCFEC9C">
      <w:pPr>
        <w:widowControl/>
        <w:spacing w:line="600" w:lineRule="exact"/>
        <w:textAlignment w:val="baseline"/>
        <w:rPr>
          <w:rFonts w:hint="eastAsia" w:ascii="宋体" w:hAnsi="宋体" w:cs="宋体"/>
          <w:color w:val="auto"/>
          <w:kern w:val="0"/>
          <w:sz w:val="24"/>
          <w:highlight w:val="none"/>
          <w:u w:val="none" w:color="000000"/>
        </w:rPr>
      </w:pPr>
    </w:p>
    <w:p w14:paraId="1E65DB24">
      <w:pPr>
        <w:widowControl/>
        <w:spacing w:line="300" w:lineRule="exact"/>
        <w:jc w:val="righ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法定代表人：</w:t>
      </w:r>
      <w:r>
        <w:rPr>
          <w:rFonts w:hint="eastAsia" w:ascii="宋体" w:hAnsi="宋体" w:cs="宋体"/>
          <w:color w:val="auto"/>
          <w:kern w:val="0"/>
          <w:sz w:val="24"/>
          <w:highlight w:val="none"/>
          <w:u w:val="single" w:color="000000"/>
        </w:rPr>
        <w:t xml:space="preserve">                （签字或盖章）          </w:t>
      </w:r>
    </w:p>
    <w:p w14:paraId="1EE33D60">
      <w:pPr>
        <w:widowControl/>
        <w:spacing w:line="300" w:lineRule="exact"/>
        <w:textAlignment w:val="baseline"/>
        <w:rPr>
          <w:rFonts w:hint="eastAsia" w:ascii="宋体" w:hAnsi="宋体" w:cs="宋体"/>
          <w:color w:val="auto"/>
          <w:kern w:val="0"/>
          <w:sz w:val="24"/>
          <w:highlight w:val="none"/>
          <w:u w:val="none" w:color="000000"/>
        </w:rPr>
      </w:pPr>
    </w:p>
    <w:p w14:paraId="15D2B04A">
      <w:pPr>
        <w:widowControl/>
        <w:spacing w:line="300" w:lineRule="exac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xml:space="preserve">                                     </w:t>
      </w:r>
    </w:p>
    <w:p w14:paraId="536D9C02">
      <w:pPr>
        <w:widowControl/>
        <w:spacing w:line="300" w:lineRule="exac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xml:space="preserve">                                    供应商名称：</w:t>
      </w:r>
      <w:r>
        <w:rPr>
          <w:rFonts w:hint="eastAsia" w:ascii="宋体" w:hAnsi="宋体" w:cs="宋体"/>
          <w:color w:val="auto"/>
          <w:kern w:val="0"/>
          <w:sz w:val="24"/>
          <w:highlight w:val="none"/>
          <w:u w:val="single" w:color="000000"/>
        </w:rPr>
        <w:t xml:space="preserve">        （盖章）           </w:t>
      </w:r>
    </w:p>
    <w:p w14:paraId="140410BD">
      <w:pPr>
        <w:widowControl/>
        <w:spacing w:line="300" w:lineRule="exact"/>
        <w:textAlignment w:val="baseline"/>
        <w:rPr>
          <w:rFonts w:hint="eastAsia" w:ascii="宋体" w:hAnsi="宋体" w:cs="宋体"/>
          <w:color w:val="auto"/>
          <w:kern w:val="0"/>
          <w:sz w:val="24"/>
          <w:highlight w:val="none"/>
          <w:u w:val="none" w:color="000000"/>
        </w:rPr>
      </w:pPr>
    </w:p>
    <w:p w14:paraId="6795BF45">
      <w:pPr>
        <w:widowControl/>
        <w:spacing w:line="400" w:lineRule="exact"/>
        <w:ind w:firstLine="4680" w:firstLineChars="1950"/>
        <w:textAlignment w:val="baseline"/>
        <w:rPr>
          <w:rFonts w:hint="eastAsia" w:ascii="宋体" w:hAnsi="宋体" w:cs="宋体"/>
          <w:color w:val="auto"/>
          <w:kern w:val="0"/>
          <w:sz w:val="24"/>
          <w:highlight w:val="none"/>
          <w:u w:val="none" w:color="000000"/>
        </w:rPr>
      </w:pPr>
    </w:p>
    <w:p w14:paraId="4D248FA2">
      <w:pPr>
        <w:widowControl/>
        <w:spacing w:line="400" w:lineRule="exact"/>
        <w:ind w:firstLine="4320" w:firstLineChars="1800"/>
        <w:textAlignment w:val="baseline"/>
        <w:rPr>
          <w:rFonts w:hint="eastAsia" w:ascii="宋体" w:hAnsi="宋体" w:cs="宋体"/>
          <w:color w:val="auto"/>
          <w:kern w:val="0"/>
          <w:sz w:val="24"/>
          <w:highlight w:val="none"/>
          <w:u w:val="single" w:color="000000"/>
        </w:rPr>
      </w:pPr>
      <w:r>
        <w:rPr>
          <w:rFonts w:hint="eastAsia" w:ascii="宋体" w:hAnsi="宋体" w:cs="宋体"/>
          <w:color w:val="auto"/>
          <w:kern w:val="0"/>
          <w:sz w:val="24"/>
          <w:highlight w:val="none"/>
          <w:u w:val="none" w:color="000000"/>
        </w:rPr>
        <w:t>日    期：</w:t>
      </w:r>
      <w:r>
        <w:rPr>
          <w:rFonts w:hint="eastAsia" w:ascii="宋体" w:hAnsi="宋体" w:cs="宋体"/>
          <w:color w:val="auto"/>
          <w:kern w:val="0"/>
          <w:sz w:val="24"/>
          <w:highlight w:val="none"/>
          <w:u w:val="single" w:color="000000"/>
        </w:rPr>
        <w:t xml:space="preserve">                               </w:t>
      </w:r>
    </w:p>
    <w:p w14:paraId="2E23F40B">
      <w:pPr>
        <w:widowControl/>
        <w:spacing w:line="400" w:lineRule="exact"/>
        <w:ind w:firstLine="4698" w:firstLineChars="1950"/>
        <w:textAlignment w:val="baseline"/>
        <w:rPr>
          <w:rFonts w:hint="eastAsia" w:ascii="宋体" w:hAnsi="宋体" w:cs="宋体"/>
          <w:b/>
          <w:color w:val="auto"/>
          <w:kern w:val="0"/>
          <w:sz w:val="24"/>
          <w:highlight w:val="none"/>
          <w:u w:val="none" w:color="000000"/>
        </w:rPr>
      </w:pPr>
    </w:p>
    <w:p w14:paraId="116C82B1">
      <w:pPr>
        <w:widowControl/>
        <w:spacing w:line="357" w:lineRule="atLeast"/>
        <w:jc w:val="right"/>
        <w:textAlignment w:val="baseline"/>
        <w:rPr>
          <w:rFonts w:hint="eastAsia" w:ascii="宋体" w:hAnsi="宋体" w:cs="宋体"/>
          <w:color w:val="auto"/>
          <w:kern w:val="0"/>
          <w:sz w:val="24"/>
          <w:highlight w:val="none"/>
          <w:u w:val="none" w:color="000000"/>
          <w:bdr w:val="single" w:color="000000" w:sz="4" w:space="0"/>
        </w:rPr>
      </w:pPr>
    </w:p>
    <w:p w14:paraId="482247C9">
      <w:pPr>
        <w:widowControl/>
        <w:spacing w:line="357" w:lineRule="atLeast"/>
        <w:jc w:val="right"/>
        <w:textAlignment w:val="baseline"/>
        <w:rPr>
          <w:rFonts w:hint="eastAsia" w:ascii="宋体" w:hAnsi="宋体" w:cs="宋体"/>
          <w:color w:val="auto"/>
          <w:kern w:val="0"/>
          <w:sz w:val="28"/>
          <w:szCs w:val="28"/>
          <w:highlight w:val="none"/>
          <w:u w:val="none" w:color="000000"/>
          <w:bdr w:val="single" w:color="000000" w:sz="4" w:space="0"/>
        </w:rPr>
      </w:pPr>
    </w:p>
    <w:p w14:paraId="7718563A">
      <w:pPr>
        <w:pStyle w:val="36"/>
        <w:ind w:firstLine="0" w:firstLineChars="0"/>
        <w:rPr>
          <w:rFonts w:hint="eastAsia" w:cs="宋体"/>
          <w:color w:val="auto"/>
          <w:kern w:val="0"/>
          <w:sz w:val="28"/>
          <w:szCs w:val="28"/>
          <w:highlight w:val="none"/>
          <w:u w:val="none" w:color="000000"/>
          <w:bdr w:val="single" w:color="000000" w:sz="4" w:space="0"/>
        </w:rPr>
      </w:pPr>
    </w:p>
    <w:p w14:paraId="0ED3FF20">
      <w:pPr>
        <w:rPr>
          <w:rFonts w:hint="eastAsia" w:ascii="宋体" w:hAnsi="宋体" w:cs="宋体"/>
          <w:color w:val="auto"/>
          <w:highlight w:val="none"/>
        </w:rPr>
      </w:pPr>
    </w:p>
    <w:p w14:paraId="06BB500B">
      <w:pPr>
        <w:pStyle w:val="26"/>
        <w:ind w:left="0" w:firstLine="0"/>
        <w:rPr>
          <w:rFonts w:hint="eastAsia" w:ascii="宋体" w:hAnsi="宋体" w:eastAsia="宋体" w:cs="宋体"/>
          <w:color w:val="auto"/>
          <w:kern w:val="0"/>
          <w:szCs w:val="28"/>
          <w:highlight w:val="none"/>
          <w:u w:val="none" w:color="000000"/>
          <w:bdr w:val="single" w:color="000000" w:sz="4" w:space="0"/>
        </w:rPr>
      </w:pPr>
    </w:p>
    <w:p w14:paraId="5378196B">
      <w:pPr>
        <w:jc w:val="right"/>
        <w:rPr>
          <w:rFonts w:hint="eastAsia" w:ascii="宋体" w:hAnsi="宋体" w:cs="宋体"/>
          <w:color w:val="auto"/>
          <w:szCs w:val="20"/>
          <w:highlight w:val="none"/>
        </w:rPr>
      </w:pPr>
      <w:r>
        <w:rPr>
          <w:rFonts w:hint="eastAsia" w:ascii="宋体" w:hAnsi="宋体" w:cs="宋体"/>
          <w:color w:val="auto"/>
          <w:sz w:val="28"/>
          <w:szCs w:val="28"/>
          <w:highlight w:val="none"/>
          <w:bdr w:val="single" w:color="auto" w:sz="4" w:space="0"/>
        </w:rPr>
        <w:t>注明正本或副本</w:t>
      </w:r>
    </w:p>
    <w:p w14:paraId="74ABD240">
      <w:pPr>
        <w:rPr>
          <w:rFonts w:hint="eastAsia" w:ascii="宋体" w:hAnsi="宋体" w:cs="宋体"/>
          <w:color w:val="auto"/>
          <w:szCs w:val="20"/>
          <w:highlight w:val="none"/>
        </w:rPr>
      </w:pPr>
    </w:p>
    <w:p w14:paraId="4FAAAC20">
      <w:pPr>
        <w:keepNext/>
        <w:keepLines/>
        <w:spacing w:before="340" w:after="330" w:line="576" w:lineRule="auto"/>
        <w:jc w:val="center"/>
        <w:outlineLvl w:val="9"/>
        <w:rPr>
          <w:rFonts w:hint="eastAsia" w:ascii="宋体" w:hAnsi="宋体" w:cs="宋体"/>
          <w:b/>
          <w:color w:val="auto"/>
          <w:kern w:val="44"/>
          <w:sz w:val="44"/>
          <w:highlight w:val="none"/>
        </w:rPr>
      </w:pPr>
      <w:bookmarkStart w:id="454" w:name="_Toc20083"/>
      <w:bookmarkStart w:id="455" w:name="_Toc18528"/>
      <w:r>
        <w:rPr>
          <w:rFonts w:hint="eastAsia" w:ascii="宋体" w:hAnsi="宋体" w:cs="宋体"/>
          <w:b/>
          <w:color w:val="auto"/>
          <w:kern w:val="44"/>
          <w:sz w:val="44"/>
          <w:highlight w:val="none"/>
        </w:rPr>
        <w:t>商务标</w:t>
      </w:r>
      <w:bookmarkEnd w:id="453"/>
      <w:bookmarkEnd w:id="454"/>
      <w:bookmarkEnd w:id="455"/>
    </w:p>
    <w:p w14:paraId="32424DF2">
      <w:pPr>
        <w:jc w:val="center"/>
        <w:rPr>
          <w:rFonts w:hint="eastAsia" w:ascii="宋体" w:hAnsi="宋体" w:cs="宋体"/>
          <w:color w:val="auto"/>
          <w:sz w:val="36"/>
          <w:szCs w:val="36"/>
          <w:highlight w:val="none"/>
        </w:rPr>
      </w:pPr>
      <w:r>
        <w:rPr>
          <w:rFonts w:hint="eastAsia" w:ascii="宋体" w:hAnsi="宋体" w:cs="宋体"/>
          <w:color w:val="auto"/>
          <w:sz w:val="44"/>
          <w:szCs w:val="44"/>
          <w:highlight w:val="none"/>
        </w:rPr>
        <w:t>（</w:t>
      </w:r>
      <w:r>
        <w:rPr>
          <w:rFonts w:hint="eastAsia" w:ascii="宋体" w:hAnsi="宋体" w:cs="宋体"/>
          <w:color w:val="auto"/>
          <w:sz w:val="36"/>
          <w:szCs w:val="36"/>
          <w:highlight w:val="none"/>
        </w:rPr>
        <w:t>响应文件三）</w:t>
      </w:r>
    </w:p>
    <w:p w14:paraId="7C0DD418">
      <w:pPr>
        <w:jc w:val="center"/>
        <w:rPr>
          <w:rFonts w:hint="eastAsia" w:ascii="宋体" w:hAnsi="宋体" w:cs="宋体"/>
          <w:color w:val="auto"/>
          <w:sz w:val="36"/>
          <w:szCs w:val="36"/>
          <w:highlight w:val="none"/>
        </w:rPr>
      </w:pPr>
    </w:p>
    <w:p w14:paraId="573235A5">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5921B76F">
      <w:pPr>
        <w:ind w:firstLine="2800" w:firstLineChars="1000"/>
        <w:rPr>
          <w:rFonts w:hint="eastAsia" w:ascii="宋体" w:hAnsi="宋体" w:cs="宋体"/>
          <w:color w:val="auto"/>
          <w:sz w:val="28"/>
          <w:szCs w:val="28"/>
          <w:highlight w:val="none"/>
        </w:rPr>
      </w:pPr>
    </w:p>
    <w:p w14:paraId="6C0CA7AE">
      <w:pPr>
        <w:ind w:firstLine="2800" w:firstLineChars="1000"/>
        <w:rPr>
          <w:rFonts w:hint="eastAsia" w:ascii="宋体" w:hAnsi="宋体" w:cs="宋体"/>
          <w:color w:val="auto"/>
          <w:sz w:val="44"/>
          <w:szCs w:val="44"/>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rPr>
        <w:t xml:space="preserve">            </w:t>
      </w:r>
    </w:p>
    <w:p w14:paraId="185B3485">
      <w:pPr>
        <w:rPr>
          <w:rFonts w:hint="eastAsia" w:ascii="宋体" w:hAnsi="宋体" w:cs="宋体"/>
          <w:color w:val="auto"/>
          <w:sz w:val="28"/>
          <w:szCs w:val="28"/>
          <w:highlight w:val="none"/>
        </w:rPr>
      </w:pPr>
    </w:p>
    <w:p w14:paraId="6492345F">
      <w:pPr>
        <w:rPr>
          <w:rFonts w:hint="eastAsia" w:ascii="宋体" w:hAnsi="宋体" w:cs="宋体"/>
          <w:color w:val="auto"/>
          <w:sz w:val="28"/>
          <w:szCs w:val="28"/>
          <w:highlight w:val="none"/>
        </w:rPr>
      </w:pPr>
    </w:p>
    <w:p w14:paraId="71EA816E">
      <w:pPr>
        <w:rPr>
          <w:rFonts w:hint="eastAsia" w:ascii="宋体" w:hAnsi="宋体" w:cs="宋体"/>
          <w:color w:val="auto"/>
          <w:sz w:val="28"/>
          <w:szCs w:val="28"/>
          <w:highlight w:val="none"/>
        </w:rPr>
      </w:pPr>
    </w:p>
    <w:p w14:paraId="1C4A130F">
      <w:pPr>
        <w:rPr>
          <w:rFonts w:hint="eastAsia" w:ascii="宋体" w:hAnsi="宋体" w:cs="宋体"/>
          <w:color w:val="auto"/>
          <w:sz w:val="28"/>
          <w:szCs w:val="28"/>
          <w:highlight w:val="none"/>
        </w:rPr>
      </w:pPr>
    </w:p>
    <w:p w14:paraId="3200183F">
      <w:pPr>
        <w:rPr>
          <w:rFonts w:hint="eastAsia" w:ascii="宋体" w:hAnsi="宋体" w:cs="宋体"/>
          <w:color w:val="auto"/>
          <w:sz w:val="28"/>
          <w:szCs w:val="28"/>
          <w:highlight w:val="none"/>
        </w:rPr>
      </w:pPr>
    </w:p>
    <w:p w14:paraId="533FDBA8">
      <w:pPr>
        <w:rPr>
          <w:rFonts w:hint="eastAsia" w:ascii="宋体" w:hAnsi="宋体" w:cs="宋体"/>
          <w:color w:val="auto"/>
          <w:sz w:val="28"/>
          <w:szCs w:val="28"/>
          <w:highlight w:val="none"/>
        </w:rPr>
      </w:pPr>
    </w:p>
    <w:p w14:paraId="2FF23196">
      <w:pPr>
        <w:rPr>
          <w:rFonts w:hint="eastAsia" w:ascii="宋体" w:hAnsi="宋体" w:cs="宋体"/>
          <w:color w:val="auto"/>
          <w:sz w:val="28"/>
          <w:szCs w:val="28"/>
          <w:highlight w:val="none"/>
        </w:rPr>
      </w:pPr>
    </w:p>
    <w:p w14:paraId="0C4AAB53">
      <w:pPr>
        <w:rPr>
          <w:rFonts w:hint="eastAsia" w:ascii="宋体" w:hAnsi="宋体" w:cs="宋体"/>
          <w:color w:val="auto"/>
          <w:sz w:val="28"/>
          <w:szCs w:val="28"/>
          <w:highlight w:val="none"/>
        </w:rPr>
      </w:pPr>
    </w:p>
    <w:p w14:paraId="0C00859B">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7B21A699">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3CDD56A7">
      <w:pPr>
        <w:jc w:val="center"/>
        <w:rPr>
          <w:rFonts w:hint="default" w:ascii="宋体" w:hAnsi="宋体" w:eastAsia="宋体" w:cs="宋体"/>
          <w:color w:val="auto"/>
          <w:sz w:val="28"/>
          <w:szCs w:val="28"/>
          <w:highlight w:val="none"/>
          <w:lang w:val="en-US" w:eastAsia="zh-CN"/>
        </w:rPr>
        <w:sectPr>
          <w:pgSz w:w="11906" w:h="16838"/>
          <w:pgMar w:top="1134" w:right="1417" w:bottom="1134" w:left="1417" w:header="283" w:footer="680" w:gutter="0"/>
          <w:cols w:space="720" w:num="1"/>
          <w:titlePg/>
          <w:rtlGutter w:val="0"/>
          <w:docGrid w:type="lines" w:linePitch="312" w:charSpace="0"/>
        </w:sect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日</w:t>
      </w:r>
    </w:p>
    <w:p w14:paraId="0D706C54">
      <w:pPr>
        <w:spacing w:line="4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45E2C070">
      <w:pPr>
        <w:spacing w:line="400" w:lineRule="exact"/>
        <w:ind w:firstLine="597" w:firstLineChars="249"/>
        <w:rPr>
          <w:rFonts w:hint="eastAsia" w:ascii="宋体" w:hAnsi="宋体" w:cs="宋体"/>
          <w:color w:val="auto"/>
          <w:sz w:val="24"/>
          <w:szCs w:val="20"/>
          <w:highlight w:val="none"/>
        </w:rPr>
      </w:pPr>
    </w:p>
    <w:p w14:paraId="48FACEEB">
      <w:pPr>
        <w:spacing w:line="440" w:lineRule="exact"/>
        <w:ind w:firstLine="470" w:firstLineChars="196"/>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（1）开标一览表（格式见附件）；</w:t>
      </w:r>
    </w:p>
    <w:p w14:paraId="223550B1">
      <w:pPr>
        <w:spacing w:line="440" w:lineRule="exact"/>
        <w:ind w:firstLine="470" w:firstLineChars="196"/>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（2）磋商响应函（格式见附件）；</w:t>
      </w:r>
    </w:p>
    <w:p w14:paraId="463577E6">
      <w:pPr>
        <w:spacing w:line="440" w:lineRule="exact"/>
        <w:ind w:firstLine="470" w:firstLineChars="196"/>
        <w:rPr>
          <w:rFonts w:hint="eastAsia" w:ascii="宋体" w:hAnsi="宋体" w:cs="宋体"/>
          <w:color w:val="auto"/>
          <w:kern w:val="0"/>
          <w:sz w:val="24"/>
          <w:szCs w:val="24"/>
          <w:highlight w:val="none"/>
          <w:u w:val="none" w:color="000000"/>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w:t>
      </w:r>
      <w:r>
        <w:rPr>
          <w:rFonts w:hint="eastAsia" w:ascii="宋体" w:hAnsi="宋体" w:cs="宋体"/>
          <w:color w:val="auto"/>
          <w:kern w:val="0"/>
          <w:sz w:val="24"/>
          <w:szCs w:val="24"/>
          <w:highlight w:val="none"/>
          <w:u w:val="none" w:color="000000"/>
        </w:rPr>
        <w:t>供应商针对本项目认为需要提供的其他证明材料。</w:t>
      </w:r>
    </w:p>
    <w:p w14:paraId="5628A5BE">
      <w:pPr>
        <w:widowControl/>
        <w:spacing w:line="357" w:lineRule="atLeast"/>
        <w:textAlignment w:val="baseline"/>
        <w:rPr>
          <w:rFonts w:hint="eastAsia" w:ascii="宋体" w:hAnsi="宋体" w:cs="宋体"/>
          <w:b/>
          <w:bCs/>
          <w:color w:val="auto"/>
          <w:kern w:val="0"/>
          <w:sz w:val="30"/>
          <w:szCs w:val="30"/>
          <w:highlight w:val="none"/>
          <w:u w:val="none" w:color="000000"/>
        </w:rPr>
      </w:pPr>
    </w:p>
    <w:p w14:paraId="52730987">
      <w:pPr>
        <w:widowControl/>
        <w:spacing w:line="357" w:lineRule="atLeast"/>
        <w:jc w:val="center"/>
        <w:textAlignment w:val="baseline"/>
        <w:rPr>
          <w:rFonts w:hint="eastAsia" w:ascii="宋体" w:hAnsi="宋体" w:cs="宋体"/>
          <w:b/>
          <w:bCs/>
          <w:color w:val="auto"/>
          <w:kern w:val="0"/>
          <w:sz w:val="30"/>
          <w:szCs w:val="30"/>
          <w:highlight w:val="none"/>
          <w:u w:val="none" w:color="000000"/>
        </w:rPr>
      </w:pPr>
    </w:p>
    <w:p w14:paraId="4968430B">
      <w:pPr>
        <w:widowControl/>
        <w:spacing w:line="357" w:lineRule="atLeast"/>
        <w:jc w:val="center"/>
        <w:textAlignment w:val="baseline"/>
        <w:rPr>
          <w:rFonts w:hint="eastAsia" w:ascii="宋体" w:hAnsi="宋体" w:cs="宋体"/>
          <w:b/>
          <w:color w:val="auto"/>
          <w:kern w:val="0"/>
          <w:sz w:val="28"/>
          <w:szCs w:val="28"/>
          <w:highlight w:val="none"/>
          <w:u w:val="none" w:color="000000"/>
        </w:rPr>
      </w:pPr>
    </w:p>
    <w:p w14:paraId="681B9A06">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22C7A8F5">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6990C6E8">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6EB2CAE6">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6245BCA4">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669074CF">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10A56F08">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66332E8A">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1652A87C">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1E4F4E78">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7E2B0C9A">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02801440">
      <w:pPr>
        <w:widowControl/>
        <w:spacing w:line="360" w:lineRule="exact"/>
        <w:ind w:firstLine="531" w:firstLineChars="147"/>
        <w:jc w:val="center"/>
        <w:textAlignment w:val="baseline"/>
        <w:rPr>
          <w:rFonts w:hint="eastAsia" w:ascii="宋体" w:hAnsi="宋体" w:cs="宋体"/>
          <w:b/>
          <w:color w:val="auto"/>
          <w:kern w:val="0"/>
          <w:sz w:val="36"/>
          <w:szCs w:val="36"/>
          <w:highlight w:val="none"/>
          <w:u w:val="none" w:color="000000"/>
        </w:rPr>
      </w:pPr>
    </w:p>
    <w:p w14:paraId="02C1CC01">
      <w:pPr>
        <w:widowControl/>
        <w:spacing w:line="440" w:lineRule="exact"/>
        <w:jc w:val="center"/>
        <w:textAlignment w:val="baseline"/>
        <w:rPr>
          <w:rFonts w:hint="eastAsia" w:ascii="宋体" w:hAnsi="宋体" w:cs="宋体"/>
          <w:b/>
          <w:color w:val="auto"/>
          <w:kern w:val="0"/>
          <w:sz w:val="32"/>
          <w:szCs w:val="32"/>
          <w:highlight w:val="none"/>
          <w:u w:val="none" w:color="000000"/>
        </w:rPr>
      </w:pPr>
      <w:r>
        <w:rPr>
          <w:rFonts w:hint="eastAsia" w:ascii="宋体" w:hAnsi="宋体" w:cs="宋体"/>
          <w:b/>
          <w:color w:val="auto"/>
          <w:kern w:val="0"/>
          <w:sz w:val="36"/>
          <w:szCs w:val="36"/>
          <w:highlight w:val="none"/>
          <w:u w:val="none" w:color="000000"/>
        </w:rPr>
        <w:br w:type="page"/>
      </w:r>
      <w:r>
        <w:rPr>
          <w:rFonts w:hint="eastAsia" w:ascii="宋体" w:hAnsi="宋体" w:cs="宋体"/>
          <w:b/>
          <w:color w:val="auto"/>
          <w:kern w:val="0"/>
          <w:sz w:val="32"/>
          <w:szCs w:val="32"/>
          <w:highlight w:val="none"/>
          <w:u w:val="none" w:color="000000"/>
        </w:rPr>
        <w:t>附件1、开标一览表</w:t>
      </w:r>
    </w:p>
    <w:p w14:paraId="3E9064FD">
      <w:pPr>
        <w:snapToGrid w:val="0"/>
        <w:spacing w:line="460" w:lineRule="exact"/>
        <w:textAlignment w:val="baseline"/>
        <w:rPr>
          <w:rFonts w:hint="eastAsia" w:ascii="宋体" w:hAnsi="宋体" w:cs="宋体"/>
          <w:color w:val="auto"/>
          <w:kern w:val="0"/>
          <w:sz w:val="24"/>
          <w:highlight w:val="none"/>
          <w:u w:val="none" w:color="000000"/>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208"/>
      </w:tblGrid>
      <w:tr w14:paraId="34DF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exact"/>
          <w:jc w:val="center"/>
        </w:trPr>
        <w:tc>
          <w:tcPr>
            <w:tcW w:w="1812" w:type="dxa"/>
            <w:noWrap w:val="0"/>
            <w:vAlign w:val="center"/>
          </w:tcPr>
          <w:p w14:paraId="0B5C1B06">
            <w:pPr>
              <w:widowControl/>
              <w:spacing w:line="440" w:lineRule="exact"/>
              <w:jc w:val="center"/>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项目名称</w:t>
            </w:r>
          </w:p>
        </w:tc>
        <w:tc>
          <w:tcPr>
            <w:tcW w:w="7208" w:type="dxa"/>
            <w:noWrap w:val="0"/>
            <w:vAlign w:val="center"/>
          </w:tcPr>
          <w:p w14:paraId="7A94880B">
            <w:pPr>
              <w:widowControl/>
              <w:spacing w:line="440" w:lineRule="exact"/>
              <w:jc w:val="left"/>
              <w:textAlignment w:val="baseline"/>
              <w:rPr>
                <w:rFonts w:hint="eastAsia" w:ascii="宋体" w:hAnsi="宋体" w:eastAsia="宋体" w:cs="宋体"/>
                <w:color w:val="auto"/>
                <w:kern w:val="0"/>
                <w:szCs w:val="21"/>
                <w:highlight w:val="none"/>
                <w:u w:val="none" w:color="000000"/>
                <w:lang w:eastAsia="zh-CN"/>
              </w:rPr>
            </w:pPr>
            <w:r>
              <w:rPr>
                <w:rFonts w:hint="eastAsia" w:ascii="宋体" w:hAnsi="宋体" w:cs="宋体"/>
                <w:color w:val="auto"/>
                <w:kern w:val="0"/>
                <w:szCs w:val="21"/>
                <w:highlight w:val="none"/>
                <w:u w:val="none" w:color="000000"/>
                <w:lang w:eastAsia="zh-CN"/>
              </w:rPr>
              <w:t>滁州学院2026年会峰校区供水管网物探、测绘及基础信息建设服务项目</w:t>
            </w:r>
          </w:p>
        </w:tc>
      </w:tr>
      <w:tr w14:paraId="7799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exact"/>
          <w:jc w:val="center"/>
        </w:trPr>
        <w:tc>
          <w:tcPr>
            <w:tcW w:w="1812" w:type="dxa"/>
            <w:noWrap w:val="0"/>
            <w:vAlign w:val="center"/>
          </w:tcPr>
          <w:p w14:paraId="708BA55F">
            <w:pPr>
              <w:widowControl/>
              <w:spacing w:line="440" w:lineRule="exact"/>
              <w:jc w:val="center"/>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项目编号</w:t>
            </w:r>
          </w:p>
        </w:tc>
        <w:tc>
          <w:tcPr>
            <w:tcW w:w="7208" w:type="dxa"/>
            <w:noWrap w:val="0"/>
            <w:vAlign w:val="center"/>
          </w:tcPr>
          <w:p w14:paraId="210ADF92">
            <w:pPr>
              <w:widowControl/>
              <w:spacing w:line="440" w:lineRule="exact"/>
              <w:textAlignment w:val="baseline"/>
              <w:rPr>
                <w:rFonts w:hint="eastAsia" w:ascii="宋体" w:hAnsi="宋体" w:eastAsia="宋体" w:cs="宋体"/>
                <w:color w:val="auto"/>
                <w:kern w:val="0"/>
                <w:szCs w:val="21"/>
                <w:highlight w:val="none"/>
                <w:u w:val="none" w:color="000000"/>
                <w:lang w:val="en-US" w:eastAsia="zh-CN"/>
              </w:rPr>
            </w:pPr>
            <w:r>
              <w:rPr>
                <w:rFonts w:hint="eastAsia" w:ascii="宋体" w:hAnsi="宋体" w:cs="宋体"/>
                <w:color w:val="auto"/>
                <w:kern w:val="0"/>
                <w:szCs w:val="21"/>
                <w:highlight w:val="none"/>
                <w:u w:val="none" w:color="000000"/>
              </w:rPr>
              <w:t xml:space="preserve"> </w:t>
            </w:r>
            <w:r>
              <w:rPr>
                <w:rFonts w:hint="eastAsia" w:ascii="宋体" w:hAnsi="宋体" w:cs="宋体"/>
                <w:color w:val="auto"/>
                <w:kern w:val="0"/>
                <w:szCs w:val="21"/>
                <w:highlight w:val="none"/>
                <w:u w:val="none" w:color="000000"/>
                <w:lang w:eastAsia="zh-CN"/>
              </w:rPr>
              <w:t>2026CG-007</w:t>
            </w:r>
          </w:p>
        </w:tc>
      </w:tr>
      <w:tr w14:paraId="193C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1812" w:type="dxa"/>
            <w:noWrap w:val="0"/>
            <w:vAlign w:val="center"/>
          </w:tcPr>
          <w:p w14:paraId="39EDE1DB">
            <w:pPr>
              <w:widowControl/>
              <w:spacing w:line="440" w:lineRule="exact"/>
              <w:jc w:val="center"/>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供应商名称</w:t>
            </w:r>
          </w:p>
        </w:tc>
        <w:tc>
          <w:tcPr>
            <w:tcW w:w="7208" w:type="dxa"/>
            <w:noWrap w:val="0"/>
            <w:vAlign w:val="top"/>
          </w:tcPr>
          <w:p w14:paraId="5C62ED62">
            <w:pPr>
              <w:spacing w:line="440" w:lineRule="exact"/>
              <w:rPr>
                <w:rFonts w:hint="eastAsia" w:ascii="宋体" w:hAnsi="宋体" w:cs="宋体"/>
                <w:color w:val="auto"/>
                <w:szCs w:val="21"/>
                <w:highlight w:val="none"/>
                <w:u w:val="none" w:color="000000"/>
              </w:rPr>
            </w:pPr>
          </w:p>
        </w:tc>
      </w:tr>
      <w:tr w14:paraId="1C98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1812" w:type="dxa"/>
            <w:noWrap w:val="0"/>
            <w:vAlign w:val="center"/>
          </w:tcPr>
          <w:p w14:paraId="412933A2">
            <w:pPr>
              <w:spacing w:line="440" w:lineRule="exact"/>
              <w:jc w:val="center"/>
              <w:rPr>
                <w:rFonts w:hint="eastAsia" w:ascii="宋体" w:hAnsi="宋体" w:cs="宋体"/>
                <w:color w:val="auto"/>
                <w:kern w:val="0"/>
                <w:szCs w:val="21"/>
                <w:highlight w:val="none"/>
                <w:u w:val="none" w:color="000000"/>
              </w:rPr>
            </w:pPr>
            <w:r>
              <w:rPr>
                <w:rFonts w:hint="eastAsia" w:ascii="宋体" w:hAnsi="宋体" w:cs="宋体"/>
                <w:b/>
                <w:color w:val="auto"/>
                <w:szCs w:val="21"/>
                <w:highlight w:val="none"/>
              </w:rPr>
              <w:t>磋商范围</w:t>
            </w:r>
          </w:p>
        </w:tc>
        <w:tc>
          <w:tcPr>
            <w:tcW w:w="7208" w:type="dxa"/>
            <w:noWrap w:val="0"/>
            <w:vAlign w:val="center"/>
          </w:tcPr>
          <w:p w14:paraId="0EB93FFF">
            <w:pPr>
              <w:widowControl/>
              <w:spacing w:line="440" w:lineRule="exact"/>
              <w:rPr>
                <w:rFonts w:hint="eastAsia" w:ascii="宋体" w:hAnsi="宋体" w:cs="宋体"/>
                <w:color w:val="auto"/>
                <w:szCs w:val="21"/>
                <w:highlight w:val="none"/>
                <w:u w:val="none" w:color="000000"/>
              </w:rPr>
            </w:pPr>
            <w:r>
              <w:rPr>
                <w:rFonts w:hint="eastAsia" w:ascii="宋体" w:hAnsi="宋体" w:cs="宋体"/>
                <w:color w:val="auto"/>
                <w:szCs w:val="21"/>
                <w:highlight w:val="none"/>
              </w:rPr>
              <w:t>全部</w:t>
            </w:r>
          </w:p>
        </w:tc>
      </w:tr>
      <w:tr w14:paraId="0C2F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0" w:hRule="exact"/>
          <w:jc w:val="center"/>
        </w:trPr>
        <w:tc>
          <w:tcPr>
            <w:tcW w:w="1812" w:type="dxa"/>
            <w:noWrap w:val="0"/>
            <w:vAlign w:val="center"/>
          </w:tcPr>
          <w:p w14:paraId="14DDF66F">
            <w:pPr>
              <w:widowControl/>
              <w:spacing w:line="440" w:lineRule="exact"/>
              <w:jc w:val="center"/>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总磋商报价\服务期限</w:t>
            </w:r>
          </w:p>
        </w:tc>
        <w:tc>
          <w:tcPr>
            <w:tcW w:w="7208" w:type="dxa"/>
            <w:noWrap w:val="0"/>
            <w:vAlign w:val="center"/>
          </w:tcPr>
          <w:p w14:paraId="4CFFE1F3">
            <w:pPr>
              <w:widowControl/>
              <w:spacing w:line="440" w:lineRule="exac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u w:val="none" w:color="000000"/>
              </w:rPr>
              <w:t>磋商总报价 （大写）：</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元</w:t>
            </w:r>
          </w:p>
          <w:p w14:paraId="19B8E3EF">
            <w:pPr>
              <w:widowControl/>
              <w:spacing w:line="440" w:lineRule="exac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u w:val="none" w:color="000000"/>
              </w:rPr>
              <w:t xml:space="preserve">           （小写）：</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元</w:t>
            </w:r>
          </w:p>
          <w:p w14:paraId="2AA904E4">
            <w:pPr>
              <w:widowControl/>
              <w:spacing w:line="440" w:lineRule="exact"/>
              <w:textAlignment w:val="baseline"/>
              <w:rPr>
                <w:rFonts w:hint="eastAsia" w:ascii="宋体" w:hAnsi="宋体" w:cs="宋体"/>
                <w:color w:val="auto"/>
                <w:kern w:val="0"/>
                <w:szCs w:val="21"/>
                <w:highlight w:val="none"/>
                <w:u w:val="none" w:color="000000"/>
                <w:lang w:val="en-US" w:eastAsia="zh-CN"/>
              </w:rPr>
            </w:pPr>
          </w:p>
          <w:p w14:paraId="704D56E0">
            <w:pPr>
              <w:widowControl/>
              <w:spacing w:line="440" w:lineRule="exact"/>
              <w:textAlignment w:val="baseline"/>
              <w:rPr>
                <w:rFonts w:hint="eastAsia" w:ascii="宋体" w:hAnsi="宋体" w:cs="宋体"/>
                <w:color w:val="auto"/>
                <w:kern w:val="0"/>
                <w:szCs w:val="21"/>
                <w:highlight w:val="none"/>
                <w:u w:val="none" w:color="000000"/>
              </w:rPr>
            </w:pPr>
          </w:p>
          <w:p w14:paraId="4D478A80">
            <w:pPr>
              <w:widowControl/>
              <w:spacing w:line="440" w:lineRule="exact"/>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服务期限：</w:t>
            </w:r>
            <w:r>
              <w:rPr>
                <w:rFonts w:hint="eastAsia" w:ascii="宋体" w:hAnsi="宋体" w:cs="宋体"/>
                <w:color w:val="auto"/>
                <w:kern w:val="0"/>
                <w:szCs w:val="21"/>
                <w:highlight w:val="none"/>
                <w:u w:val="single"/>
              </w:rPr>
              <w:t xml:space="preserve">               。</w:t>
            </w:r>
          </w:p>
        </w:tc>
      </w:tr>
    </w:tbl>
    <w:p w14:paraId="47DF6EE4">
      <w:pPr>
        <w:snapToGrid w:val="0"/>
        <w:spacing w:line="460" w:lineRule="exact"/>
        <w:ind w:left="2940" w:leftChars="1400" w:firstLine="723" w:firstLineChars="300"/>
        <w:textAlignment w:val="baseline"/>
        <w:rPr>
          <w:rFonts w:hint="eastAsia" w:ascii="宋体" w:hAnsi="宋体" w:cs="宋体"/>
          <w:b/>
          <w:color w:val="auto"/>
          <w:kern w:val="0"/>
          <w:sz w:val="24"/>
          <w:highlight w:val="none"/>
          <w:u w:val="none" w:color="000000"/>
        </w:rPr>
      </w:pPr>
    </w:p>
    <w:p w14:paraId="10989AA4">
      <w:pPr>
        <w:snapToGrid w:val="0"/>
        <w:spacing w:line="460" w:lineRule="exact"/>
        <w:ind w:left="2940" w:leftChars="1400" w:firstLine="723" w:firstLineChars="300"/>
        <w:textAlignment w:val="baseline"/>
        <w:rPr>
          <w:rFonts w:hint="eastAsia" w:ascii="宋体" w:hAnsi="宋体" w:cs="宋体"/>
          <w:b/>
          <w:color w:val="auto"/>
          <w:kern w:val="0"/>
          <w:sz w:val="24"/>
          <w:highlight w:val="none"/>
          <w:u w:val="none" w:color="000000"/>
        </w:rPr>
      </w:pPr>
    </w:p>
    <w:p w14:paraId="2718038F">
      <w:pPr>
        <w:snapToGrid w:val="0"/>
        <w:spacing w:line="460" w:lineRule="exact"/>
        <w:ind w:left="2940" w:leftChars="1400" w:firstLine="723" w:firstLineChars="300"/>
        <w:textAlignment w:val="baseline"/>
        <w:rPr>
          <w:rFonts w:hint="eastAsia" w:ascii="宋体" w:hAnsi="宋体" w:cs="宋体"/>
          <w:b/>
          <w:color w:val="auto"/>
          <w:kern w:val="0"/>
          <w:sz w:val="24"/>
          <w:highlight w:val="none"/>
          <w:u w:val="none" w:color="000000"/>
        </w:rPr>
      </w:pPr>
    </w:p>
    <w:p w14:paraId="7EEBA260">
      <w:pPr>
        <w:widowControl/>
        <w:spacing w:line="357" w:lineRule="atLeas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xml:space="preserve">法定代表人（签字或盖章）：                </w:t>
      </w:r>
    </w:p>
    <w:p w14:paraId="1DE85658">
      <w:pPr>
        <w:widowControl/>
        <w:spacing w:line="357" w:lineRule="atLeast"/>
        <w:textAlignment w:val="baseline"/>
        <w:rPr>
          <w:rFonts w:hint="eastAsia" w:ascii="宋体" w:hAnsi="宋体" w:cs="宋体"/>
          <w:color w:val="auto"/>
          <w:kern w:val="0"/>
          <w:sz w:val="24"/>
          <w:highlight w:val="none"/>
          <w:u w:val="none" w:color="000000"/>
        </w:rPr>
      </w:pPr>
    </w:p>
    <w:p w14:paraId="3B77CDEE">
      <w:pPr>
        <w:widowControl/>
        <w:spacing w:line="357" w:lineRule="atLeas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供应商（盖单位章）：</w:t>
      </w:r>
    </w:p>
    <w:p w14:paraId="03311221">
      <w:pPr>
        <w:widowControl/>
        <w:spacing w:line="357" w:lineRule="atLeast"/>
        <w:textAlignment w:val="baseline"/>
        <w:rPr>
          <w:rFonts w:hint="eastAsia" w:ascii="宋体" w:hAnsi="宋体" w:cs="宋体"/>
          <w:color w:val="auto"/>
          <w:kern w:val="0"/>
          <w:sz w:val="24"/>
          <w:highlight w:val="none"/>
          <w:u w:val="none" w:color="000000"/>
        </w:rPr>
      </w:pPr>
    </w:p>
    <w:p w14:paraId="5E817C00">
      <w:pPr>
        <w:widowControl/>
        <w:spacing w:line="357" w:lineRule="atLeast"/>
        <w:textAlignment w:val="baseline"/>
        <w:rPr>
          <w:rFonts w:hint="eastAsia" w:ascii="宋体" w:hAnsi="宋体" w:cs="宋体"/>
          <w:color w:val="auto"/>
          <w:kern w:val="0"/>
          <w:sz w:val="24"/>
          <w:highlight w:val="none"/>
          <w:u w:val="none" w:color="000000"/>
        </w:rPr>
      </w:pPr>
    </w:p>
    <w:p w14:paraId="73F9551B">
      <w:pPr>
        <w:snapToGrid w:val="0"/>
        <w:spacing w:before="312" w:beforeLines="100" w:after="312" w:afterLines="100" w:line="360" w:lineRule="auto"/>
        <w:jc w:val="center"/>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xml:space="preserve">                                      日  期：    年  月  日 </w:t>
      </w:r>
    </w:p>
    <w:p w14:paraId="28511F3C">
      <w:pPr>
        <w:widowControl/>
        <w:spacing w:line="357" w:lineRule="atLeast"/>
        <w:ind w:right="-178" w:rightChars="-85"/>
        <w:textAlignment w:val="baseline"/>
        <w:rPr>
          <w:rFonts w:hint="eastAsia" w:ascii="宋体" w:hAnsi="宋体" w:cs="宋体"/>
          <w:color w:val="auto"/>
          <w:kern w:val="0"/>
          <w:sz w:val="24"/>
          <w:szCs w:val="20"/>
          <w:highlight w:val="none"/>
          <w:u w:val="single" w:color="000000"/>
        </w:rPr>
      </w:pPr>
    </w:p>
    <w:p w14:paraId="5DF0AA11">
      <w:pPr>
        <w:pStyle w:val="36"/>
        <w:ind w:firstLine="480"/>
        <w:rPr>
          <w:rFonts w:hint="eastAsia" w:cs="宋体"/>
          <w:color w:val="auto"/>
          <w:kern w:val="0"/>
          <w:sz w:val="24"/>
          <w:highlight w:val="none"/>
          <w:u w:val="single" w:color="000000"/>
        </w:rPr>
      </w:pPr>
    </w:p>
    <w:p w14:paraId="511C6AB5">
      <w:pPr>
        <w:keepNext/>
        <w:keepLines/>
        <w:spacing w:before="260" w:after="260" w:line="415" w:lineRule="auto"/>
        <w:jc w:val="center"/>
        <w:outlineLvl w:val="9"/>
        <w:rPr>
          <w:rFonts w:hint="eastAsia" w:ascii="宋体" w:hAnsi="宋体" w:cs="宋体"/>
          <w:b/>
          <w:color w:val="auto"/>
          <w:sz w:val="32"/>
          <w:highlight w:val="none"/>
        </w:rPr>
      </w:pPr>
      <w:bookmarkStart w:id="456" w:name="_Toc7380"/>
      <w:bookmarkStart w:id="457" w:name="_Toc9504"/>
      <w:r>
        <w:rPr>
          <w:rFonts w:hint="eastAsia" w:ascii="宋体" w:hAnsi="宋体" w:cs="宋体"/>
          <w:b/>
          <w:color w:val="auto"/>
          <w:sz w:val="32"/>
          <w:highlight w:val="none"/>
        </w:rPr>
        <w:t>附件2、磋商响应函</w:t>
      </w:r>
      <w:bookmarkEnd w:id="456"/>
      <w:bookmarkEnd w:id="457"/>
    </w:p>
    <w:p w14:paraId="16C71450">
      <w:pPr>
        <w:spacing w:line="440" w:lineRule="exact"/>
        <w:rPr>
          <w:rFonts w:hint="eastAsia" w:ascii="宋体" w:hAnsi="宋体" w:cs="宋体"/>
          <w:color w:val="auto"/>
          <w:sz w:val="24"/>
          <w:szCs w:val="20"/>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（采购人）                 </w:t>
      </w:r>
    </w:p>
    <w:p w14:paraId="05FF4F52">
      <w:pPr>
        <w:widowControl/>
        <w:wordWrap w:val="0"/>
        <w:spacing w:line="44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（项目名称）磋商文件的全部内容，</w:t>
      </w:r>
      <w:r>
        <w:rPr>
          <w:rFonts w:hint="eastAsia" w:ascii="宋体" w:hAnsi="宋体" w:cs="宋体"/>
          <w:color w:val="auto"/>
          <w:kern w:val="0"/>
          <w:sz w:val="24"/>
          <w:highlight w:val="none"/>
          <w:u w:val="none" w:color="000000"/>
          <w:lang w:val="en-US" w:eastAsia="zh-CN"/>
        </w:rPr>
        <w:t>投标总</w:t>
      </w:r>
      <w:r>
        <w:rPr>
          <w:rFonts w:hint="eastAsia" w:ascii="宋体" w:hAnsi="宋体" w:cs="宋体"/>
          <w:color w:val="auto"/>
          <w:kern w:val="0"/>
          <w:sz w:val="24"/>
          <w:highlight w:val="none"/>
          <w:u w:val="none" w:color="000000"/>
        </w:rPr>
        <w:t>报价</w:t>
      </w:r>
      <w:r>
        <w:rPr>
          <w:rFonts w:hint="eastAsia" w:ascii="宋体" w:hAnsi="宋体" w:cs="宋体"/>
          <w:color w:val="auto"/>
          <w:sz w:val="24"/>
          <w:highlight w:val="none"/>
        </w:rPr>
        <w:t>愿意以人民币</w:t>
      </w:r>
      <w:r>
        <w:rPr>
          <w:rFonts w:hint="eastAsia" w:ascii="宋体" w:hAnsi="宋体" w:cs="宋体"/>
          <w:color w:val="auto"/>
          <w:kern w:val="0"/>
          <w:sz w:val="24"/>
          <w:highlight w:val="none"/>
          <w:u w:val="none" w:color="000000"/>
        </w:rPr>
        <w:t>（大写）：</w:t>
      </w:r>
      <w:r>
        <w:rPr>
          <w:rFonts w:hint="eastAsia"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rPr>
        <w:t>元</w:t>
      </w:r>
      <w:r>
        <w:rPr>
          <w:rFonts w:hint="eastAsia" w:ascii="宋体" w:hAnsi="宋体" w:cs="宋体"/>
          <w:color w:val="auto"/>
          <w:sz w:val="24"/>
          <w:highlight w:val="none"/>
        </w:rPr>
        <w:t>，</w:t>
      </w:r>
      <w:r>
        <w:rPr>
          <w:rFonts w:hint="eastAsia" w:ascii="宋体" w:hAnsi="宋体" w:cs="宋体"/>
          <w:color w:val="auto"/>
          <w:kern w:val="0"/>
          <w:sz w:val="24"/>
          <w:highlight w:val="none"/>
          <w:u w:val="none" w:color="000000"/>
        </w:rPr>
        <w:t xml:space="preserve"> （小写） ：</w:t>
      </w:r>
      <w:r>
        <w:rPr>
          <w:rFonts w:hint="eastAsia"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rPr>
        <w:t>元，</w:t>
      </w:r>
      <w:r>
        <w:rPr>
          <w:rFonts w:hint="eastAsia" w:ascii="宋体" w:hAnsi="宋体" w:cs="宋体"/>
          <w:color w:val="auto"/>
          <w:sz w:val="24"/>
          <w:highlight w:val="none"/>
        </w:rPr>
        <w:t>完成所承担项目的一切工作 。</w:t>
      </w:r>
    </w:p>
    <w:p w14:paraId="27A2B0DF">
      <w:pPr>
        <w:widowControl/>
        <w:spacing w:line="440" w:lineRule="exact"/>
        <w:ind w:firstLine="480" w:firstLineChars="200"/>
        <w:textAlignment w:val="baseline"/>
        <w:rPr>
          <w:rFonts w:hint="eastAsia" w:ascii="宋体" w:hAnsi="宋体" w:cs="宋体"/>
          <w:b/>
          <w:color w:val="auto"/>
          <w:sz w:val="24"/>
          <w:highlight w:val="none"/>
        </w:rPr>
      </w:pPr>
      <w:r>
        <w:rPr>
          <w:rFonts w:hint="eastAsia" w:ascii="宋体" w:hAnsi="宋体" w:cs="宋体"/>
          <w:color w:val="auto"/>
          <w:sz w:val="24"/>
          <w:highlight w:val="none"/>
        </w:rPr>
        <w:t>根据贵方的磋商文件，签字代表</w:t>
      </w:r>
      <w:r>
        <w:rPr>
          <w:rFonts w:hint="eastAsia" w:ascii="宋体" w:hAnsi="宋体" w:cs="宋体"/>
          <w:color w:val="auto"/>
          <w:sz w:val="24"/>
          <w:highlight w:val="none"/>
          <w:u w:val="single"/>
        </w:rPr>
        <w:t xml:space="preserve">      （全名、职务）</w:t>
      </w:r>
      <w:r>
        <w:rPr>
          <w:rFonts w:hint="eastAsia" w:ascii="宋体" w:hAnsi="宋体" w:cs="宋体"/>
          <w:color w:val="auto"/>
          <w:sz w:val="24"/>
          <w:highlight w:val="none"/>
        </w:rPr>
        <w:t>经正式授权并代表</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提交包含下述内容的响应文件正本壹份、副本贰份。</w:t>
      </w:r>
    </w:p>
    <w:p w14:paraId="3A241503">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磋商响应函；</w:t>
      </w:r>
    </w:p>
    <w:p w14:paraId="355ABCF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磋商报价表；</w:t>
      </w:r>
    </w:p>
    <w:p w14:paraId="5580FCB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按磋商须知要求提供的全部文件和磋商文件要求的响应文件；</w:t>
      </w:r>
    </w:p>
    <w:p w14:paraId="3AFBFFE1">
      <w:pPr>
        <w:spacing w:line="440" w:lineRule="exact"/>
        <w:ind w:firstLine="480" w:firstLineChars="200"/>
        <w:outlineLvl w:val="9"/>
        <w:rPr>
          <w:rFonts w:hint="eastAsia" w:ascii="宋体" w:hAnsi="宋体" w:cs="宋体"/>
          <w:color w:val="auto"/>
          <w:sz w:val="24"/>
          <w:highlight w:val="none"/>
        </w:rPr>
      </w:pPr>
      <w:bookmarkStart w:id="458" w:name="_Toc28747"/>
      <w:bookmarkStart w:id="459" w:name="_Toc23961"/>
      <w:r>
        <w:rPr>
          <w:rFonts w:hint="eastAsia" w:ascii="宋体" w:hAnsi="宋体" w:cs="宋体"/>
          <w:color w:val="auto"/>
          <w:sz w:val="24"/>
          <w:highlight w:val="none"/>
        </w:rPr>
        <w:t>(4) 供应商相关证明文件；</w:t>
      </w:r>
      <w:bookmarkEnd w:id="458"/>
      <w:bookmarkEnd w:id="459"/>
    </w:p>
    <w:p w14:paraId="58B150C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我单位按磋商文件要求缴纳已缴纳磋商保证金据此函，签字代表宣布同意如下：</w:t>
      </w:r>
    </w:p>
    <w:p w14:paraId="370F5515">
      <w:pPr>
        <w:spacing w:line="440" w:lineRule="exact"/>
        <w:ind w:firstLine="480" w:firstLineChars="200"/>
        <w:outlineLvl w:val="9"/>
        <w:rPr>
          <w:rFonts w:hint="eastAsia" w:ascii="宋体" w:hAnsi="宋体" w:cs="宋体"/>
          <w:color w:val="auto"/>
          <w:sz w:val="24"/>
          <w:highlight w:val="none"/>
        </w:rPr>
      </w:pPr>
      <w:bookmarkStart w:id="460" w:name="_Toc810"/>
      <w:bookmarkStart w:id="461" w:name="_Toc12120"/>
      <w:r>
        <w:rPr>
          <w:rFonts w:hint="eastAsia" w:ascii="宋体" w:hAnsi="宋体" w:cs="宋体"/>
          <w:color w:val="auto"/>
          <w:sz w:val="24"/>
          <w:highlight w:val="none"/>
        </w:rPr>
        <w:t>1、供应商将按磋商文件的规定履行合同责任和义务；</w:t>
      </w:r>
      <w:bookmarkEnd w:id="460"/>
      <w:bookmarkEnd w:id="461"/>
    </w:p>
    <w:p w14:paraId="1C0A201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供应商已详细审查全部磋商文件，包括修改文件（如有的话）以及全部参考资料和有关附件。我们完全理解并同意放弃对这方面有不明及误解的权利；</w:t>
      </w:r>
    </w:p>
    <w:p w14:paraId="2339AE2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磋商报价自递交响应文件截止之日起有效期为</w:t>
      </w:r>
      <w:r>
        <w:rPr>
          <w:rFonts w:hint="eastAsia" w:ascii="宋体" w:hAnsi="宋体" w:cs="宋体"/>
          <w:color w:val="auto"/>
          <w:sz w:val="24"/>
          <w:highlight w:val="none"/>
          <w:u w:val="single"/>
        </w:rPr>
        <w:t xml:space="preserve"> 60</w:t>
      </w:r>
      <w:r>
        <w:rPr>
          <w:rFonts w:hint="eastAsia" w:ascii="宋体" w:hAnsi="宋体" w:cs="宋体"/>
          <w:color w:val="auto"/>
          <w:sz w:val="24"/>
          <w:highlight w:val="none"/>
        </w:rPr>
        <w:t>个日历天；</w:t>
      </w:r>
    </w:p>
    <w:p w14:paraId="62B9DA6E">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如果在规定的有效期内撤回磋商报价；或成交后未按磋商文件中磋商须知规定的向采购代理机构交纳足额的采购代理服务费，其磋商保证金将被贵方没收；</w:t>
      </w:r>
    </w:p>
    <w:p w14:paraId="5A535B8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供应商同意提供按照贵方可能要求的与其报价有关的一切数据或资料，完全理解贵方不一定要接受最低价的磋商报价或收到的任何磋商报价。</w:t>
      </w:r>
    </w:p>
    <w:p w14:paraId="37FE6A2B">
      <w:pPr>
        <w:spacing w:line="440" w:lineRule="exact"/>
        <w:ind w:firstLine="480" w:firstLineChars="200"/>
        <w:outlineLvl w:val="9"/>
        <w:rPr>
          <w:rFonts w:ascii="宋体" w:hAnsi="宋体" w:cs="宋体"/>
          <w:color w:val="auto"/>
          <w:sz w:val="24"/>
          <w:highlight w:val="none"/>
          <w:u w:val="single"/>
        </w:rPr>
      </w:pPr>
      <w:bookmarkStart w:id="462" w:name="_Toc21156"/>
      <w:bookmarkStart w:id="463" w:name="_Toc1946"/>
      <w:r>
        <w:rPr>
          <w:rFonts w:hint="eastAsia" w:ascii="宋体" w:hAnsi="宋体" w:cs="宋体"/>
          <w:color w:val="auto"/>
          <w:sz w:val="24"/>
          <w:highlight w:val="none"/>
        </w:rPr>
        <w:t>6. 我单位提供如下通讯地址：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，确认本项目相关法律文书均通过提供的以上地址送达，相关文书只要发送至以上电子邮箱（地址）即视为送达，供应商愿意承担一切法律后果。</w:t>
      </w:r>
      <w:bookmarkEnd w:id="462"/>
      <w:bookmarkEnd w:id="463"/>
    </w:p>
    <w:p w14:paraId="36CD803B">
      <w:pPr>
        <w:spacing w:line="440" w:lineRule="exact"/>
        <w:rPr>
          <w:rFonts w:hint="eastAsia" w:ascii="宋体" w:hAnsi="宋体" w:cs="宋体"/>
          <w:color w:val="auto"/>
          <w:sz w:val="24"/>
          <w:highlight w:val="none"/>
        </w:rPr>
      </w:pPr>
    </w:p>
    <w:p w14:paraId="28C1AD6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地址：              邮编：</w:t>
      </w:r>
    </w:p>
    <w:p w14:paraId="31B71FC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电话：              传真：</w:t>
      </w:r>
    </w:p>
    <w:p w14:paraId="5FA32C6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供应商代表姓名、职务：</w:t>
      </w:r>
      <w:r>
        <w:rPr>
          <w:rFonts w:hint="eastAsia" w:ascii="宋体" w:hAnsi="宋体" w:cs="宋体"/>
          <w:color w:val="auto"/>
          <w:sz w:val="24"/>
          <w:highlight w:val="none"/>
        </w:rPr>
        <w:br w:type="textWrapping"/>
      </w: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（公章）</w:t>
      </w:r>
    </w:p>
    <w:p w14:paraId="2521C86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法定代表人（签字或盖章）：</w:t>
      </w:r>
    </w:p>
    <w:p w14:paraId="1561A1E6">
      <w:pPr>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bookmarkEnd w:id="438"/>
    <w:bookmarkEnd w:id="439"/>
    <w:bookmarkEnd w:id="440"/>
    <w:p w14:paraId="634A7C68">
      <w:pPr>
        <w:keepNext/>
        <w:keepLines/>
        <w:pageBreakBefore/>
        <w:widowControl w:val="0"/>
        <w:kinsoku/>
        <w:wordWrap/>
        <w:overflowPunct/>
        <w:topLinePunct w:val="0"/>
        <w:autoSpaceDE/>
        <w:autoSpaceDN/>
        <w:bidi w:val="0"/>
        <w:adjustRightInd/>
        <w:snapToGrid/>
        <w:spacing w:before="260" w:after="260" w:line="416" w:lineRule="auto"/>
        <w:jc w:val="center"/>
        <w:textAlignment w:val="auto"/>
        <w:outlineLvl w:val="9"/>
        <w:rPr>
          <w:rFonts w:hint="eastAsia" w:ascii="宋体" w:hAnsi="宋体" w:cs="宋体"/>
          <w:b/>
          <w:color w:val="auto"/>
          <w:sz w:val="32"/>
          <w:highlight w:val="none"/>
        </w:rPr>
      </w:pPr>
      <w:bookmarkStart w:id="464" w:name="_Toc24857"/>
      <w:bookmarkStart w:id="465" w:name="_Toc13458"/>
      <w:bookmarkStart w:id="466" w:name="_Toc418769921"/>
      <w:bookmarkStart w:id="467" w:name="_Toc444778691"/>
      <w:bookmarkStart w:id="468" w:name="_Toc427016289"/>
      <w:r>
        <w:rPr>
          <w:rFonts w:hint="eastAsia" w:ascii="宋体" w:hAnsi="宋体" w:cs="宋体"/>
          <w:b/>
          <w:color w:val="auto"/>
          <w:sz w:val="32"/>
          <w:highlight w:val="none"/>
        </w:rPr>
        <w:t>附件</w:t>
      </w:r>
      <w:r>
        <w:rPr>
          <w:rFonts w:hint="eastAsia" w:ascii="宋体" w:hAnsi="宋体" w:cs="宋体"/>
          <w:b/>
          <w:color w:val="auto"/>
          <w:sz w:val="32"/>
          <w:highlight w:val="none"/>
          <w:lang w:val="en-US" w:eastAsia="zh-CN"/>
        </w:rPr>
        <w:t>3</w:t>
      </w:r>
      <w:r>
        <w:rPr>
          <w:rFonts w:hint="eastAsia" w:ascii="宋体" w:hAnsi="宋体" w:cs="宋体"/>
          <w:b/>
          <w:color w:val="auto"/>
          <w:sz w:val="32"/>
          <w:highlight w:val="none"/>
        </w:rPr>
        <w:t>、最终承诺报价表</w:t>
      </w:r>
      <w:bookmarkEnd w:id="464"/>
      <w:bookmarkEnd w:id="465"/>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78F2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53F13ED9">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6492" w:type="dxa"/>
            <w:tcBorders>
              <w:left w:val="single" w:color="auto" w:sz="4" w:space="0"/>
            </w:tcBorders>
            <w:noWrap w:val="0"/>
            <w:vAlign w:val="center"/>
          </w:tcPr>
          <w:p w14:paraId="0DCF6D70">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lang w:eastAsia="zh-CN"/>
              </w:rPr>
              <w:t>滁州学院2026年会峰校区供水管网物探、测绘及基础信息建设服务项目</w:t>
            </w:r>
            <w:r>
              <w:rPr>
                <w:rFonts w:hint="eastAsia" w:ascii="宋体" w:hAnsi="宋体" w:cs="宋体"/>
                <w:bCs/>
                <w:color w:val="auto"/>
                <w:sz w:val="24"/>
                <w:highlight w:val="none"/>
              </w:rPr>
              <w:t xml:space="preserve"> </w:t>
            </w:r>
          </w:p>
        </w:tc>
      </w:tr>
      <w:tr w14:paraId="256F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279C4717">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p>
        </w:tc>
        <w:tc>
          <w:tcPr>
            <w:tcW w:w="6492" w:type="dxa"/>
            <w:tcBorders>
              <w:left w:val="single" w:color="auto" w:sz="4" w:space="0"/>
            </w:tcBorders>
            <w:noWrap w:val="0"/>
            <w:vAlign w:val="center"/>
          </w:tcPr>
          <w:p w14:paraId="0A92CFCB">
            <w:pPr>
              <w:spacing w:line="600" w:lineRule="exact"/>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2026CG-007</w:t>
            </w:r>
          </w:p>
        </w:tc>
      </w:tr>
      <w:tr w14:paraId="7772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65D9C861">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报价次数</w:t>
            </w:r>
          </w:p>
        </w:tc>
        <w:tc>
          <w:tcPr>
            <w:tcW w:w="6492" w:type="dxa"/>
            <w:tcBorders>
              <w:left w:val="single" w:color="auto" w:sz="4" w:space="0"/>
            </w:tcBorders>
            <w:noWrap w:val="0"/>
            <w:vAlign w:val="center"/>
          </w:tcPr>
          <w:p w14:paraId="1A8BE31D">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第 </w:t>
            </w:r>
            <w:r>
              <w:rPr>
                <w:rFonts w:hint="eastAsia" w:ascii="宋体" w:hAnsi="宋体" w:cs="宋体"/>
                <w:bCs/>
                <w:color w:val="auto"/>
                <w:sz w:val="24"/>
                <w:highlight w:val="none"/>
                <w:lang w:eastAsia="zh-CN"/>
              </w:rPr>
              <w:t>二</w:t>
            </w:r>
            <w:r>
              <w:rPr>
                <w:rFonts w:hint="eastAsia" w:ascii="宋体" w:hAnsi="宋体" w:cs="宋体"/>
                <w:bCs/>
                <w:color w:val="auto"/>
                <w:sz w:val="24"/>
                <w:highlight w:val="none"/>
                <w:lang w:val="en-US" w:eastAsia="zh-CN"/>
              </w:rPr>
              <w:t xml:space="preserve"> 次</w:t>
            </w:r>
            <w:r>
              <w:rPr>
                <w:rFonts w:hint="eastAsia" w:ascii="宋体" w:hAnsi="宋体" w:cs="宋体"/>
                <w:bCs/>
                <w:color w:val="auto"/>
                <w:sz w:val="24"/>
                <w:highlight w:val="none"/>
              </w:rPr>
              <w:t>报价</w:t>
            </w:r>
          </w:p>
        </w:tc>
      </w:tr>
      <w:tr w14:paraId="0D26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19B8074E">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供应商名称</w:t>
            </w:r>
          </w:p>
        </w:tc>
        <w:tc>
          <w:tcPr>
            <w:tcW w:w="6492" w:type="dxa"/>
            <w:tcBorders>
              <w:left w:val="single" w:color="auto" w:sz="4" w:space="0"/>
            </w:tcBorders>
            <w:noWrap w:val="0"/>
            <w:vAlign w:val="center"/>
          </w:tcPr>
          <w:p w14:paraId="1D1783C4">
            <w:pPr>
              <w:spacing w:line="600" w:lineRule="exact"/>
              <w:jc w:val="center"/>
              <w:rPr>
                <w:rFonts w:hint="eastAsia" w:ascii="宋体" w:hAnsi="宋体" w:cs="宋体"/>
                <w:bCs/>
                <w:color w:val="auto"/>
                <w:sz w:val="24"/>
                <w:highlight w:val="none"/>
              </w:rPr>
            </w:pPr>
          </w:p>
        </w:tc>
      </w:tr>
      <w:tr w14:paraId="7EAA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1BE575AE">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磋商范围</w:t>
            </w:r>
          </w:p>
        </w:tc>
        <w:tc>
          <w:tcPr>
            <w:tcW w:w="6492" w:type="dxa"/>
            <w:tcBorders>
              <w:left w:val="single" w:color="auto" w:sz="4" w:space="0"/>
            </w:tcBorders>
            <w:noWrap w:val="0"/>
            <w:vAlign w:val="center"/>
          </w:tcPr>
          <w:p w14:paraId="06AAF6A9">
            <w:pPr>
              <w:widowControl/>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全部</w:t>
            </w:r>
          </w:p>
        </w:tc>
      </w:tr>
      <w:tr w14:paraId="6045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2633" w:type="dxa"/>
            <w:tcBorders>
              <w:top w:val="single" w:color="auto" w:sz="4" w:space="0"/>
            </w:tcBorders>
            <w:noWrap w:val="0"/>
            <w:vAlign w:val="center"/>
          </w:tcPr>
          <w:p w14:paraId="49C6DAFC">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最终报价</w:t>
            </w:r>
          </w:p>
          <w:p w14:paraId="368E89EB">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（详见备注说明）</w:t>
            </w:r>
          </w:p>
        </w:tc>
        <w:tc>
          <w:tcPr>
            <w:tcW w:w="6492" w:type="dxa"/>
            <w:noWrap w:val="0"/>
            <w:vAlign w:val="center"/>
          </w:tcPr>
          <w:p w14:paraId="77DA1F0B">
            <w:pPr>
              <w:snapToGrid w:val="0"/>
              <w:spacing w:line="600" w:lineRule="exact"/>
              <w:rPr>
                <w:rFonts w:hint="eastAsia" w:ascii="宋体" w:hAnsi="宋体" w:cs="宋体"/>
                <w:bCs/>
                <w:color w:val="auto"/>
                <w:sz w:val="24"/>
                <w:highlight w:val="none"/>
              </w:rPr>
            </w:pPr>
          </w:p>
          <w:p w14:paraId="2C7845FB">
            <w:pPr>
              <w:snapToGrid w:val="0"/>
              <w:spacing w:line="600" w:lineRule="exact"/>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61F8861D">
            <w:pPr>
              <w:snapToGrid w:val="0"/>
              <w:spacing w:line="600" w:lineRule="exact"/>
              <w:rPr>
                <w:rFonts w:hint="eastAsia" w:ascii="宋体" w:hAnsi="宋体" w:cs="宋体"/>
                <w:bCs/>
                <w:color w:val="auto"/>
                <w:sz w:val="24"/>
                <w:highlight w:val="none"/>
              </w:rPr>
            </w:pPr>
            <w:r>
              <w:rPr>
                <w:rFonts w:hint="eastAsia" w:ascii="宋体" w:hAnsi="宋体" w:cs="宋体"/>
                <w:bCs/>
                <w:color w:val="auto"/>
                <w:kern w:val="0"/>
                <w:sz w:val="24"/>
                <w:highlight w:val="none"/>
                <w:u w:val="none" w:color="000000"/>
              </w:rPr>
              <w:t>磋商报价</w:t>
            </w:r>
            <w:r>
              <w:rPr>
                <w:rFonts w:hint="eastAsia" w:ascii="宋体" w:hAnsi="宋体" w:cs="宋体"/>
                <w:bCs/>
                <w:color w:val="auto"/>
                <w:sz w:val="24"/>
                <w:highlight w:val="none"/>
              </w:rPr>
              <w:t>人民币大写：</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 xml:space="preserve">元   </w:t>
            </w:r>
          </w:p>
          <w:p w14:paraId="1D05753A">
            <w:pPr>
              <w:snapToGrid w:val="0"/>
              <w:spacing w:line="600" w:lineRule="exact"/>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55DC391A">
            <w:pPr>
              <w:snapToGrid w:val="0"/>
              <w:spacing w:line="600" w:lineRule="exact"/>
              <w:rPr>
                <w:rFonts w:hint="eastAsia" w:ascii="宋体" w:hAnsi="宋体" w:cs="宋体"/>
                <w:bCs/>
                <w:color w:val="auto"/>
                <w:sz w:val="24"/>
                <w:highlight w:val="none"/>
              </w:rPr>
            </w:pPr>
            <w:r>
              <w:rPr>
                <w:rFonts w:hint="eastAsia" w:ascii="宋体" w:hAnsi="宋体" w:cs="宋体"/>
                <w:bCs/>
                <w:color w:val="auto"/>
                <w:kern w:val="0"/>
                <w:sz w:val="24"/>
                <w:highlight w:val="none"/>
                <w:u w:val="none" w:color="000000"/>
              </w:rPr>
              <w:t>磋商报价</w:t>
            </w:r>
            <w:r>
              <w:rPr>
                <w:rFonts w:hint="eastAsia" w:ascii="宋体" w:hAnsi="宋体" w:cs="宋体"/>
                <w:bCs/>
                <w:color w:val="auto"/>
                <w:sz w:val="24"/>
                <w:highlight w:val="none"/>
              </w:rPr>
              <w:t>小写：</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元</w:t>
            </w:r>
          </w:p>
          <w:p w14:paraId="211A56E2">
            <w:pPr>
              <w:snapToGrid w:val="0"/>
              <w:spacing w:line="600" w:lineRule="exact"/>
              <w:rPr>
                <w:rFonts w:hint="eastAsia" w:ascii="宋体" w:hAnsi="宋体" w:cs="宋体"/>
                <w:bCs/>
                <w:color w:val="auto"/>
                <w:sz w:val="24"/>
                <w:highlight w:val="none"/>
              </w:rPr>
            </w:pPr>
          </w:p>
        </w:tc>
      </w:tr>
      <w:tr w14:paraId="60E6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633" w:type="dxa"/>
            <w:noWrap w:val="0"/>
            <w:vAlign w:val="center"/>
          </w:tcPr>
          <w:p w14:paraId="6C686975">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备注说明</w:t>
            </w:r>
          </w:p>
        </w:tc>
        <w:tc>
          <w:tcPr>
            <w:tcW w:w="6492" w:type="dxa"/>
            <w:noWrap w:val="0"/>
            <w:vAlign w:val="top"/>
          </w:tcPr>
          <w:p w14:paraId="49A718B1">
            <w:pPr>
              <w:spacing w:line="600" w:lineRule="exact"/>
              <w:rPr>
                <w:rFonts w:hint="eastAsia" w:ascii="宋体" w:hAnsi="宋体" w:cs="宋体"/>
                <w:bCs/>
                <w:color w:val="auto"/>
                <w:sz w:val="24"/>
                <w:highlight w:val="none"/>
              </w:rPr>
            </w:pPr>
          </w:p>
        </w:tc>
      </w:tr>
    </w:tbl>
    <w:p w14:paraId="6E95E6CD">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E050923">
      <w:pPr>
        <w:spacing w:line="44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供应商公章或授权代表签字：</w:t>
      </w:r>
    </w:p>
    <w:p w14:paraId="3DF5481F">
      <w:pPr>
        <w:snapToGrid w:val="0"/>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7C408507">
      <w:pPr>
        <w:spacing w:line="440" w:lineRule="exact"/>
        <w:rPr>
          <w:rFonts w:hint="eastAsia" w:ascii="宋体" w:hAnsi="宋体" w:cs="宋体"/>
          <w:color w:val="auto"/>
          <w:sz w:val="24"/>
          <w:highlight w:val="none"/>
        </w:rPr>
      </w:pPr>
    </w:p>
    <w:p w14:paraId="7CFE390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注：本页《最终承诺报价表》由供应商在</w:t>
      </w:r>
      <w:r>
        <w:rPr>
          <w:rFonts w:hint="eastAsia" w:ascii="宋体" w:hAnsi="宋体" w:cs="宋体"/>
          <w:color w:val="auto"/>
          <w:sz w:val="24"/>
          <w:szCs w:val="28"/>
          <w:highlight w:val="none"/>
        </w:rPr>
        <w:t>磋商</w:t>
      </w:r>
      <w:r>
        <w:rPr>
          <w:rFonts w:hint="eastAsia" w:ascii="宋体" w:hAnsi="宋体" w:cs="宋体"/>
          <w:color w:val="auto"/>
          <w:sz w:val="24"/>
          <w:highlight w:val="none"/>
        </w:rPr>
        <w:t>现场依</w:t>
      </w:r>
      <w:r>
        <w:rPr>
          <w:rFonts w:hint="eastAsia" w:ascii="宋体" w:hAnsi="宋体" w:cs="宋体"/>
          <w:color w:val="auto"/>
          <w:sz w:val="24"/>
          <w:szCs w:val="28"/>
          <w:highlight w:val="none"/>
        </w:rPr>
        <w:t>磋商</w:t>
      </w:r>
      <w:r>
        <w:rPr>
          <w:rFonts w:hint="eastAsia" w:ascii="宋体" w:hAnsi="宋体" w:cs="宋体"/>
          <w:color w:val="auto"/>
          <w:sz w:val="24"/>
          <w:highlight w:val="none"/>
        </w:rPr>
        <w:t>情况填写，请加盖公章后带至</w:t>
      </w:r>
      <w:r>
        <w:rPr>
          <w:rFonts w:hint="eastAsia" w:ascii="宋体" w:hAnsi="宋体" w:cs="宋体"/>
          <w:color w:val="auto"/>
          <w:sz w:val="24"/>
          <w:szCs w:val="28"/>
          <w:highlight w:val="none"/>
        </w:rPr>
        <w:t>磋商</w:t>
      </w:r>
      <w:r>
        <w:rPr>
          <w:rFonts w:hint="eastAsia" w:ascii="宋体" w:hAnsi="宋体" w:cs="宋体"/>
          <w:color w:val="auto"/>
          <w:sz w:val="24"/>
          <w:highlight w:val="none"/>
        </w:rPr>
        <w:t>现场备填。</w:t>
      </w:r>
    </w:p>
    <w:p w14:paraId="6FDB95EE">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声明：我方在报价前，已认真阅读《竞争性磋商文件》，理解并完全响应文本中所有实质性要求。</w:t>
      </w:r>
    </w:p>
    <w:p w14:paraId="74007B9C">
      <w:pPr>
        <w:keepNext/>
        <w:keepLines/>
        <w:pageBreakBefore/>
        <w:widowControl w:val="0"/>
        <w:kinsoku/>
        <w:wordWrap/>
        <w:overflowPunct/>
        <w:topLinePunct w:val="0"/>
        <w:autoSpaceDE/>
        <w:autoSpaceDN/>
        <w:bidi w:val="0"/>
        <w:adjustRightInd/>
        <w:snapToGrid/>
        <w:spacing w:before="200" w:after="200" w:line="600" w:lineRule="exact"/>
        <w:jc w:val="center"/>
        <w:textAlignment w:val="auto"/>
        <w:outlineLvl w:val="0"/>
        <w:rPr>
          <w:rFonts w:ascii="黑体" w:hAnsi="黑体" w:eastAsia="黑体"/>
          <w:b/>
          <w:bCs/>
          <w:color w:val="auto"/>
          <w:kern w:val="44"/>
          <w:sz w:val="28"/>
          <w:szCs w:val="28"/>
          <w:highlight w:val="none"/>
        </w:rPr>
      </w:pPr>
      <w:bookmarkStart w:id="469" w:name="_Toc29716"/>
      <w:bookmarkStart w:id="470" w:name="_Toc27268"/>
      <w:bookmarkStart w:id="471" w:name="_Toc5674"/>
      <w:bookmarkStart w:id="472" w:name="OLE_LINK7"/>
      <w:bookmarkStart w:id="473" w:name="OLE_LINK25"/>
      <w:bookmarkStart w:id="474" w:name="OLE_LINK24"/>
      <w:r>
        <w:rPr>
          <w:rFonts w:hint="eastAsia" w:ascii="黑体" w:hAnsi="黑体" w:eastAsia="黑体"/>
          <w:b/>
          <w:bCs/>
          <w:color w:val="auto"/>
          <w:kern w:val="44"/>
          <w:sz w:val="36"/>
          <w:szCs w:val="28"/>
          <w:highlight w:val="none"/>
        </w:rPr>
        <w:t>附件1 关于联合惩戒失信行为加强信用查询管理的通知</w:t>
      </w:r>
      <w:bookmarkEnd w:id="469"/>
      <w:bookmarkEnd w:id="470"/>
      <w:bookmarkEnd w:id="471"/>
    </w:p>
    <w:bookmarkEnd w:id="472"/>
    <w:p w14:paraId="26703B0E">
      <w:pPr>
        <w:keepNext w:val="0"/>
        <w:keepLines w:val="0"/>
        <w:pageBreakBefore w:val="0"/>
        <w:widowControl w:val="0"/>
        <w:kinsoku/>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一、失信行为联合惩戒的范围和查询渠道</w:t>
      </w:r>
    </w:p>
    <w:p w14:paraId="2030BA56">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在我市公共资源交易活动中对存在下列失信行为的投标人、法定代表人及其项目经理（建造师）实施联合惩戒，禁止参与我市公共资源交易活动。</w:t>
      </w:r>
    </w:p>
    <w:p w14:paraId="60366948">
      <w:pPr>
        <w:keepNext w:val="0"/>
        <w:keepLines w:val="0"/>
        <w:pageBreakBefore w:val="0"/>
        <w:widowControl w:val="0"/>
        <w:kinsoku/>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（一）工程建设项目</w:t>
      </w:r>
    </w:p>
    <w:bookmarkEnd w:id="473"/>
    <w:bookmarkEnd w:id="474"/>
    <w:p w14:paraId="2275EF70">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1、“信用中国”网站（www.creditchina.gov.cn）查询</w:t>
      </w:r>
      <w:bookmarkStart w:id="475" w:name="OLE_LINK91"/>
      <w:bookmarkStart w:id="476" w:name="OLE_LINK93"/>
      <w:bookmarkStart w:id="477" w:name="OLE_LINK103"/>
      <w:bookmarkStart w:id="478" w:name="OLE_LINK92"/>
      <w:r>
        <w:rPr>
          <w:rFonts w:hint="eastAsia" w:ascii="宋体" w:hAnsi="宋体" w:eastAsia="宋体" w:cs="宋体"/>
          <w:color w:val="auto"/>
          <w:sz w:val="21"/>
          <w:szCs w:val="21"/>
          <w:highlight w:val="none"/>
        </w:rPr>
        <w:t>投标人、法定代表人及其项目经理(建造师)</w:t>
      </w:r>
      <w:bookmarkEnd w:id="475"/>
      <w:bookmarkEnd w:id="476"/>
      <w:bookmarkEnd w:id="477"/>
      <w:bookmarkEnd w:id="478"/>
      <w:r>
        <w:rPr>
          <w:rFonts w:hint="eastAsia" w:ascii="宋体" w:hAnsi="宋体" w:eastAsia="宋体" w:cs="宋体"/>
          <w:color w:val="auto"/>
          <w:sz w:val="21"/>
          <w:szCs w:val="21"/>
          <w:highlight w:val="none"/>
        </w:rPr>
        <w:t>以下失信行为：</w:t>
      </w:r>
    </w:p>
    <w:p w14:paraId="6C6159D7">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bookmarkStart w:id="479" w:name="OLE_LINK94"/>
      <w:bookmarkStart w:id="480" w:name="OLE_LINK87"/>
      <w:bookmarkStart w:id="481" w:name="OLE_LINK86"/>
      <w:bookmarkStart w:id="482" w:name="OLE_LINK119"/>
      <w:r>
        <w:rPr>
          <w:rFonts w:hint="eastAsia" w:ascii="宋体" w:hAnsi="宋体" w:eastAsia="宋体" w:cs="宋体"/>
          <w:color w:val="auto"/>
          <w:sz w:val="21"/>
          <w:szCs w:val="21"/>
          <w:highlight w:val="none"/>
        </w:rPr>
        <w:t>①被列入“失信被执行人”的;</w:t>
      </w:r>
    </w:p>
    <w:p w14:paraId="52747539">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②被列入</w:t>
      </w:r>
      <w:bookmarkStart w:id="483" w:name="OLE_LINK115"/>
      <w:bookmarkStart w:id="484" w:name="OLE_LINK116"/>
      <w:bookmarkStart w:id="485" w:name="OLE_LINK118"/>
      <w:bookmarkStart w:id="486" w:name="OLE_LINK117"/>
      <w:r>
        <w:rPr>
          <w:rFonts w:hint="eastAsia" w:ascii="宋体" w:hAnsi="宋体" w:eastAsia="宋体" w:cs="宋体"/>
          <w:color w:val="auto"/>
          <w:sz w:val="21"/>
          <w:szCs w:val="21"/>
          <w:highlight w:val="none"/>
        </w:rPr>
        <w:t>“重大税收违法失信主体”</w:t>
      </w:r>
      <w:bookmarkEnd w:id="483"/>
      <w:bookmarkEnd w:id="484"/>
      <w:bookmarkEnd w:id="485"/>
      <w:bookmarkEnd w:id="486"/>
      <w:r>
        <w:rPr>
          <w:rFonts w:hint="eastAsia" w:ascii="宋体" w:hAnsi="宋体" w:eastAsia="宋体" w:cs="宋体"/>
          <w:color w:val="auto"/>
          <w:sz w:val="21"/>
          <w:szCs w:val="21"/>
          <w:highlight w:val="none"/>
        </w:rPr>
        <w:t>的；</w:t>
      </w:r>
    </w:p>
    <w:p w14:paraId="58536D14">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③被列入“拖欠</w:t>
      </w:r>
      <w:bookmarkStart w:id="487" w:name="OLE_LINK85"/>
      <w:bookmarkStart w:id="488" w:name="OLE_LINK84"/>
      <w:r>
        <w:rPr>
          <w:rFonts w:hint="eastAsia" w:ascii="宋体" w:hAnsi="宋体" w:eastAsia="宋体" w:cs="宋体"/>
          <w:color w:val="auto"/>
          <w:sz w:val="21"/>
          <w:szCs w:val="21"/>
          <w:highlight w:val="none"/>
        </w:rPr>
        <w:t>农民工工资失信联合惩戒对象</w:t>
      </w:r>
      <w:bookmarkEnd w:id="487"/>
      <w:bookmarkEnd w:id="488"/>
      <w:r>
        <w:rPr>
          <w:rFonts w:hint="eastAsia" w:ascii="宋体" w:hAnsi="宋体" w:eastAsia="宋体" w:cs="宋体"/>
          <w:color w:val="auto"/>
          <w:sz w:val="21"/>
          <w:szCs w:val="21"/>
          <w:highlight w:val="none"/>
        </w:rPr>
        <w:t>名单”的；</w:t>
      </w:r>
    </w:p>
    <w:p w14:paraId="0144DE2C">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④被列入“严重失信主体名单”的；</w:t>
      </w:r>
    </w:p>
    <w:p w14:paraId="579A0691">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⑤在“信用中国”网站上披露的仍在公示期的严重失信行为(具体行为类别及判定依据见附件2)的。</w:t>
      </w:r>
    </w:p>
    <w:bookmarkEnd w:id="479"/>
    <w:bookmarkEnd w:id="480"/>
    <w:bookmarkEnd w:id="481"/>
    <w:bookmarkEnd w:id="482"/>
    <w:p w14:paraId="17DD33B1">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489" w:name="OLE_LINK130"/>
      <w:r>
        <w:rPr>
          <w:rFonts w:hint="eastAsia" w:ascii="宋体" w:hAnsi="宋体" w:eastAsia="宋体" w:cs="宋体"/>
          <w:color w:val="auto"/>
          <w:sz w:val="21"/>
          <w:szCs w:val="21"/>
          <w:highlight w:val="none"/>
        </w:rPr>
        <w:t>国家企业信用信息公示系统网站</w:t>
      </w:r>
      <w:bookmarkEnd w:id="489"/>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HYPERLINK"http://www.gsxt.gov.cn）查询"</w:instrText>
      </w:r>
      <w:r>
        <w:rPr>
          <w:rFonts w:hint="eastAsia" w:ascii="宋体" w:hAnsi="宋体" w:eastAsia="宋体" w:cs="宋体"/>
          <w:color w:val="auto"/>
          <w:sz w:val="21"/>
          <w:szCs w:val="21"/>
          <w:highlight w:val="none"/>
        </w:rPr>
        <w:fldChar w:fldCharType="separate"/>
      </w:r>
      <w:bookmarkStart w:id="490" w:name="OLE_LINK89"/>
      <w:bookmarkStart w:id="491" w:name="OLE_LINK90"/>
      <w:r>
        <w:rPr>
          <w:rStyle w:val="47"/>
          <w:rFonts w:hint="eastAsia" w:ascii="宋体" w:hAnsi="宋体" w:eastAsia="宋体" w:cs="宋体"/>
          <w:color w:val="auto"/>
          <w:sz w:val="21"/>
          <w:szCs w:val="21"/>
          <w:highlight w:val="none"/>
        </w:rPr>
        <w:t>www.gsxt.gov.cn</w:t>
      </w:r>
      <w:bookmarkEnd w:id="490"/>
      <w:bookmarkEnd w:id="491"/>
      <w:r>
        <w:rPr>
          <w:rStyle w:val="47"/>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查询投标人以下失信行为：</w:t>
      </w:r>
    </w:p>
    <w:p w14:paraId="7E8B7BAB">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bookmarkStart w:id="492" w:name="OLE_LINK122"/>
      <w:bookmarkStart w:id="493" w:name="OLE_LINK120"/>
      <w:bookmarkStart w:id="494" w:name="OLE_LINK121"/>
      <w:r>
        <w:rPr>
          <w:rFonts w:hint="eastAsia" w:ascii="宋体" w:hAnsi="宋体" w:eastAsia="宋体" w:cs="宋体"/>
          <w:color w:val="auto"/>
          <w:sz w:val="21"/>
          <w:szCs w:val="21"/>
          <w:highlight w:val="none"/>
        </w:rPr>
        <w:t>①被列入“经营异常名录”或者“严重违法失信名单”的。</w:t>
      </w:r>
      <w:bookmarkEnd w:id="492"/>
      <w:bookmarkEnd w:id="493"/>
      <w:bookmarkEnd w:id="494"/>
    </w:p>
    <w:p w14:paraId="377FE5F1">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w:t>
      </w:r>
      <w:r>
        <w:rPr>
          <w:rFonts w:hint="eastAsia" w:ascii="宋体" w:hAnsi="宋体" w:eastAsia="宋体" w:cs="宋体"/>
          <w:color w:val="auto"/>
          <w:kern w:val="0"/>
          <w:sz w:val="21"/>
          <w:szCs w:val="21"/>
          <w:highlight w:val="none"/>
        </w:rPr>
        <w:t>投标人、法定代表人及其项目经理(建造师)</w:t>
      </w:r>
      <w:r>
        <w:rPr>
          <w:rFonts w:hint="eastAsia" w:ascii="宋体" w:hAnsi="宋体" w:eastAsia="宋体" w:cs="宋体"/>
          <w:color w:val="auto"/>
          <w:sz w:val="21"/>
          <w:szCs w:val="21"/>
          <w:highlight w:val="none"/>
        </w:rPr>
        <w:t>进行承诺，不进行现场网上信用查询的失信行为：</w:t>
      </w:r>
    </w:p>
    <w:p w14:paraId="39A2F99B">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bookmarkStart w:id="495" w:name="OLE_LINK123"/>
      <w:bookmarkStart w:id="496" w:name="OLE_LINK124"/>
      <w:r>
        <w:rPr>
          <w:rFonts w:hint="eastAsia" w:ascii="宋体" w:hAnsi="宋体" w:eastAsia="宋体" w:cs="宋体"/>
          <w:color w:val="auto"/>
          <w:sz w:val="21"/>
          <w:szCs w:val="21"/>
          <w:highlight w:val="none"/>
        </w:rPr>
        <w:t>①前三年有行贿犯罪行为的单位和个人；</w:t>
      </w:r>
    </w:p>
    <w:p w14:paraId="20C65380">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②被滁州市县两级</w:t>
      </w:r>
      <w:r>
        <w:rPr>
          <w:rFonts w:hint="eastAsia" w:ascii="宋体" w:hAnsi="宋体" w:eastAsia="宋体" w:cs="宋体"/>
          <w:color w:val="auto"/>
          <w:sz w:val="21"/>
          <w:szCs w:val="21"/>
          <w:highlight w:val="none"/>
          <w:lang w:eastAsia="zh-CN"/>
        </w:rPr>
        <w:t>公共资源交易监督管理部门</w:t>
      </w:r>
      <w:r>
        <w:rPr>
          <w:rFonts w:hint="eastAsia" w:ascii="宋体" w:hAnsi="宋体" w:eastAsia="宋体" w:cs="宋体"/>
          <w:color w:val="auto"/>
          <w:sz w:val="21"/>
          <w:szCs w:val="21"/>
          <w:highlight w:val="none"/>
        </w:rPr>
        <w:t>取消在一定期限内的投标资格且在取消期限内的；</w:t>
      </w:r>
    </w:p>
    <w:p w14:paraId="3EB49012">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③被滁州市县两级各行业主管部门取消在一定期限内的投标资格且在取消期限内的；</w:t>
      </w:r>
    </w:p>
    <w:p w14:paraId="7A734370">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④因拖欠农民工工资被</w:t>
      </w:r>
      <w:bookmarkStart w:id="497" w:name="OLE_LINK108"/>
      <w:bookmarkStart w:id="498" w:name="OLE_LINK107"/>
      <w:r>
        <w:rPr>
          <w:rFonts w:hint="eastAsia" w:ascii="宋体" w:hAnsi="宋体" w:eastAsia="宋体" w:cs="宋体"/>
          <w:color w:val="auto"/>
          <w:sz w:val="21"/>
          <w:szCs w:val="21"/>
          <w:highlight w:val="none"/>
        </w:rPr>
        <w:t>县级及以上有关行政主管部门限制投标资格且在限制期限内的</w:t>
      </w:r>
      <w:bookmarkEnd w:id="497"/>
      <w:bookmarkEnd w:id="498"/>
      <w:r>
        <w:rPr>
          <w:rFonts w:hint="eastAsia" w:ascii="宋体" w:hAnsi="宋体" w:eastAsia="宋体" w:cs="宋体"/>
          <w:color w:val="auto"/>
          <w:sz w:val="21"/>
          <w:szCs w:val="21"/>
          <w:highlight w:val="none"/>
        </w:rPr>
        <w:t>；</w:t>
      </w:r>
    </w:p>
    <w:p w14:paraId="0FB4CA30">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495"/>
    <w:bookmarkEnd w:id="496"/>
    <w:p w14:paraId="5340E4B6">
      <w:pPr>
        <w:keepNext w:val="0"/>
        <w:keepLines w:val="0"/>
        <w:pageBreakBefore w:val="0"/>
        <w:widowControl w:val="0"/>
        <w:kinsoku/>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（二）采购项目</w:t>
      </w:r>
    </w:p>
    <w:p w14:paraId="7807F099">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1、“信用中国”网站（</w:t>
      </w:r>
      <w:r>
        <w:rPr>
          <w:rStyle w:val="47"/>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t>）查询供应商、法定代表人及其项目负责人以下失信行为：</w:t>
      </w:r>
    </w:p>
    <w:p w14:paraId="4AFE61AE">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①被列入“失信被执行人”的;</w:t>
      </w:r>
    </w:p>
    <w:p w14:paraId="31C364CB">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②被列入“重大税收违法失信主体”的；</w:t>
      </w:r>
    </w:p>
    <w:p w14:paraId="1855BD48">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③被列入“拖欠农民工工资失信联合惩戒对象名单”的；</w:t>
      </w:r>
    </w:p>
    <w:p w14:paraId="26475B54">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④被列入“严重失信主体名单”的；</w:t>
      </w:r>
    </w:p>
    <w:p w14:paraId="58D20FF5">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⑤在“信用中国”网站上披露的仍在公示期的严重失信行为(具体行为类别及判定依据见附件2)的。</w:t>
      </w:r>
    </w:p>
    <w:p w14:paraId="3ADCB54B">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2、国家企业信用信息公示系统网站（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HYPERLINK"http://www.gsxt.gov.cn）查询"</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www.gsxt.gov.cn）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查询供应商以下失信行为：</w:t>
      </w:r>
    </w:p>
    <w:p w14:paraId="0AEBC3E2">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bookmarkStart w:id="499" w:name="OLE_LINK101"/>
      <w:bookmarkStart w:id="500" w:name="OLE_LINK100"/>
      <w:bookmarkStart w:id="501" w:name="OLE_LINK102"/>
      <w:r>
        <w:rPr>
          <w:rFonts w:hint="eastAsia" w:ascii="宋体" w:hAnsi="宋体" w:eastAsia="宋体" w:cs="宋体"/>
          <w:color w:val="auto"/>
          <w:sz w:val="21"/>
          <w:szCs w:val="21"/>
          <w:highlight w:val="none"/>
        </w:rPr>
        <w:t>被列入“经营异常名录”或者“严重违法失信名单”的</w:t>
      </w:r>
      <w:bookmarkEnd w:id="499"/>
      <w:bookmarkEnd w:id="500"/>
      <w:bookmarkEnd w:id="501"/>
      <w:r>
        <w:rPr>
          <w:rFonts w:hint="eastAsia" w:ascii="宋体" w:hAnsi="宋体" w:eastAsia="宋体" w:cs="宋体"/>
          <w:color w:val="auto"/>
          <w:sz w:val="21"/>
          <w:szCs w:val="21"/>
          <w:highlight w:val="none"/>
        </w:rPr>
        <w:t>。</w:t>
      </w:r>
    </w:p>
    <w:p w14:paraId="2A61BCBE">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3、中国政府采购网站（</w:t>
      </w:r>
      <w:bookmarkStart w:id="502" w:name="OLE_LINK95"/>
      <w:bookmarkStart w:id="503" w:name="OLE_LINK96"/>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HYPERLINK"http://www.ccgp.gov.cn"</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bookmarkEnd w:id="502"/>
      <w:bookmarkEnd w:id="503"/>
      <w:r>
        <w:rPr>
          <w:rFonts w:hint="eastAsia" w:ascii="宋体" w:hAnsi="宋体" w:eastAsia="宋体" w:cs="宋体"/>
          <w:color w:val="auto"/>
          <w:sz w:val="21"/>
          <w:szCs w:val="21"/>
          <w:highlight w:val="none"/>
        </w:rPr>
        <w:t>）查询以下失信行为：</w:t>
      </w:r>
    </w:p>
    <w:p w14:paraId="38A90763">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bookmarkStart w:id="504" w:name="OLE_LINK106"/>
      <w:bookmarkStart w:id="505" w:name="OLE_LINK105"/>
      <w:bookmarkStart w:id="506" w:name="OLE_LINK104"/>
      <w:r>
        <w:rPr>
          <w:rFonts w:hint="eastAsia" w:ascii="宋体" w:hAnsi="宋体" w:eastAsia="宋体" w:cs="宋体"/>
          <w:color w:val="auto"/>
          <w:sz w:val="21"/>
          <w:szCs w:val="21"/>
          <w:highlight w:val="none"/>
        </w:rPr>
        <w:t>被列入“政府采购严重违法失信行为信息记录”的</w:t>
      </w:r>
      <w:bookmarkEnd w:id="504"/>
      <w:bookmarkEnd w:id="505"/>
      <w:bookmarkEnd w:id="506"/>
      <w:r>
        <w:rPr>
          <w:rFonts w:hint="eastAsia" w:ascii="宋体" w:hAnsi="宋体" w:eastAsia="宋体" w:cs="宋体"/>
          <w:color w:val="auto"/>
          <w:sz w:val="21"/>
          <w:szCs w:val="21"/>
          <w:highlight w:val="none"/>
        </w:rPr>
        <w:t>。</w:t>
      </w:r>
    </w:p>
    <w:p w14:paraId="047995EA">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4、由竞争主体进行承诺，不进行现场网上信用查询的失信行为：</w:t>
      </w:r>
    </w:p>
    <w:p w14:paraId="359665F5">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①前三年有行贿犯罪行为的单位和个人。</w:t>
      </w:r>
    </w:p>
    <w:p w14:paraId="0F7EC811">
      <w:pPr>
        <w:keepNext w:val="0"/>
        <w:keepLines w:val="0"/>
        <w:pageBreakBefore w:val="0"/>
        <w:widowControl w:val="0"/>
        <w:kinsoku/>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二、在开评标活动中的查询程序</w:t>
      </w:r>
    </w:p>
    <w:p w14:paraId="3BDD5D84">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F1D36A7">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2、不实行有限数量制资格审查的项目，由项目单位（代理机构）对预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候选人资格，并依次替补，再次对替补单位进行核查。如评标现场未发现问题但标后质疑（异议）、投诉发现</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候选人存在信誉问题，则组织评标委员会重新启动复核程序。核查结果不改变原评标基准价。</w:t>
      </w:r>
    </w:p>
    <w:p w14:paraId="7BB4CAF9">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3、项目单位及其委托的代理机构应当做好信用查询结果截图和记录留存。</w:t>
      </w:r>
    </w:p>
    <w:p w14:paraId="71FB68DC">
      <w:pPr>
        <w:keepNext w:val="0"/>
        <w:keepLines w:val="0"/>
        <w:pageBreakBefore w:val="0"/>
        <w:widowControl w:val="0"/>
        <w:kinsoku/>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三、相关要求</w:t>
      </w:r>
    </w:p>
    <w:p w14:paraId="3400577D">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927470A">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591D459">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信用中国(安徽)”网站信用报告核验系统(</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HYPERLINK"https://credit.ah.gov.cn/xinyong-fuwu/xvbahv/index.html"</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https://credit.ah.gov.cn/xinyong-fuwu/xvbahv/index.html</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5403820">
      <w:pPr>
        <w:keepNext w:val="0"/>
        <w:keepLines w:val="0"/>
        <w:pageBreakBefore w:val="0"/>
        <w:widowControl w:val="0"/>
        <w:kinsoku/>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2、“信用中国”查询的严重失信行为判定依据为各行业主管部门下发的联合惩戒文件中规定的行为（按附件2执行）。</w:t>
      </w:r>
    </w:p>
    <w:p w14:paraId="59F3118F">
      <w:pPr>
        <w:keepNext w:val="0"/>
        <w:keepLines w:val="0"/>
        <w:pageBreakBefore w:val="0"/>
        <w:widowControl w:val="0"/>
        <w:kinsoku/>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3、资格预审的项目以递交资格预审申请文件截止时间查询为准；资格后审的项目以递交投标文件截止时间查询为准。</w:t>
      </w:r>
    </w:p>
    <w:p w14:paraId="580D54D4">
      <w:pPr>
        <w:ind w:right="960"/>
        <w:rPr>
          <w:rFonts w:hint="eastAsia" w:ascii="仿宋" w:hAnsi="仿宋" w:eastAsia="仿宋"/>
          <w:color w:val="auto"/>
          <w:sz w:val="32"/>
          <w:szCs w:val="32"/>
          <w:highlight w:val="none"/>
        </w:rPr>
      </w:pPr>
    </w:p>
    <w:p w14:paraId="612BA19F">
      <w:pPr>
        <w:ind w:right="960"/>
        <w:rPr>
          <w:rFonts w:hint="eastAsia" w:ascii="仿宋" w:hAnsi="仿宋" w:eastAsia="仿宋"/>
          <w:color w:val="auto"/>
          <w:sz w:val="32"/>
          <w:szCs w:val="32"/>
          <w:highlight w:val="none"/>
        </w:rPr>
      </w:pPr>
    </w:p>
    <w:p w14:paraId="1B15BB9E">
      <w:pPr>
        <w:ind w:right="960"/>
        <w:rPr>
          <w:rFonts w:hint="eastAsia" w:ascii="仿宋" w:hAnsi="仿宋" w:eastAsia="仿宋"/>
          <w:color w:val="auto"/>
          <w:sz w:val="32"/>
          <w:szCs w:val="32"/>
          <w:highlight w:val="none"/>
        </w:rPr>
      </w:pPr>
    </w:p>
    <w:p w14:paraId="468FDD6D">
      <w:pPr>
        <w:ind w:right="960"/>
        <w:rPr>
          <w:rFonts w:hint="eastAsia" w:ascii="仿宋" w:hAnsi="仿宋" w:eastAsia="仿宋"/>
          <w:color w:val="auto"/>
          <w:sz w:val="32"/>
          <w:szCs w:val="32"/>
          <w:highlight w:val="none"/>
        </w:rPr>
      </w:pPr>
    </w:p>
    <w:p w14:paraId="34E1D43C">
      <w:pPr>
        <w:ind w:right="960"/>
        <w:rPr>
          <w:rFonts w:hint="eastAsia" w:ascii="仿宋" w:hAnsi="仿宋" w:eastAsia="仿宋"/>
          <w:color w:val="auto"/>
          <w:sz w:val="32"/>
          <w:szCs w:val="32"/>
          <w:highlight w:val="none"/>
        </w:rPr>
      </w:pPr>
    </w:p>
    <w:p w14:paraId="08A40B5C">
      <w:pPr>
        <w:ind w:right="960"/>
        <w:rPr>
          <w:rFonts w:hint="eastAsia" w:ascii="仿宋" w:hAnsi="仿宋" w:eastAsia="仿宋"/>
          <w:color w:val="auto"/>
          <w:sz w:val="32"/>
          <w:szCs w:val="32"/>
          <w:highlight w:val="none"/>
        </w:rPr>
      </w:pPr>
    </w:p>
    <w:p w14:paraId="232583BD">
      <w:pPr>
        <w:ind w:right="960"/>
        <w:rPr>
          <w:rFonts w:hint="eastAsia" w:ascii="仿宋" w:hAnsi="仿宋" w:eastAsia="仿宋"/>
          <w:color w:val="auto"/>
          <w:sz w:val="32"/>
          <w:szCs w:val="32"/>
          <w:highlight w:val="none"/>
        </w:rPr>
      </w:pPr>
    </w:p>
    <w:p w14:paraId="4AFAEBCA">
      <w:pPr>
        <w:ind w:right="960"/>
        <w:rPr>
          <w:rFonts w:hint="eastAsia" w:ascii="仿宋" w:hAnsi="仿宋" w:eastAsia="仿宋"/>
          <w:color w:val="auto"/>
          <w:sz w:val="32"/>
          <w:szCs w:val="32"/>
          <w:highlight w:val="none"/>
        </w:rPr>
      </w:pPr>
    </w:p>
    <w:p w14:paraId="432CBA94">
      <w:pPr>
        <w:pStyle w:val="36"/>
        <w:rPr>
          <w:rFonts w:hint="eastAsia"/>
          <w:color w:val="auto"/>
          <w:highlight w:val="none"/>
        </w:rPr>
      </w:pPr>
    </w:p>
    <w:p w14:paraId="180F1684">
      <w:pPr>
        <w:rPr>
          <w:color w:val="auto"/>
          <w:highlight w:val="none"/>
        </w:rPr>
      </w:pPr>
    </w:p>
    <w:p w14:paraId="022A20E8">
      <w:pPr>
        <w:pStyle w:val="36"/>
        <w:rPr>
          <w:color w:val="auto"/>
          <w:highlight w:val="none"/>
        </w:rPr>
      </w:pPr>
    </w:p>
    <w:p w14:paraId="12EAFFC6">
      <w:pPr>
        <w:rPr>
          <w:color w:val="auto"/>
          <w:highlight w:val="none"/>
        </w:rPr>
      </w:pPr>
    </w:p>
    <w:p w14:paraId="6ECFB3BE">
      <w:pPr>
        <w:pStyle w:val="36"/>
        <w:rPr>
          <w:color w:val="auto"/>
          <w:highlight w:val="none"/>
        </w:rPr>
      </w:pPr>
    </w:p>
    <w:p w14:paraId="2F7B0085">
      <w:pPr>
        <w:rPr>
          <w:color w:val="auto"/>
          <w:highlight w:val="none"/>
        </w:rPr>
      </w:pPr>
    </w:p>
    <w:p w14:paraId="10E0B931">
      <w:pPr>
        <w:pStyle w:val="36"/>
        <w:rPr>
          <w:color w:val="auto"/>
          <w:highlight w:val="none"/>
        </w:rPr>
      </w:pPr>
    </w:p>
    <w:p w14:paraId="7DEC8174">
      <w:pPr>
        <w:rPr>
          <w:color w:val="auto"/>
          <w:highlight w:val="none"/>
        </w:rPr>
      </w:pPr>
    </w:p>
    <w:p w14:paraId="57D935C2">
      <w:pPr>
        <w:ind w:right="960"/>
        <w:rPr>
          <w:rFonts w:ascii="仿宋" w:hAnsi="仿宋" w:eastAsia="仿宋"/>
          <w:color w:val="auto"/>
          <w:sz w:val="32"/>
          <w:szCs w:val="32"/>
          <w:highlight w:val="none"/>
        </w:rPr>
      </w:pPr>
    </w:p>
    <w:p w14:paraId="6BF61B9E">
      <w:pPr>
        <w:keepNext/>
        <w:keepLines/>
        <w:pageBreakBefore/>
        <w:widowControl w:val="0"/>
        <w:kinsoku/>
        <w:wordWrap/>
        <w:overflowPunct/>
        <w:topLinePunct w:val="0"/>
        <w:autoSpaceDE/>
        <w:autoSpaceDN/>
        <w:bidi w:val="0"/>
        <w:adjustRightInd/>
        <w:snapToGrid/>
        <w:spacing w:before="200" w:after="200" w:line="600" w:lineRule="exact"/>
        <w:textAlignment w:val="auto"/>
        <w:outlineLvl w:val="0"/>
        <w:rPr>
          <w:rFonts w:hint="eastAsia" w:ascii="黑体" w:hAnsi="黑体" w:eastAsia="黑体"/>
          <w:b/>
          <w:bCs/>
          <w:color w:val="auto"/>
          <w:kern w:val="44"/>
          <w:sz w:val="36"/>
          <w:szCs w:val="28"/>
          <w:highlight w:val="none"/>
        </w:rPr>
      </w:pPr>
      <w:bookmarkStart w:id="507" w:name="_Toc3854"/>
      <w:bookmarkStart w:id="508" w:name="_Toc4578"/>
      <w:bookmarkStart w:id="509" w:name="_Toc2729"/>
      <w:bookmarkStart w:id="510" w:name="_Toc95223549"/>
      <w:bookmarkStart w:id="511" w:name="OLE_LINK32"/>
      <w:bookmarkStart w:id="512" w:name="OLE_LINK31"/>
      <w:bookmarkStart w:id="513" w:name="OLE_LINK41"/>
      <w:r>
        <w:rPr>
          <w:rFonts w:hint="eastAsia" w:ascii="黑体" w:hAnsi="黑体" w:eastAsia="黑体"/>
          <w:b/>
          <w:bCs/>
          <w:color w:val="auto"/>
          <w:kern w:val="44"/>
          <w:sz w:val="36"/>
          <w:szCs w:val="28"/>
          <w:highlight w:val="none"/>
        </w:rPr>
        <w:t xml:space="preserve">附件2 </w:t>
      </w:r>
      <w:bookmarkStart w:id="514" w:name="OLE_LINK74"/>
      <w:bookmarkStart w:id="515" w:name="OLE_LINK75"/>
      <w:r>
        <w:rPr>
          <w:rFonts w:hint="eastAsia" w:ascii="黑体" w:hAnsi="黑体" w:eastAsia="黑体"/>
          <w:b/>
          <w:bCs/>
          <w:color w:val="auto"/>
          <w:kern w:val="44"/>
          <w:sz w:val="36"/>
          <w:szCs w:val="28"/>
          <w:highlight w:val="none"/>
        </w:rPr>
        <w:t>“信用中国”查询的严重失信行为</w:t>
      </w:r>
      <w:bookmarkStart w:id="516" w:name="OLE_LINK76"/>
      <w:bookmarkStart w:id="517" w:name="OLE_LINK39"/>
      <w:bookmarkStart w:id="518" w:name="OLE_LINK38"/>
      <w:bookmarkStart w:id="519" w:name="OLE_LINK40"/>
      <w:r>
        <w:rPr>
          <w:rFonts w:hint="eastAsia" w:ascii="黑体" w:hAnsi="黑体" w:eastAsia="黑体"/>
          <w:b/>
          <w:bCs/>
          <w:color w:val="auto"/>
          <w:kern w:val="44"/>
          <w:sz w:val="36"/>
          <w:szCs w:val="28"/>
          <w:highlight w:val="none"/>
        </w:rPr>
        <w:t>类别及判定依据</w:t>
      </w:r>
      <w:bookmarkEnd w:id="507"/>
      <w:bookmarkEnd w:id="508"/>
      <w:bookmarkEnd w:id="509"/>
      <w:bookmarkEnd w:id="510"/>
      <w:bookmarkEnd w:id="514"/>
      <w:bookmarkEnd w:id="515"/>
      <w:bookmarkEnd w:id="516"/>
      <w:bookmarkEnd w:id="517"/>
      <w:bookmarkEnd w:id="518"/>
      <w:bookmarkEnd w:id="519"/>
    </w:p>
    <w:bookmarkEnd w:id="511"/>
    <w:bookmarkEnd w:id="512"/>
    <w:bookmarkEnd w:id="513"/>
    <w:p w14:paraId="0EA0AEA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“信用中国”查询的严重失信行为判定依据为各行业主管部门下发的联合惩戒文件中规定的行为。下面将部分类别的严重失信行为列举如下：</w:t>
      </w:r>
    </w:p>
    <w:p w14:paraId="14C4D3D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一、安全生产领域严重失信行为：</w:t>
      </w:r>
    </w:p>
    <w:p w14:paraId="338D53D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（一）下列发生生产安全事故的生产经营单位及其有关人员应当列入严重失信主体名单：</w:t>
      </w:r>
    </w:p>
    <w:p w14:paraId="69D0EEB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1、发生特别重大、重大生产安全事故的生产经营单位及其主要负责人，以及经调查认定对该事故发生负有责任，应当列入名单的其他单位和人员；</w:t>
      </w:r>
    </w:p>
    <w:p w14:paraId="0AB46F4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2、12个月内累计发生2起以上较大生产安全事故的生产经营单位及其主要负责人；</w:t>
      </w:r>
    </w:p>
    <w:p w14:paraId="3F5A0D6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3、发生生产安全事故，情节特别严重、影响特别恶劣，依照《中华人民共和国安全生产法》第一百一十四条的规定被处以罚款数额2倍以上5倍以下罚款的生产经营单位及其主要负责人；</w:t>
      </w:r>
    </w:p>
    <w:p w14:paraId="1003B30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4、瞒报、谎报生产安全事故的生产经营单位及其有关责任人员；</w:t>
      </w:r>
    </w:p>
    <w:p w14:paraId="697D326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5、发生生产安全事故后，不立即组织抢救或者在事故调查处理期间擅离职守或者逃匿的生产经营单位主要负责人。</w:t>
      </w:r>
    </w:p>
    <w:p w14:paraId="4CDE1F4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（二）下列未发生生产安全事故，但因安全生产违法行为，受到行政处罚的生产经营单位或者机构及其有关人员，应当列入严重失信主体名单：</w:t>
      </w:r>
    </w:p>
    <w:p w14:paraId="5D5D54C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1、未依法取得安全生产相关许可或者许可被暂扣、吊销期间从事相关生产经营活动的生产经营单位及其主要负责人；</w:t>
      </w:r>
    </w:p>
    <w:p w14:paraId="69B7555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2、承担安全评价、认证、检测、检验职责的机构及其直接责任人员租借资质、挂靠、出具虚假报告或者证书的；</w:t>
      </w:r>
    </w:p>
    <w:p w14:paraId="098471D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3、在应急管理部门作出行政处罚后，有执行能力拒不执行或者逃避执行的生产经营单位及其主要负责人；</w:t>
      </w:r>
    </w:p>
    <w:p w14:paraId="2ACC568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4、其他违反安全生产法律法规受到行政处罚，且性质恶劣、情节严重的。</w:t>
      </w:r>
    </w:p>
    <w:p w14:paraId="32E1E8F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依据：《安全生产严重失信主体名单管理办法》（2023年8月8日应急管理部令第11号）</w:t>
      </w:r>
    </w:p>
    <w:p w14:paraId="324D1B4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二、环境保护领域严重失信行为：</w:t>
      </w:r>
    </w:p>
    <w:p w14:paraId="5B2179C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（一）因为环境违法构成</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HYPERLINK"https://baike.sogou.com/m/fullLemma?lid=10403954&amp;g_ut=3"\t"https://baike.sogou.com/m/_blank"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环境犯罪</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的；</w:t>
      </w:r>
    </w:p>
    <w:p w14:paraId="6C459FA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HYPERLINK"https://baike.sogou.com/m/fullLemma?lid=76033123&amp;g_ut=3"\t"https://baike.sogou.com/m/_blank"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建设项目环境影响评价</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文件未按规定通过审批，擅自开工建设的；</w:t>
      </w:r>
    </w:p>
    <w:p w14:paraId="545EE63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（三）建设项目环保设施未建成、环保措施未落实、未通过</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HYPERLINK"https://baike.sogou.com/m/fullLemma?lid=6470550&amp;g_ut=3"\t"https://baike.sogou.com/m/_blank"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竣工环保验收</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或者验收不合格，主体工程正式投入生产或者使用的；</w:t>
      </w:r>
    </w:p>
    <w:p w14:paraId="082CC55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（四）建设项目性质、规模、地点、采用的生产工艺或者防治污染、防止生态破坏的措施发生重大变动，未重新报批环境影响评价文件，擅自投入生产或者使用的；</w:t>
      </w:r>
    </w:p>
    <w:p w14:paraId="5E2845D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（五）主要污染物排放总量超过控制指标的；</w:t>
      </w:r>
    </w:p>
    <w:p w14:paraId="61DA3F8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（六）私设暗管或者利用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HYPERLINK"https://baike.sogou.com/m/fullLemma?lid=41657319&amp;g_ut=3"\t"https://baike.sogou.com/m/_blank"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渗井</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、渗坑、裂隙、溶洞等排放、倾倒、处置水污染物，或者通过私设旁路排放</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HYPERLINK"https://baike.sogou.com/m/fullLemma?lid=7758328&amp;g_ut=3"\t"https://baike.sogou.com/m/_blank"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大气污染物</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的；</w:t>
      </w:r>
    </w:p>
    <w:p w14:paraId="318E660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（七）非法排放、倾倒、处置危险废物，或者向无</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HYPERLINK"https://baike.sogou.com/m/fullLemma?lid=5923292&amp;g_ut=3"\t"https://baike.sogou.com/m/_blank"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经营许可证</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或者超出经营许可范围的单位或个人提供或者委托其收集、贮存、利用、处置危险废物的；</w:t>
      </w:r>
    </w:p>
    <w:p w14:paraId="3878537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HYPERLINK"https://baike.sogou.com/m/fullLemma?lid=167759803&amp;g_ut=3"\t"https://baike.sogou.com/m/_blank"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环境违法行为</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造成集中式生活饮用水水源取水中断的；</w:t>
      </w:r>
    </w:p>
    <w:p w14:paraId="51C2BDD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（九）环境违法行为对生活饮用水水源保护区、自然保护区、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HYPERLINK"https://baike.sogou.com/m/fullLemma?lid=155199213&amp;g_ut=3"\t"https://baike.sogou.com/m/_blank"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国家重点生态功能区</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、风景名胜区、居住功能区、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HYPERLINK"https://baike.sogou.com/m/fullLemma?lid=7757164&amp;g_ut=3"\t"https://baike.sogou.com/m/_blank"</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基本农田保护区</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等环境敏感区造成重大不利影响的；</w:t>
      </w:r>
    </w:p>
    <w:p w14:paraId="73E1EAB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（十）违法从事自然资源开发、交通基础设施建设，以及其他开发建设活动，造成严重生态破坏的；</w:t>
      </w:r>
    </w:p>
    <w:p w14:paraId="7612FCE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（十一）发生较大及以上突发环境事件的；</w:t>
      </w:r>
    </w:p>
    <w:p w14:paraId="646136B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（十二）被环保部门挂牌督办，整改逾期未完成的；</w:t>
      </w:r>
    </w:p>
    <w:p w14:paraId="2E2AD74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（十三）以暴力、威胁等方式拒绝、阻挠环保部门工作人员现场检查的；</w:t>
      </w:r>
    </w:p>
    <w:p w14:paraId="1F42C50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（十四）违反重污染天气应急预案有关规定，对重污染天气响应不力的。</w:t>
      </w:r>
    </w:p>
    <w:p w14:paraId="07D2033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依据：《</w:t>
      </w:r>
      <w:bookmarkStart w:id="520" w:name="OLE_LINK8"/>
      <w:bookmarkStart w:id="521" w:name="OLE_LINK10"/>
      <w:bookmarkStart w:id="522" w:name="OLE_LINK9"/>
      <w:r>
        <w:rPr>
          <w:rFonts w:hint="eastAsia" w:ascii="宋体" w:hAnsi="宋体" w:eastAsia="宋体" w:cs="宋体"/>
          <w:b/>
          <w:color w:val="auto"/>
          <w:sz w:val="21"/>
          <w:szCs w:val="21"/>
          <w:highlight w:val="none"/>
        </w:rPr>
        <w:t>关于对环境保护领域失信生产经营单位及其有关人员开展联合惩戒的合作备忘录</w:t>
      </w:r>
      <w:bookmarkEnd w:id="520"/>
      <w:bookmarkEnd w:id="521"/>
      <w:bookmarkEnd w:id="522"/>
      <w:r>
        <w:rPr>
          <w:rFonts w:hint="eastAsia" w:ascii="宋体" w:hAnsi="宋体" w:eastAsia="宋体" w:cs="宋体"/>
          <w:b/>
          <w:color w:val="auto"/>
          <w:sz w:val="21"/>
          <w:szCs w:val="21"/>
          <w:highlight w:val="none"/>
        </w:rPr>
        <w:t>》、《</w:t>
      </w:r>
      <w:bookmarkStart w:id="523" w:name="OLE_LINK11"/>
      <w:bookmarkStart w:id="524" w:name="OLE_LINK12"/>
      <w:r>
        <w:rPr>
          <w:rFonts w:hint="eastAsia" w:ascii="宋体" w:hAnsi="宋体" w:eastAsia="宋体" w:cs="宋体"/>
          <w:b/>
          <w:color w:val="auto"/>
          <w:sz w:val="21"/>
          <w:szCs w:val="21"/>
          <w:highlight w:val="none"/>
        </w:rPr>
        <w:t>企业环境信用评价办法（试行）</w:t>
      </w:r>
      <w:bookmarkEnd w:id="523"/>
      <w:bookmarkEnd w:id="524"/>
      <w:r>
        <w:rPr>
          <w:rFonts w:hint="eastAsia" w:ascii="宋体" w:hAnsi="宋体" w:eastAsia="宋体" w:cs="宋体"/>
          <w:b/>
          <w:color w:val="auto"/>
          <w:sz w:val="21"/>
          <w:szCs w:val="21"/>
          <w:highlight w:val="none"/>
        </w:rPr>
        <w:t>》（环发〔2013〕150号）</w:t>
      </w:r>
    </w:p>
    <w:p w14:paraId="47E0F96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bCs/>
          <w:color w:val="auto"/>
          <w:sz w:val="21"/>
          <w:szCs w:val="21"/>
          <w:highlight w:val="none"/>
        </w:rPr>
        <w:t>公共资源交易领域严重失信行为</w:t>
      </w:r>
    </w:p>
    <w:p w14:paraId="56B7F0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（一）违反法律规定，必须进行招标的项目而不招标的，将必须进行招标的项目化整为零或者以其他任何方式规避招标的；</w:t>
      </w:r>
    </w:p>
    <w:p w14:paraId="49F1665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（二）招标代理机构违反法律规定，泄露应当保密的与招标投标活动有关的情况和资料的，或者与招标人、投标人串通损害国家利益、社会公共利益或者他人合法权益的；</w:t>
      </w:r>
    </w:p>
    <w:p w14:paraId="450D667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（三）招标人以不合理的条件限制或者排斥潜在投标人的，对潜在投标人实行歧视待遇的，强制要求投标人组成联合体共同投标的，或者限制投标人之间竞争的；</w:t>
      </w:r>
    </w:p>
    <w:p w14:paraId="232465A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（四）依法必须进行招标的项目的招标人向他人透露已获取招标文件的潜在投标人的名称、数量或者可能影响公平竞争的有关招标投标的其他情况的，或者泄露标底的；</w:t>
      </w:r>
    </w:p>
    <w:p w14:paraId="64012CC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（五）投标人相互串通投标或者与招标人串通投标的，投标人以向招标人或者评标委员会成员行贿的手段谋取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w:t>
      </w:r>
    </w:p>
    <w:p w14:paraId="006302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（六）投标人以他人名义投标或者以其他方式弄虚作假，骗取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w:t>
      </w:r>
    </w:p>
    <w:p w14:paraId="6680DB0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（七）依法必须进行招标的项目，招标人违反法律规定，与投标人就投标价格、投标方案等实质性内容进行谈判的；</w:t>
      </w:r>
    </w:p>
    <w:p w14:paraId="2A8D864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（八）评标委员会成员收受投标人的财物或者其他好处的，评标委员会成员或者参加评标的有关工作人员向他人透露对投标文件的评审和比较、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候选人的推荐以及与评标有关的其他情况的；</w:t>
      </w:r>
    </w:p>
    <w:p w14:paraId="0D03A3D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（九）招标人在评标委员会依法推荐的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候选人以外确定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人的，依法必须进行招标的项目在所有投标被评标委员会否决后自行确定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人的；</w:t>
      </w:r>
    </w:p>
    <w:p w14:paraId="30ED2BD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人将</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项目转让给他人的，将</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项目肢解后分别转让给他人的，违反法律规定将</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项目的部分主体、关键性工作分包给他人的，或者分包人再次分包的；</w:t>
      </w:r>
    </w:p>
    <w:p w14:paraId="344ACA0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（十一）招标人与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人不按照招标文件和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人的投标文件订立合同的，或者招标人、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人订立背离合同实质性内容的协议的；</w:t>
      </w:r>
    </w:p>
    <w:p w14:paraId="6CDC275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人不按照与招标人订立的合同履行义务，情节严重的；</w:t>
      </w:r>
    </w:p>
    <w:p w14:paraId="76EA8CF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（十三）采购人、采购代理机构存在应当采用公开招标方式而擅自采用其他方式采购，擅自提高采购标准，以不合理的条件对供应商实行差别待遇或者歧视待遇，在招标采购过程中与投标人进行协商谈判，</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、成交通知书发出后不与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、成交供应商签订采购合同，或者拒绝有关部门依法实施监督检查等情形的；</w:t>
      </w:r>
    </w:p>
    <w:p w14:paraId="42CEAF6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2EE29C6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（十五）采购人对应当实行集中采购的政府采购项目，不委托集中采购机构实行集中采购的；</w:t>
      </w:r>
    </w:p>
    <w:p w14:paraId="1111421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（十六）采购人、采购代理机构违反法律规定隐匿、销毁应当保存的采购文件或者伪造、变造采购文件的；</w:t>
      </w:r>
    </w:p>
    <w:p w14:paraId="12ECF44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（十七）供应商存在提供虚假材料谋取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14:paraId="25728C1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（十八）疫苗生产企业向县级疾病预防控制机构以外的单位或者个人销售第二类疫苗的；</w:t>
      </w:r>
    </w:p>
    <w:p w14:paraId="21C259B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（十九）存在其他违反公共资源交易法律法规行为的。</w:t>
      </w:r>
    </w:p>
    <w:p w14:paraId="2795C3F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依据：《</w:t>
      </w:r>
      <w:bookmarkStart w:id="525" w:name="OLE_LINK13"/>
      <w:bookmarkStart w:id="526" w:name="OLE_LINK14"/>
      <w:r>
        <w:rPr>
          <w:rFonts w:hint="eastAsia" w:ascii="宋体" w:hAnsi="宋体" w:eastAsia="宋体" w:cs="宋体"/>
          <w:b/>
          <w:color w:val="auto"/>
          <w:sz w:val="21"/>
          <w:szCs w:val="21"/>
          <w:highlight w:val="none"/>
        </w:rPr>
        <w:t>关于对公共资源交易领域严重失信主体开展联合惩戒的备忘录</w:t>
      </w:r>
      <w:bookmarkEnd w:id="525"/>
      <w:bookmarkEnd w:id="526"/>
      <w:r>
        <w:rPr>
          <w:rFonts w:hint="eastAsia" w:ascii="宋体" w:hAnsi="宋体" w:eastAsia="宋体" w:cs="宋体"/>
          <w:b/>
          <w:color w:val="auto"/>
          <w:sz w:val="21"/>
          <w:szCs w:val="21"/>
          <w:highlight w:val="none"/>
        </w:rPr>
        <w:t>》（发改法规〔2018〕457号）</w:t>
      </w:r>
    </w:p>
    <w:p w14:paraId="6A8B4ED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bCs/>
          <w:color w:val="auto"/>
          <w:sz w:val="21"/>
          <w:szCs w:val="21"/>
          <w:highlight w:val="none"/>
        </w:rPr>
        <w:t>社会保险领域严重失信行为</w:t>
      </w:r>
    </w:p>
    <w:p w14:paraId="1C57933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（一）用人单位未按相关规定参加社会保险且拒不整改的；</w:t>
      </w:r>
    </w:p>
    <w:p w14:paraId="6D48D5D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（二）用人单位未如实申报社会保险缴费基数且拒不整改的；</w:t>
      </w:r>
    </w:p>
    <w:p w14:paraId="0764148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（三）应缴纳社会保险费却拒不缴纳的；</w:t>
      </w:r>
    </w:p>
    <w:p w14:paraId="321F828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（四）隐匿、转移、侵占、挪用社会保险费款、基金或者违规投资运营的；</w:t>
      </w:r>
    </w:p>
    <w:p w14:paraId="0E980C7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（五）以欺诈、伪造证明材料或者其他手段参加、申报社会保险和骗取社会保险基金支出或社会保险待遇的；</w:t>
      </w:r>
    </w:p>
    <w:p w14:paraId="5D1B91A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（六）非法获取、出售或变相交易社会保险个人权益数据的；</w:t>
      </w:r>
    </w:p>
    <w:p w14:paraId="0AB6BDE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（七）社会保险服务机构违反服务协议或相关规定的；</w:t>
      </w:r>
    </w:p>
    <w:p w14:paraId="4D2108B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（八）拒绝协助社会保险行政部门、经办机构对事故和问题进行调查核实的；拒绝接受或协助税务部门对社会保险实施监督检查，不如实提供与社会保险相关各项资料的；</w:t>
      </w:r>
    </w:p>
    <w:p w14:paraId="59BEC32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（九）其他违反法律法规规定的。</w:t>
      </w:r>
    </w:p>
    <w:p w14:paraId="72CD851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依据：《</w:t>
      </w:r>
      <w:bookmarkStart w:id="527" w:name="OLE_LINK15"/>
      <w:bookmarkStart w:id="528" w:name="OLE_LINK16"/>
      <w:r>
        <w:rPr>
          <w:rFonts w:hint="eastAsia" w:ascii="宋体" w:hAnsi="宋体" w:eastAsia="宋体" w:cs="宋体"/>
          <w:b/>
          <w:color w:val="auto"/>
          <w:sz w:val="21"/>
          <w:szCs w:val="21"/>
          <w:highlight w:val="none"/>
        </w:rPr>
        <w:t>关于对社会保险领域严重失信企业及其有关人员实施联合惩戒的合作备忘录</w:t>
      </w:r>
      <w:bookmarkEnd w:id="527"/>
      <w:bookmarkEnd w:id="528"/>
      <w:r>
        <w:rPr>
          <w:rFonts w:hint="eastAsia" w:ascii="宋体" w:hAnsi="宋体" w:eastAsia="宋体" w:cs="宋体"/>
          <w:b/>
          <w:color w:val="auto"/>
          <w:sz w:val="21"/>
          <w:szCs w:val="21"/>
          <w:highlight w:val="none"/>
        </w:rPr>
        <w:t>》（发改财金〔2018〕1704号）</w:t>
      </w:r>
    </w:p>
    <w:p w14:paraId="31D1D51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五、建筑市场领域</w:t>
      </w:r>
      <w:r>
        <w:rPr>
          <w:rFonts w:hint="eastAsia" w:ascii="宋体" w:hAnsi="宋体" w:eastAsia="宋体" w:cs="宋体"/>
          <w:b/>
          <w:bCs/>
          <w:color w:val="auto"/>
          <w:sz w:val="21"/>
          <w:szCs w:val="21"/>
          <w:highlight w:val="none"/>
        </w:rPr>
        <w:t>严重失信行为</w:t>
      </w:r>
    </w:p>
    <w:p w14:paraId="6A24DDA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（一）利用虚假材料、以欺骗手段取得企业资质的；</w:t>
      </w:r>
    </w:p>
    <w:p w14:paraId="1F2CFD4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（二）发生转包、出借资质，受到行政处罚的；</w:t>
      </w:r>
    </w:p>
    <w:p w14:paraId="6EE0A6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（三）发生重大及以上工程质量安全事故，或1年内累计发生2次及以上较大工程质量安全事故，或发生性质恶劣、危害性严重、社会影响大的较大工程质量安全事故，受到行政处罚的；</w:t>
      </w:r>
    </w:p>
    <w:p w14:paraId="42F93F2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（四）经法院判决或仲裁机构裁决，认定为拖欠工程款,且拒不履行生效法律文书确定的义务的。</w:t>
      </w:r>
    </w:p>
    <w:p w14:paraId="4BE42B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各级住房城乡建设主管部门应当参照建筑市场主体“黑名单”，对被人力资源社会保障行政部门列入拖欠农民工工资“黑名单”的建筑市场各方主体加强监管。</w:t>
      </w:r>
    </w:p>
    <w:p w14:paraId="270D39ED">
      <w:pPr>
        <w:keepNext w:val="0"/>
        <w:keepLines w:val="0"/>
        <w:pageBreakBefore w:val="0"/>
        <w:widowControl w:val="0"/>
        <w:kinsoku/>
        <w:wordWrap/>
        <w:overflowPunct/>
        <w:topLinePunct w:val="0"/>
        <w:autoSpaceDE/>
        <w:autoSpaceDN/>
        <w:bidi w:val="0"/>
        <w:spacing w:line="440" w:lineRule="exact"/>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依据：《</w:t>
      </w:r>
      <w:bookmarkStart w:id="529" w:name="OLE_LINK18"/>
      <w:bookmarkStart w:id="530" w:name="OLE_LINK17"/>
      <w:r>
        <w:rPr>
          <w:rFonts w:hint="eastAsia" w:ascii="宋体" w:hAnsi="宋体" w:eastAsia="宋体" w:cs="宋体"/>
          <w:b/>
          <w:color w:val="auto"/>
          <w:sz w:val="21"/>
          <w:szCs w:val="21"/>
          <w:highlight w:val="none"/>
        </w:rPr>
        <w:t>建筑市场信用管理暂行办法</w:t>
      </w:r>
      <w:bookmarkEnd w:id="529"/>
      <w:bookmarkEnd w:id="530"/>
      <w:r>
        <w:rPr>
          <w:rFonts w:hint="eastAsia" w:ascii="宋体" w:hAnsi="宋体" w:eastAsia="宋体" w:cs="宋体"/>
          <w:b/>
          <w:color w:val="auto"/>
          <w:sz w:val="21"/>
          <w:szCs w:val="21"/>
          <w:highlight w:val="none"/>
        </w:rPr>
        <w:t>》（建市〔2017〕241号）</w:t>
      </w:r>
    </w:p>
    <w:p w14:paraId="1F9DF7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w:t>
      </w:r>
      <w:bookmarkStart w:id="531" w:name="OLE_LINK19"/>
      <w:bookmarkStart w:id="532" w:name="OLE_LINK20"/>
      <w:r>
        <w:rPr>
          <w:rFonts w:hint="eastAsia" w:ascii="宋体" w:hAnsi="宋体" w:eastAsia="宋体" w:cs="宋体"/>
          <w:b/>
          <w:color w:val="auto"/>
          <w:sz w:val="21"/>
          <w:szCs w:val="21"/>
          <w:highlight w:val="none"/>
        </w:rPr>
        <w:t>政府采购严重失信行为</w:t>
      </w:r>
      <w:bookmarkEnd w:id="531"/>
      <w:bookmarkEnd w:id="532"/>
    </w:p>
    <w:p w14:paraId="265E351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（一）三万元以上罚款；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（二）在一至三年内禁止参加政府采购活动（处罚期限届满的除外）；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（三）在一至三年内禁止代理政府采购业务（处罚期限届满的除外）；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（四）撤销政府采购代理机构资格（仅针对《政府采购法》第78条修改前作出的处罚决定）。</w:t>
      </w:r>
    </w:p>
    <w:p w14:paraId="18E2D45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依据：《关于报送政府采购严重违法失信行为信息记录的通知》（财办库〔2014〕526号）</w:t>
      </w:r>
    </w:p>
    <w:p w14:paraId="32F8DBD9">
      <w:pPr>
        <w:keepNext w:val="0"/>
        <w:keepLines w:val="0"/>
        <w:pageBreakBefore w:val="0"/>
        <w:widowControl w:val="0"/>
        <w:kinsoku/>
        <w:wordWrap/>
        <w:overflowPunct/>
        <w:topLinePunct w:val="0"/>
        <w:autoSpaceDE/>
        <w:autoSpaceDN/>
        <w:bidi w:val="0"/>
        <w:spacing w:line="440" w:lineRule="exact"/>
        <w:ind w:firstLine="420"/>
        <w:textAlignment w:val="auto"/>
        <w:outlineLvl w:val="9"/>
        <w:rPr>
          <w:rFonts w:hint="eastAsia"/>
          <w:color w:val="auto"/>
          <w:highlight w:val="none"/>
        </w:rPr>
      </w:pPr>
      <w:r>
        <w:rPr>
          <w:rFonts w:hint="eastAsia" w:ascii="宋体" w:hAnsi="宋体" w:eastAsia="宋体" w:cs="宋体"/>
          <w:b/>
          <w:color w:val="auto"/>
          <w:sz w:val="21"/>
          <w:szCs w:val="21"/>
          <w:highlight w:val="none"/>
        </w:rPr>
        <w:t>未列出的其他类别严重失信行为，由招标人（代理机构）根据各类别行业主管部门下发的联合惩戒文件进行判断。</w:t>
      </w:r>
    </w:p>
    <w:bookmarkEnd w:id="466"/>
    <w:bookmarkEnd w:id="467"/>
    <w:bookmarkEnd w:id="468"/>
    <w:p w14:paraId="72CEEDF6">
      <w:pPr>
        <w:pStyle w:val="2"/>
        <w:pageBreakBefore/>
        <w:spacing w:before="156" w:beforeLines="50" w:after="156" w:afterLines="50" w:line="440" w:lineRule="exact"/>
        <w:jc w:val="center"/>
        <w:rPr>
          <w:rFonts w:hint="eastAsia" w:ascii="宋体" w:hAnsi="宋体" w:cs="宋体"/>
          <w:b/>
          <w:color w:val="auto"/>
          <w:sz w:val="32"/>
          <w:szCs w:val="32"/>
          <w:highlight w:val="none"/>
        </w:rPr>
      </w:pPr>
      <w:bookmarkStart w:id="533" w:name="_Toc6014"/>
      <w:bookmarkStart w:id="534" w:name="_Toc3113"/>
      <w:r>
        <w:rPr>
          <w:rFonts w:hint="eastAsia" w:ascii="宋体" w:hAnsi="宋体" w:cs="宋体"/>
          <w:b/>
          <w:color w:val="auto"/>
          <w:sz w:val="32"/>
          <w:szCs w:val="32"/>
          <w:highlight w:val="none"/>
          <w:lang w:val="en-US" w:eastAsia="zh-CN"/>
        </w:rPr>
        <w:t>第八章、</w:t>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HYPERLINK  \l "_八、南京路泉河桥方案设计主要内容和技术要求" </w:instrText>
      </w:r>
      <w:r>
        <w:rPr>
          <w:rFonts w:hint="eastAsia" w:ascii="宋体" w:hAnsi="宋体" w:cs="宋体"/>
          <w:b/>
          <w:color w:val="auto"/>
          <w:sz w:val="32"/>
          <w:szCs w:val="32"/>
          <w:highlight w:val="none"/>
        </w:rPr>
        <w:fldChar w:fldCharType="separate"/>
      </w:r>
      <w:bookmarkStart w:id="535" w:name="_Toc125869596"/>
      <w:bookmarkStart w:id="536" w:name="_Toc142910967"/>
      <w:r>
        <w:rPr>
          <w:rFonts w:hint="eastAsia" w:ascii="宋体" w:hAnsi="宋体" w:cs="宋体"/>
          <w:b/>
          <w:color w:val="auto"/>
          <w:sz w:val="32"/>
          <w:szCs w:val="32"/>
          <w:highlight w:val="none"/>
        </w:rPr>
        <w:t>采购人、采购代理机构对本竞争性磋商文件的</w:t>
      </w:r>
      <w:bookmarkEnd w:id="535"/>
      <w:bookmarkEnd w:id="536"/>
      <w:r>
        <w:rPr>
          <w:rFonts w:hint="eastAsia" w:ascii="宋体" w:hAnsi="宋体" w:cs="宋体"/>
          <w:b/>
          <w:color w:val="auto"/>
          <w:sz w:val="32"/>
          <w:szCs w:val="32"/>
          <w:highlight w:val="none"/>
        </w:rPr>
        <w:t>确</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t>认</w:t>
      </w:r>
      <w:bookmarkEnd w:id="533"/>
      <w:bookmarkEnd w:id="534"/>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9500"/>
      </w:tblGrid>
      <w:tr w14:paraId="66F7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4" w:type="dxa"/>
            <w:left w:w="108" w:type="dxa"/>
            <w:bottom w:w="284" w:type="dxa"/>
            <w:right w:w="108" w:type="dxa"/>
          </w:tblCellMar>
        </w:tblPrEx>
        <w:trPr>
          <w:trHeight w:val="90" w:hRule="atLeast"/>
          <w:jc w:val="center"/>
        </w:trPr>
        <w:tc>
          <w:tcPr>
            <w:tcW w:w="9500" w:type="dxa"/>
            <w:noWrap w:val="0"/>
            <w:vAlign w:val="top"/>
          </w:tcPr>
          <w:p w14:paraId="6A7EE3BA">
            <w:pP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我单位对</w:t>
            </w:r>
            <w:r>
              <w:rPr>
                <w:rFonts w:hint="eastAsia" w:ascii="宋体" w:hAnsi="宋体" w:cs="宋体"/>
                <w:color w:val="auto"/>
                <w:sz w:val="28"/>
                <w:szCs w:val="28"/>
                <w:highlight w:val="none"/>
                <w:u w:val="single"/>
                <w:lang w:eastAsia="zh-CN"/>
              </w:rPr>
              <w:t>滁州学院2026年会峰校区供水管网物探、测绘及基础信息建设服务项目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的竞争性磋商文件进行确认。</w:t>
            </w:r>
          </w:p>
          <w:p w14:paraId="25E929C7">
            <w:pPr>
              <w:spacing w:line="800" w:lineRule="exact"/>
              <w:ind w:firstLine="700" w:firstLineChars="25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采购单位：</w:t>
            </w:r>
            <w:r>
              <w:rPr>
                <w:rFonts w:hint="eastAsia" w:ascii="宋体" w:hAnsi="宋体" w:cs="宋体"/>
                <w:color w:val="auto"/>
                <w:sz w:val="28"/>
                <w:szCs w:val="28"/>
                <w:highlight w:val="none"/>
                <w:lang w:eastAsia="zh-CN"/>
              </w:rPr>
              <w:t>滁州学院</w:t>
            </w:r>
          </w:p>
          <w:p w14:paraId="571A5775">
            <w:pPr>
              <w:spacing w:line="800" w:lineRule="exact"/>
              <w:ind w:firstLine="700" w:firstLineChars="25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采购联系人：</w:t>
            </w:r>
            <w:r>
              <w:rPr>
                <w:rFonts w:hint="eastAsia" w:ascii="宋体" w:hAnsi="宋体" w:cs="宋体"/>
                <w:color w:val="auto"/>
                <w:kern w:val="0"/>
                <w:sz w:val="28"/>
                <w:szCs w:val="28"/>
                <w:highlight w:val="none"/>
                <w:lang w:val="en-US" w:eastAsia="zh-CN"/>
              </w:rPr>
              <w:t>尹</w:t>
            </w:r>
            <w:r>
              <w:rPr>
                <w:rFonts w:hint="eastAsia" w:ascii="宋体" w:hAnsi="宋体" w:cs="宋体"/>
                <w:color w:val="auto"/>
                <w:kern w:val="0"/>
                <w:sz w:val="28"/>
                <w:szCs w:val="28"/>
                <w:highlight w:val="none"/>
              </w:rPr>
              <w:t>老师、</w:t>
            </w:r>
            <w:r>
              <w:rPr>
                <w:rFonts w:hint="eastAsia" w:ascii="宋体" w:hAnsi="宋体" w:cs="宋体"/>
                <w:color w:val="auto"/>
                <w:kern w:val="0"/>
                <w:sz w:val="28"/>
                <w:szCs w:val="28"/>
                <w:highlight w:val="none"/>
                <w:lang w:val="en-US" w:eastAsia="zh-CN"/>
              </w:rPr>
              <w:t>李老师</w:t>
            </w:r>
          </w:p>
          <w:p w14:paraId="6A164CBB">
            <w:pPr>
              <w:spacing w:line="800" w:lineRule="exact"/>
              <w:ind w:firstLine="700" w:firstLineChars="250"/>
              <w:rPr>
                <w:rFonts w:hint="eastAsia" w:ascii="宋体" w:hAnsi="宋体" w:cs="宋体"/>
                <w:color w:val="auto"/>
                <w:kern w:val="0"/>
                <w:sz w:val="28"/>
                <w:szCs w:val="28"/>
                <w:highlight w:val="none"/>
              </w:rPr>
            </w:pPr>
            <w:r>
              <w:rPr>
                <w:rFonts w:hint="eastAsia" w:ascii="宋体" w:hAnsi="宋体" w:cs="宋体"/>
                <w:color w:val="auto"/>
                <w:sz w:val="28"/>
                <w:szCs w:val="20"/>
                <w:highlight w:val="none"/>
              </w:rPr>
              <w:t>联系</w:t>
            </w:r>
            <w:r>
              <w:rPr>
                <w:rFonts w:hint="eastAsia" w:ascii="宋体" w:hAnsi="宋体" w:cs="宋体"/>
                <w:color w:val="auto"/>
                <w:kern w:val="0"/>
                <w:sz w:val="28"/>
                <w:szCs w:val="28"/>
                <w:highlight w:val="none"/>
              </w:rPr>
              <w:t>电话：</w:t>
            </w:r>
            <w:r>
              <w:rPr>
                <w:rFonts w:hint="eastAsia" w:ascii="宋体" w:hAnsi="宋体" w:cs="宋体"/>
                <w:color w:val="auto"/>
                <w:kern w:val="0"/>
                <w:sz w:val="28"/>
                <w:szCs w:val="28"/>
                <w:highlight w:val="none"/>
                <w:lang w:val="en-US" w:eastAsia="zh-CN"/>
              </w:rPr>
              <w:t>0550-3512075</w:t>
            </w:r>
            <w:r>
              <w:rPr>
                <w:rFonts w:hint="eastAsia" w:ascii="宋体" w:hAnsi="宋体" w:cs="宋体"/>
                <w:color w:val="auto"/>
                <w:kern w:val="0"/>
                <w:sz w:val="28"/>
                <w:szCs w:val="28"/>
                <w:highlight w:val="none"/>
              </w:rPr>
              <w:t>、0550-3512003</w:t>
            </w:r>
          </w:p>
          <w:p w14:paraId="69894FA6">
            <w:pPr>
              <w:spacing w:line="800" w:lineRule="exact"/>
              <w:ind w:firstLine="700" w:firstLineChars="250"/>
              <w:rPr>
                <w:rFonts w:hint="eastAsia"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 xml:space="preserve">                                          </w:t>
            </w:r>
          </w:p>
          <w:p w14:paraId="2A55AB96">
            <w:pPr>
              <w:spacing w:line="400" w:lineRule="exact"/>
              <w:ind w:right="560" w:firstLine="700" w:firstLineChars="25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0EB45715">
            <w:pPr>
              <w:spacing w:line="400" w:lineRule="exact"/>
              <w:ind w:right="560"/>
              <w:rPr>
                <w:rFonts w:hint="eastAsia" w:ascii="宋体" w:hAnsi="宋体" w:cs="宋体"/>
                <w:color w:val="auto"/>
                <w:sz w:val="28"/>
                <w:szCs w:val="28"/>
                <w:highlight w:val="none"/>
              </w:rPr>
            </w:pPr>
          </w:p>
          <w:p w14:paraId="5B4110BF">
            <w:pPr>
              <w:spacing w:line="400" w:lineRule="exact"/>
              <w:ind w:right="560" w:firstLine="700" w:firstLineChars="25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（单位盖章）</w:t>
            </w:r>
          </w:p>
          <w:p w14:paraId="0ED0505E">
            <w:pPr>
              <w:spacing w:line="400" w:lineRule="exact"/>
              <w:ind w:right="560" w:firstLine="700" w:firstLineChars="250"/>
              <w:jc w:val="center"/>
              <w:rPr>
                <w:rFonts w:hint="eastAsia" w:ascii="宋体" w:hAnsi="宋体" w:cs="宋体"/>
                <w:color w:val="auto"/>
                <w:sz w:val="28"/>
                <w:szCs w:val="28"/>
                <w:highlight w:val="none"/>
              </w:rPr>
            </w:pPr>
          </w:p>
          <w:p w14:paraId="5FAC6F70">
            <w:pPr>
              <w:tabs>
                <w:tab w:val="left" w:pos="5941"/>
              </w:tabs>
              <w:wordWrap w:val="0"/>
              <w:spacing w:line="400" w:lineRule="exact"/>
              <w:ind w:right="820"/>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w:t>
            </w:r>
          </w:p>
        </w:tc>
      </w:tr>
      <w:tr w14:paraId="42FD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4" w:type="dxa"/>
            <w:left w:w="108" w:type="dxa"/>
            <w:bottom w:w="284" w:type="dxa"/>
            <w:right w:w="108" w:type="dxa"/>
          </w:tblCellMar>
        </w:tblPrEx>
        <w:trPr>
          <w:trHeight w:val="4716" w:hRule="atLeast"/>
          <w:jc w:val="center"/>
        </w:trPr>
        <w:tc>
          <w:tcPr>
            <w:tcW w:w="9500" w:type="dxa"/>
            <w:noWrap w:val="0"/>
            <w:vAlign w:val="top"/>
          </w:tcPr>
          <w:p w14:paraId="633A206D">
            <w:pPr>
              <w:spacing w:line="560" w:lineRule="exact"/>
              <w:ind w:firstLine="560" w:firstLineChars="200"/>
              <w:rPr>
                <w:rFonts w:hint="eastAsia" w:ascii="宋体" w:hAnsi="宋体" w:cs="宋体"/>
                <w:color w:val="auto"/>
                <w:sz w:val="28"/>
                <w:szCs w:val="20"/>
                <w:highlight w:val="none"/>
              </w:rPr>
            </w:pPr>
            <w:r>
              <w:rPr>
                <w:rFonts w:hint="eastAsia" w:ascii="宋体" w:hAnsi="宋体" w:cs="宋体"/>
                <w:color w:val="auto"/>
                <w:sz w:val="28"/>
                <w:szCs w:val="20"/>
                <w:highlight w:val="none"/>
              </w:rPr>
              <w:t>采购代理机构：安徽立地工程咨询有限公司</w:t>
            </w:r>
          </w:p>
          <w:p w14:paraId="56261DAB">
            <w:pPr>
              <w:spacing w:line="560" w:lineRule="exact"/>
              <w:ind w:firstLine="560" w:firstLineChars="200"/>
              <w:rPr>
                <w:rFonts w:ascii="宋体" w:hAnsi="宋体" w:cs="宋体"/>
                <w:color w:val="auto"/>
                <w:sz w:val="28"/>
                <w:szCs w:val="20"/>
                <w:highlight w:val="none"/>
              </w:rPr>
            </w:pPr>
            <w:r>
              <w:rPr>
                <w:rFonts w:hint="eastAsia" w:ascii="宋体" w:hAnsi="宋体" w:cs="宋体"/>
                <w:color w:val="auto"/>
                <w:sz w:val="28"/>
                <w:szCs w:val="20"/>
                <w:highlight w:val="none"/>
              </w:rPr>
              <w:t>经办人：全晨曦</w:t>
            </w:r>
          </w:p>
          <w:p w14:paraId="45F03C6B">
            <w:pPr>
              <w:spacing w:line="560" w:lineRule="exact"/>
              <w:ind w:firstLine="560" w:firstLineChars="200"/>
              <w:rPr>
                <w:rFonts w:hint="eastAsia" w:ascii="宋体" w:hAnsi="宋体" w:eastAsia="宋体" w:cs="宋体"/>
                <w:color w:val="auto"/>
                <w:sz w:val="28"/>
                <w:szCs w:val="20"/>
                <w:highlight w:val="none"/>
                <w:lang w:val="en-US" w:eastAsia="zh-CN"/>
              </w:rPr>
            </w:pPr>
            <w:r>
              <w:rPr>
                <w:rFonts w:hint="eastAsia" w:ascii="宋体" w:hAnsi="宋体" w:cs="宋体"/>
                <w:color w:val="auto"/>
                <w:sz w:val="28"/>
                <w:szCs w:val="20"/>
                <w:highlight w:val="none"/>
              </w:rPr>
              <w:t>联系电话：1807527022</w:t>
            </w:r>
            <w:r>
              <w:rPr>
                <w:rFonts w:hint="eastAsia" w:ascii="宋体" w:hAnsi="宋体" w:cs="宋体"/>
                <w:color w:val="auto"/>
                <w:sz w:val="28"/>
                <w:szCs w:val="20"/>
                <w:highlight w:val="none"/>
                <w:lang w:val="en-US" w:eastAsia="zh-CN"/>
              </w:rPr>
              <w:t>7</w:t>
            </w:r>
          </w:p>
          <w:p w14:paraId="12DB040B">
            <w:pPr>
              <w:spacing w:line="440" w:lineRule="exact"/>
              <w:ind w:firstLine="560" w:firstLineChars="200"/>
              <w:rPr>
                <w:rFonts w:hint="eastAsia" w:ascii="宋体" w:hAnsi="宋体" w:cs="宋体"/>
                <w:color w:val="auto"/>
                <w:sz w:val="28"/>
                <w:szCs w:val="28"/>
                <w:highlight w:val="none"/>
              </w:rPr>
            </w:pPr>
          </w:p>
          <w:p w14:paraId="6986ACD0">
            <w:pPr>
              <w:spacing w:line="440" w:lineRule="exact"/>
              <w:ind w:firstLine="560" w:firstLineChars="200"/>
              <w:rPr>
                <w:rFonts w:hint="eastAsia" w:ascii="宋体" w:hAnsi="宋体" w:cs="宋体"/>
                <w:color w:val="auto"/>
                <w:sz w:val="28"/>
                <w:szCs w:val="28"/>
                <w:highlight w:val="none"/>
              </w:rPr>
            </w:pPr>
          </w:p>
          <w:p w14:paraId="56C39DE7">
            <w:pPr>
              <w:spacing w:line="440" w:lineRule="exact"/>
              <w:ind w:firstLine="560" w:firstLineChars="200"/>
              <w:rPr>
                <w:rFonts w:hint="eastAsia" w:ascii="宋体" w:hAnsi="宋体" w:cs="宋体"/>
                <w:color w:val="auto"/>
                <w:sz w:val="28"/>
                <w:szCs w:val="28"/>
                <w:highlight w:val="none"/>
              </w:rPr>
            </w:pPr>
          </w:p>
          <w:p w14:paraId="3AFB78F2">
            <w:pPr>
              <w:spacing w:line="440" w:lineRule="exact"/>
              <w:ind w:firstLine="7140" w:firstLineChars="2550"/>
              <w:rPr>
                <w:rFonts w:hint="eastAsia" w:ascii="宋体" w:hAnsi="宋体" w:cs="宋体"/>
                <w:color w:val="auto"/>
                <w:sz w:val="28"/>
                <w:szCs w:val="28"/>
                <w:highlight w:val="none"/>
              </w:rPr>
            </w:pPr>
            <w:r>
              <w:rPr>
                <w:rFonts w:hint="eastAsia" w:ascii="宋体" w:hAnsi="宋体" w:cs="宋体"/>
                <w:color w:val="auto"/>
                <w:sz w:val="28"/>
                <w:szCs w:val="28"/>
                <w:highlight w:val="none"/>
              </w:rPr>
              <w:t>（单位盖章）</w:t>
            </w:r>
          </w:p>
          <w:p w14:paraId="2D55D960">
            <w:pPr>
              <w:spacing w:line="440" w:lineRule="exact"/>
              <w:ind w:firstLine="6300" w:firstLineChars="2250"/>
              <w:rPr>
                <w:rFonts w:hint="eastAsia" w:ascii="宋体" w:hAnsi="宋体" w:cs="宋体"/>
                <w:color w:val="auto"/>
                <w:sz w:val="28"/>
                <w:szCs w:val="28"/>
                <w:highlight w:val="none"/>
              </w:rPr>
            </w:pPr>
          </w:p>
          <w:p w14:paraId="1F478860">
            <w:pPr>
              <w:spacing w:line="440" w:lineRule="exact"/>
              <w:ind w:firstLine="7140" w:firstLineChars="2550"/>
              <w:rPr>
                <w:rFonts w:hint="eastAsia" w:ascii="宋体" w:hAnsi="宋体" w:cs="宋体"/>
                <w:color w:val="auto"/>
                <w:sz w:val="28"/>
                <w:szCs w:val="28"/>
                <w:highlight w:val="none"/>
              </w:rPr>
            </w:pPr>
            <w:r>
              <w:rPr>
                <w:rFonts w:hint="eastAsia" w:ascii="宋体" w:hAnsi="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w:t>
            </w:r>
          </w:p>
          <w:p w14:paraId="5E8B7A10">
            <w:pPr>
              <w:spacing w:line="440" w:lineRule="exact"/>
              <w:ind w:firstLine="6300" w:firstLineChars="2250"/>
              <w:rPr>
                <w:rFonts w:hint="eastAsia" w:ascii="宋体" w:hAnsi="宋体" w:cs="宋体"/>
                <w:color w:val="auto"/>
                <w:sz w:val="28"/>
                <w:szCs w:val="28"/>
                <w:highlight w:val="none"/>
              </w:rPr>
            </w:pPr>
          </w:p>
          <w:p w14:paraId="16E4B7AA">
            <w:pPr>
              <w:wordWrap w:val="0"/>
              <w:spacing w:line="400" w:lineRule="exact"/>
              <w:ind w:right="980"/>
              <w:jc w:val="right"/>
              <w:rPr>
                <w:rFonts w:hint="eastAsia" w:ascii="宋体" w:hAnsi="宋体" w:cs="宋体"/>
                <w:color w:val="auto"/>
                <w:sz w:val="28"/>
                <w:szCs w:val="28"/>
                <w:highlight w:val="none"/>
              </w:rPr>
            </w:pPr>
          </w:p>
        </w:tc>
      </w:tr>
    </w:tbl>
    <w:p w14:paraId="7AA25A31">
      <w:pPr>
        <w:pStyle w:val="26"/>
        <w:rPr>
          <w:rFonts w:hint="eastAsia" w:ascii="宋体" w:hAnsi="宋体" w:eastAsia="宋体" w:cs="宋体"/>
          <w:b/>
          <w:color w:val="auto"/>
          <w:sz w:val="32"/>
          <w:highlight w:val="none"/>
        </w:rPr>
      </w:pPr>
    </w:p>
    <w:p w14:paraId="2FEE1286">
      <w:pPr>
        <w:rPr>
          <w:color w:val="auto"/>
          <w:highlight w:val="none"/>
        </w:rPr>
      </w:pPr>
    </w:p>
    <w:sectPr>
      <w:footerReference r:id="rId9" w:type="first"/>
      <w:headerReference r:id="rId7" w:type="default"/>
      <w:footerReference r:id="rId8" w:type="default"/>
      <w:pgSz w:w="11906" w:h="16838"/>
      <w:pgMar w:top="1134" w:right="1417" w:bottom="1134" w:left="1417" w:header="283" w:footer="680"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7F" w:usb3="00000000" w:csb0="203F01FF" w:csb1="DFFF0000"/>
  </w:font>
  <w:font w:name="Times">
    <w:altName w:val="Times New Roman"/>
    <w:panose1 w:val="00000500000000020000"/>
    <w:charset w:val="00"/>
    <w:family w:val="roman"/>
    <w:pitch w:val="default"/>
    <w:sig w:usb0="00000000" w:usb1="00000000" w:usb2="00000000" w:usb3="00000000" w:csb0="2000019F" w:csb1="4F01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C586">
    <w:pPr>
      <w:pStyle w:val="23"/>
      <w:tabs>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3145" cy="14097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033145" cy="140970"/>
                      </a:xfrm>
                      <a:prstGeom prst="rect">
                        <a:avLst/>
                      </a:prstGeom>
                      <a:noFill/>
                      <a:ln>
                        <a:noFill/>
                      </a:ln>
                    </wps:spPr>
                    <wps:txbx>
                      <w:txbxContent>
                        <w:p w14:paraId="621EE8BB">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square" lIns="0" tIns="0" rIns="0" bIns="0" upright="0"/>
                  </wps:wsp>
                </a:graphicData>
              </a:graphic>
            </wp:anchor>
          </w:drawing>
        </mc:Choice>
        <mc:Fallback>
          <w:pict>
            <v:shape id="文本框 10" o:spid="_x0000_s1026" o:spt="202" type="#_x0000_t202" style="position:absolute;left:0pt;margin-top:0pt;height:11.1pt;width:81.35pt;mso-position-horizontal:center;mso-position-horizontal-relative:margin;z-index:251662336;mso-width-relative:page;mso-height-relative:page;" filled="f" stroked="f" coordsize="21600,21600" o:gfxdata="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FRdM1AAAAAQBAAAPAAAAAAAAAAEAIAAAACIAAABkcnMvZG93bnJldi54&#10;bWxQSwECFAAUAAAACACHTuJASRLG6sUBAACBAwAADgAAAAAAAAABACAAAAAjAQAAZHJzL2Uyb0Rv&#10;Yy54bWxQSwUGAAAAAAYABgBZAQAAWgUAAAAA&#10;">
              <v:fill on="f" focussize="0,0"/>
              <v:stroke on="f"/>
              <v:imagedata o:title=""/>
              <o:lock v:ext="edit" aspectratio="f"/>
              <v:textbox inset="0mm,0mm,0mm,0mm">
                <w:txbxContent>
                  <w:p w14:paraId="621EE8BB">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6411">
    <w:pPr>
      <w:pStyle w:val="2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C816D">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GhXs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waFeyQEAAJoDAAAOAAAAAAAAAAEAIAAAAB4BAABkcnMvZTJvRG9j&#10;LnhtbFBLBQYAAAAABgAGAFkBAABZBQAAAAA=&#10;">
              <v:fill on="f" focussize="0,0"/>
              <v:stroke on="f"/>
              <v:imagedata o:title=""/>
              <o:lock v:ext="edit" aspectratio="f"/>
              <v:textbox inset="0mm,0mm,0mm,0mm" style="mso-fit-shape-to-text:t;">
                <w:txbxContent>
                  <w:p w14:paraId="090C816D">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A43D">
    <w:pPr>
      <w:snapToGrid w:val="0"/>
      <w:jc w:val="left"/>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0203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002030" cy="1828800"/>
                      </a:xfrm>
                      <a:prstGeom prst="rect">
                        <a:avLst/>
                      </a:prstGeom>
                      <a:noFill/>
                      <a:ln>
                        <a:noFill/>
                      </a:ln>
                    </wps:spPr>
                    <wps:txbx>
                      <w:txbxContent>
                        <w:p w14:paraId="02BE138C">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square" lIns="0" tIns="0" rIns="0" bIns="0" upright="0">
                      <a:spAutoFit/>
                    </wps:bodyPr>
                  </wps:wsp>
                </a:graphicData>
              </a:graphic>
            </wp:anchor>
          </w:drawing>
        </mc:Choice>
        <mc:Fallback>
          <w:pict>
            <v:shape id="文本框 14" o:spid="_x0000_s1026" o:spt="202" type="#_x0000_t202" style="position:absolute;left:0pt;margin-top:0pt;height:144pt;width:78.9pt;mso-position-horizontal:center;mso-position-horizontal-relative:margin;z-index:251664384;mso-width-relative:page;mso-height-relative:page;" filled="f" stroked="f" coordsize="21600,21600" o:gfxdata="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S7IkbTAAAABQEAAA8AAAAAAAAAAQAgAAAAIgAAAGRy&#10;cy9kb3ducmV2LnhtbFBLAQIUABQAAAAIAIdO4kD6bYpp0QEAAJwDAAAOAAAAAAAAAAEAIAAAACIB&#10;AABkcnMvZTJvRG9jLnhtbFBLBQYAAAAABgAGAFkBAABlBQAAAAA=&#10;">
              <v:fill on="f" focussize="0,0"/>
              <v:stroke on="f"/>
              <v:imagedata o:title=""/>
              <o:lock v:ext="edit" aspectratio="f"/>
              <v:textbox inset="0mm,0mm,0mm,0mm" style="mso-fit-shape-to-text:t;">
                <w:txbxContent>
                  <w:p w14:paraId="02BE138C">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819B">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A9D205">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4CA9D205">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9C5A">
    <w:pPr>
      <w:pStyle w:val="23"/>
      <w:rPr>
        <w:rFonts w:hint="eastAsia"/>
        <w:b/>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B17BC">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48</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14:paraId="641B17BC">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48</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53B0">
    <w:pPr>
      <w:pStyle w:val="23"/>
      <w:jc w:val="center"/>
      <w:rPr>
        <w:rFonts w:hint="eastAsia"/>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DDF44A">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47</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38DDF44A">
                    <w:pPr>
                      <w:pStyle w:val="23"/>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47</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6DE7">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9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6"/>
    <w:multiLevelType w:val="multilevel"/>
    <w:tmpl w:val="00000006"/>
    <w:lvl w:ilvl="0" w:tentative="0">
      <w:start w:val="1"/>
      <w:numFmt w:val="decimal"/>
      <w:lvlText w:val="%1"/>
      <w:lvlJc w:val="left"/>
      <w:pPr>
        <w:tabs>
          <w:tab w:val="left" w:pos="432"/>
        </w:tabs>
        <w:ind w:left="0" w:firstLine="0"/>
      </w:pPr>
      <w:rPr>
        <w:rFonts w:hint="default" w:ascii="Times New Roman" w:hAnsi="Times New Roman" w:cs="Times New Roman"/>
      </w:rPr>
    </w:lvl>
    <w:lvl w:ilvl="1" w:tentative="0">
      <w:start w:val="1"/>
      <w:numFmt w:val="decimal"/>
      <w:lvlText w:val="%1.%2"/>
      <w:lvlJc w:val="left"/>
      <w:pPr>
        <w:tabs>
          <w:tab w:val="left" w:pos="432"/>
        </w:tabs>
        <w:ind w:left="0" w:firstLine="0"/>
      </w:pPr>
      <w:rPr>
        <w:rFonts w:hint="default" w:ascii="Times New Roman" w:hAnsi="Times New Roman" w:cs="Times New Roman"/>
      </w:rPr>
    </w:lvl>
    <w:lvl w:ilvl="2" w:tentative="0">
      <w:start w:val="1"/>
      <w:numFmt w:val="decimal"/>
      <w:lvlText w:val="%1.%2.%3"/>
      <w:lvlJc w:val="left"/>
      <w:pPr>
        <w:tabs>
          <w:tab w:val="left" w:pos="432"/>
        </w:tabs>
        <w:ind w:left="0" w:firstLine="0"/>
      </w:pPr>
    </w:lvl>
    <w:lvl w:ilvl="3" w:tentative="0">
      <w:start w:val="1"/>
      <w:numFmt w:val="decimal"/>
      <w:pStyle w:val="5"/>
      <w:lvlText w:val="%1.%2.%3.%4"/>
      <w:lvlJc w:val="left"/>
      <w:pPr>
        <w:tabs>
          <w:tab w:val="left" w:pos="2275"/>
        </w:tabs>
        <w:ind w:left="1843" w:firstLine="0"/>
      </w:pPr>
      <w:rPr>
        <w:rFonts w:hint="default" w:ascii="宋体" w:hAnsi="宋体" w:eastAsia="宋体" w:cs="宋体"/>
      </w:rPr>
    </w:lvl>
    <w:lvl w:ilvl="4" w:tentative="0">
      <w:start w:val="1"/>
      <w:numFmt w:val="decimal"/>
      <w:lvlText w:val="%1.%2.%3.%4.%5"/>
      <w:lvlJc w:val="left"/>
      <w:pPr>
        <w:tabs>
          <w:tab w:val="left" w:pos="432"/>
        </w:tabs>
        <w:ind w:left="0" w:firstLine="0"/>
      </w:pPr>
      <w:rPr>
        <w:rFonts w:hint="eastAsia"/>
      </w:rPr>
    </w:lvl>
    <w:lvl w:ilvl="5" w:tentative="0">
      <w:start w:val="1"/>
      <w:numFmt w:val="decimal"/>
      <w:lvlText w:val="%1.%2.%3.%4.%5.%6"/>
      <w:lvlJc w:val="left"/>
      <w:pPr>
        <w:tabs>
          <w:tab w:val="left" w:pos="432"/>
        </w:tabs>
        <w:ind w:left="0" w:firstLine="0"/>
      </w:pPr>
      <w:rPr>
        <w:rFonts w:hint="eastAsia"/>
      </w:rPr>
    </w:lvl>
    <w:lvl w:ilvl="6" w:tentative="0">
      <w:start w:val="1"/>
      <w:numFmt w:val="decimal"/>
      <w:lvlText w:val="%1.%2.%3.%4.%5.%6.%7"/>
      <w:lvlJc w:val="left"/>
      <w:pPr>
        <w:tabs>
          <w:tab w:val="left" w:pos="432"/>
        </w:tabs>
        <w:ind w:left="0" w:firstLine="0"/>
      </w:pPr>
      <w:rPr>
        <w:rFonts w:hint="eastAsia"/>
      </w:rPr>
    </w:lvl>
    <w:lvl w:ilvl="7" w:tentative="0">
      <w:start w:val="1"/>
      <w:numFmt w:val="decimal"/>
      <w:lvlText w:val="%1.%2.%3.%4.%5.%6.%7.%8"/>
      <w:lvlJc w:val="left"/>
      <w:pPr>
        <w:tabs>
          <w:tab w:val="left" w:pos="432"/>
        </w:tabs>
        <w:ind w:left="0" w:firstLine="0"/>
      </w:pPr>
      <w:rPr>
        <w:rFonts w:hint="eastAsia"/>
      </w:rPr>
    </w:lvl>
    <w:lvl w:ilvl="8" w:tentative="0">
      <w:start w:val="1"/>
      <w:numFmt w:val="decimal"/>
      <w:lvlText w:val="%1.%2.%3.%4.%5.%6.%7.%8.%9"/>
      <w:lvlJc w:val="left"/>
      <w:pPr>
        <w:tabs>
          <w:tab w:val="left" w:pos="432"/>
        </w:tabs>
        <w:ind w:left="0" w:firstLine="0"/>
      </w:pPr>
      <w:rPr>
        <w:rFonts w:hint="eastAsia"/>
      </w:rPr>
    </w:lvl>
  </w:abstractNum>
  <w:abstractNum w:abstractNumId="2">
    <w:nsid w:val="420C153B"/>
    <w:multiLevelType w:val="multilevel"/>
    <w:tmpl w:val="420C153B"/>
    <w:lvl w:ilvl="0" w:tentative="0">
      <w:start w:val="1"/>
      <w:numFmt w:val="decimal"/>
      <w:pStyle w:val="9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zljNzg5MzU4MTdiOTBiNTU1YzM2ZDk1MzFhYWYifQ=="/>
  </w:docVars>
  <w:rsids>
    <w:rsidRoot w:val="00380639"/>
    <w:rsid w:val="000008BB"/>
    <w:rsid w:val="00001D30"/>
    <w:rsid w:val="000058D4"/>
    <w:rsid w:val="00006A49"/>
    <w:rsid w:val="00020B59"/>
    <w:rsid w:val="00021065"/>
    <w:rsid w:val="000215CD"/>
    <w:rsid w:val="00024D5D"/>
    <w:rsid w:val="000273CC"/>
    <w:rsid w:val="00031292"/>
    <w:rsid w:val="00034C66"/>
    <w:rsid w:val="00040320"/>
    <w:rsid w:val="000441A6"/>
    <w:rsid w:val="00046B8D"/>
    <w:rsid w:val="000504F3"/>
    <w:rsid w:val="00050866"/>
    <w:rsid w:val="00052659"/>
    <w:rsid w:val="00052A74"/>
    <w:rsid w:val="000543C0"/>
    <w:rsid w:val="00060CC6"/>
    <w:rsid w:val="00061BC4"/>
    <w:rsid w:val="00064EDF"/>
    <w:rsid w:val="00065AF1"/>
    <w:rsid w:val="000727DC"/>
    <w:rsid w:val="000748BD"/>
    <w:rsid w:val="000762FD"/>
    <w:rsid w:val="00080B00"/>
    <w:rsid w:val="0008181C"/>
    <w:rsid w:val="000840EB"/>
    <w:rsid w:val="000844B8"/>
    <w:rsid w:val="000857AD"/>
    <w:rsid w:val="00087C07"/>
    <w:rsid w:val="0009299F"/>
    <w:rsid w:val="000A328B"/>
    <w:rsid w:val="000A76D4"/>
    <w:rsid w:val="000A7B52"/>
    <w:rsid w:val="000B0868"/>
    <w:rsid w:val="000B0E57"/>
    <w:rsid w:val="000B4281"/>
    <w:rsid w:val="000B6281"/>
    <w:rsid w:val="000C07B6"/>
    <w:rsid w:val="000C10F9"/>
    <w:rsid w:val="000C24D8"/>
    <w:rsid w:val="000C31D2"/>
    <w:rsid w:val="000C5EDE"/>
    <w:rsid w:val="000C5FB1"/>
    <w:rsid w:val="000D0A72"/>
    <w:rsid w:val="000D18B5"/>
    <w:rsid w:val="000D5C19"/>
    <w:rsid w:val="000E1E7D"/>
    <w:rsid w:val="000E3FFF"/>
    <w:rsid w:val="000E4114"/>
    <w:rsid w:val="000E4573"/>
    <w:rsid w:val="000E47ED"/>
    <w:rsid w:val="000E5402"/>
    <w:rsid w:val="000E7B1F"/>
    <w:rsid w:val="000F7736"/>
    <w:rsid w:val="00102DDF"/>
    <w:rsid w:val="001041A8"/>
    <w:rsid w:val="001042F8"/>
    <w:rsid w:val="0010529D"/>
    <w:rsid w:val="001063AD"/>
    <w:rsid w:val="00110489"/>
    <w:rsid w:val="0011157D"/>
    <w:rsid w:val="001120F0"/>
    <w:rsid w:val="00113D48"/>
    <w:rsid w:val="00114FAC"/>
    <w:rsid w:val="00122A01"/>
    <w:rsid w:val="00123832"/>
    <w:rsid w:val="001256A1"/>
    <w:rsid w:val="00125CD7"/>
    <w:rsid w:val="00126672"/>
    <w:rsid w:val="001306AB"/>
    <w:rsid w:val="001371AA"/>
    <w:rsid w:val="00144C30"/>
    <w:rsid w:val="0015004D"/>
    <w:rsid w:val="001537A8"/>
    <w:rsid w:val="00154011"/>
    <w:rsid w:val="00157014"/>
    <w:rsid w:val="001570FF"/>
    <w:rsid w:val="00162876"/>
    <w:rsid w:val="0017060C"/>
    <w:rsid w:val="001720A2"/>
    <w:rsid w:val="00176C18"/>
    <w:rsid w:val="0017726D"/>
    <w:rsid w:val="0017751F"/>
    <w:rsid w:val="00183B1F"/>
    <w:rsid w:val="001904B5"/>
    <w:rsid w:val="00192DE1"/>
    <w:rsid w:val="00196BFB"/>
    <w:rsid w:val="0019738A"/>
    <w:rsid w:val="001A0B01"/>
    <w:rsid w:val="001A29C6"/>
    <w:rsid w:val="001A355D"/>
    <w:rsid w:val="001A41E2"/>
    <w:rsid w:val="001B55CF"/>
    <w:rsid w:val="001B5B64"/>
    <w:rsid w:val="001C44E4"/>
    <w:rsid w:val="001C66E0"/>
    <w:rsid w:val="001E1F09"/>
    <w:rsid w:val="001E366B"/>
    <w:rsid w:val="001E6C86"/>
    <w:rsid w:val="001F44AB"/>
    <w:rsid w:val="001F5DC9"/>
    <w:rsid w:val="001F6EE1"/>
    <w:rsid w:val="002016CD"/>
    <w:rsid w:val="00201DA1"/>
    <w:rsid w:val="00205709"/>
    <w:rsid w:val="00210190"/>
    <w:rsid w:val="0021664D"/>
    <w:rsid w:val="00217009"/>
    <w:rsid w:val="0022017C"/>
    <w:rsid w:val="002204B8"/>
    <w:rsid w:val="002213FF"/>
    <w:rsid w:val="00222CE9"/>
    <w:rsid w:val="00231EDF"/>
    <w:rsid w:val="002333A4"/>
    <w:rsid w:val="00240B18"/>
    <w:rsid w:val="002410F1"/>
    <w:rsid w:val="00241F8C"/>
    <w:rsid w:val="00243554"/>
    <w:rsid w:val="00243B91"/>
    <w:rsid w:val="00244747"/>
    <w:rsid w:val="00245594"/>
    <w:rsid w:val="00246805"/>
    <w:rsid w:val="002535F4"/>
    <w:rsid w:val="002542AE"/>
    <w:rsid w:val="00262BBD"/>
    <w:rsid w:val="002651DB"/>
    <w:rsid w:val="002668F5"/>
    <w:rsid w:val="002678CD"/>
    <w:rsid w:val="00271CE5"/>
    <w:rsid w:val="00276CD2"/>
    <w:rsid w:val="002827C8"/>
    <w:rsid w:val="00283776"/>
    <w:rsid w:val="00285965"/>
    <w:rsid w:val="00286F6E"/>
    <w:rsid w:val="00291AD7"/>
    <w:rsid w:val="002928AD"/>
    <w:rsid w:val="002932D7"/>
    <w:rsid w:val="00294EF4"/>
    <w:rsid w:val="00295B1D"/>
    <w:rsid w:val="00296707"/>
    <w:rsid w:val="002A2C7F"/>
    <w:rsid w:val="002A497F"/>
    <w:rsid w:val="002B2005"/>
    <w:rsid w:val="002B66C2"/>
    <w:rsid w:val="002C547A"/>
    <w:rsid w:val="002C5E0C"/>
    <w:rsid w:val="002C7557"/>
    <w:rsid w:val="002D51D9"/>
    <w:rsid w:val="002E04AD"/>
    <w:rsid w:val="002E4BDE"/>
    <w:rsid w:val="002E5531"/>
    <w:rsid w:val="002E5754"/>
    <w:rsid w:val="002E628F"/>
    <w:rsid w:val="002E6C03"/>
    <w:rsid w:val="002E7221"/>
    <w:rsid w:val="002F2B45"/>
    <w:rsid w:val="002F65A6"/>
    <w:rsid w:val="0030166B"/>
    <w:rsid w:val="00303F39"/>
    <w:rsid w:val="003064BF"/>
    <w:rsid w:val="003068E1"/>
    <w:rsid w:val="00310E8D"/>
    <w:rsid w:val="0031163F"/>
    <w:rsid w:val="00312819"/>
    <w:rsid w:val="00313AC9"/>
    <w:rsid w:val="00315818"/>
    <w:rsid w:val="00316020"/>
    <w:rsid w:val="00316A8D"/>
    <w:rsid w:val="00320629"/>
    <w:rsid w:val="00321B2D"/>
    <w:rsid w:val="00324C05"/>
    <w:rsid w:val="00327CB1"/>
    <w:rsid w:val="00335F54"/>
    <w:rsid w:val="00342D8D"/>
    <w:rsid w:val="00345F70"/>
    <w:rsid w:val="00346AB2"/>
    <w:rsid w:val="00347277"/>
    <w:rsid w:val="003476A4"/>
    <w:rsid w:val="003479F2"/>
    <w:rsid w:val="00353D9B"/>
    <w:rsid w:val="00354BC8"/>
    <w:rsid w:val="00354CC8"/>
    <w:rsid w:val="003557D1"/>
    <w:rsid w:val="00356F1A"/>
    <w:rsid w:val="003618C5"/>
    <w:rsid w:val="00366B7E"/>
    <w:rsid w:val="00366B96"/>
    <w:rsid w:val="00366EBB"/>
    <w:rsid w:val="003704D4"/>
    <w:rsid w:val="003710DC"/>
    <w:rsid w:val="00380639"/>
    <w:rsid w:val="003918ED"/>
    <w:rsid w:val="00392B7B"/>
    <w:rsid w:val="003964BF"/>
    <w:rsid w:val="003968B2"/>
    <w:rsid w:val="003A0A90"/>
    <w:rsid w:val="003A3645"/>
    <w:rsid w:val="003B0DC2"/>
    <w:rsid w:val="003C04B7"/>
    <w:rsid w:val="003C1263"/>
    <w:rsid w:val="003C4022"/>
    <w:rsid w:val="003C77B0"/>
    <w:rsid w:val="003D2EBD"/>
    <w:rsid w:val="003D444C"/>
    <w:rsid w:val="003D54B6"/>
    <w:rsid w:val="003E3682"/>
    <w:rsid w:val="003E648B"/>
    <w:rsid w:val="003E71C9"/>
    <w:rsid w:val="003E77A8"/>
    <w:rsid w:val="003F0B87"/>
    <w:rsid w:val="003F0DED"/>
    <w:rsid w:val="003F473B"/>
    <w:rsid w:val="003F5A48"/>
    <w:rsid w:val="003F5F2A"/>
    <w:rsid w:val="0040447F"/>
    <w:rsid w:val="0040604B"/>
    <w:rsid w:val="00411B5F"/>
    <w:rsid w:val="004124C5"/>
    <w:rsid w:val="0041322A"/>
    <w:rsid w:val="00413C77"/>
    <w:rsid w:val="00415674"/>
    <w:rsid w:val="0041772E"/>
    <w:rsid w:val="004177F6"/>
    <w:rsid w:val="00417EF4"/>
    <w:rsid w:val="00423182"/>
    <w:rsid w:val="00423264"/>
    <w:rsid w:val="00423C6D"/>
    <w:rsid w:val="00426684"/>
    <w:rsid w:val="00426F4F"/>
    <w:rsid w:val="00440DB6"/>
    <w:rsid w:val="00441424"/>
    <w:rsid w:val="004468EA"/>
    <w:rsid w:val="004606FA"/>
    <w:rsid w:val="004661D0"/>
    <w:rsid w:val="00470080"/>
    <w:rsid w:val="00471E87"/>
    <w:rsid w:val="004722D4"/>
    <w:rsid w:val="00477DE0"/>
    <w:rsid w:val="0048027D"/>
    <w:rsid w:val="00481283"/>
    <w:rsid w:val="0048354F"/>
    <w:rsid w:val="00484954"/>
    <w:rsid w:val="004A05C9"/>
    <w:rsid w:val="004A5CEE"/>
    <w:rsid w:val="004A65CA"/>
    <w:rsid w:val="004B0D73"/>
    <w:rsid w:val="004B1ED7"/>
    <w:rsid w:val="004B1F21"/>
    <w:rsid w:val="004B7898"/>
    <w:rsid w:val="004C1C26"/>
    <w:rsid w:val="004C1DB1"/>
    <w:rsid w:val="004C7F44"/>
    <w:rsid w:val="004D6899"/>
    <w:rsid w:val="004E4B20"/>
    <w:rsid w:val="004E4B8F"/>
    <w:rsid w:val="004E50CC"/>
    <w:rsid w:val="004E5160"/>
    <w:rsid w:val="004E5A8C"/>
    <w:rsid w:val="004E79E4"/>
    <w:rsid w:val="004F01A1"/>
    <w:rsid w:val="004F3784"/>
    <w:rsid w:val="00500617"/>
    <w:rsid w:val="00510534"/>
    <w:rsid w:val="005135AD"/>
    <w:rsid w:val="00525CF6"/>
    <w:rsid w:val="005323C7"/>
    <w:rsid w:val="00536FA0"/>
    <w:rsid w:val="00542C04"/>
    <w:rsid w:val="00543542"/>
    <w:rsid w:val="00551202"/>
    <w:rsid w:val="00555EA0"/>
    <w:rsid w:val="005567F6"/>
    <w:rsid w:val="00560CCD"/>
    <w:rsid w:val="00561417"/>
    <w:rsid w:val="0056150C"/>
    <w:rsid w:val="005636B7"/>
    <w:rsid w:val="005671EB"/>
    <w:rsid w:val="00572BC4"/>
    <w:rsid w:val="0057574A"/>
    <w:rsid w:val="00581DDA"/>
    <w:rsid w:val="00582871"/>
    <w:rsid w:val="00592EA1"/>
    <w:rsid w:val="0059463A"/>
    <w:rsid w:val="00596244"/>
    <w:rsid w:val="005A2A20"/>
    <w:rsid w:val="005A4347"/>
    <w:rsid w:val="005A7208"/>
    <w:rsid w:val="005B5B8C"/>
    <w:rsid w:val="005C1CF5"/>
    <w:rsid w:val="005C6279"/>
    <w:rsid w:val="005C6ADC"/>
    <w:rsid w:val="005C6D4A"/>
    <w:rsid w:val="005D2C1F"/>
    <w:rsid w:val="005D7746"/>
    <w:rsid w:val="005E4BBF"/>
    <w:rsid w:val="005E5C25"/>
    <w:rsid w:val="005F076E"/>
    <w:rsid w:val="005F21E4"/>
    <w:rsid w:val="005F77DE"/>
    <w:rsid w:val="00606614"/>
    <w:rsid w:val="00611091"/>
    <w:rsid w:val="00612345"/>
    <w:rsid w:val="006127E2"/>
    <w:rsid w:val="006140F3"/>
    <w:rsid w:val="00614E15"/>
    <w:rsid w:val="00615849"/>
    <w:rsid w:val="0062070D"/>
    <w:rsid w:val="00621C19"/>
    <w:rsid w:val="006301F6"/>
    <w:rsid w:val="006341F4"/>
    <w:rsid w:val="006347E3"/>
    <w:rsid w:val="0064143E"/>
    <w:rsid w:val="00643272"/>
    <w:rsid w:val="00651347"/>
    <w:rsid w:val="006517D1"/>
    <w:rsid w:val="006518F4"/>
    <w:rsid w:val="00654100"/>
    <w:rsid w:val="00660FA3"/>
    <w:rsid w:val="0066534D"/>
    <w:rsid w:val="006665B6"/>
    <w:rsid w:val="00670E74"/>
    <w:rsid w:val="00671C80"/>
    <w:rsid w:val="0067265F"/>
    <w:rsid w:val="00675481"/>
    <w:rsid w:val="00682A41"/>
    <w:rsid w:val="00682BE4"/>
    <w:rsid w:val="006873D4"/>
    <w:rsid w:val="00691BB2"/>
    <w:rsid w:val="00697D9C"/>
    <w:rsid w:val="006A2835"/>
    <w:rsid w:val="006A733B"/>
    <w:rsid w:val="006B74AC"/>
    <w:rsid w:val="006C0066"/>
    <w:rsid w:val="006C35E5"/>
    <w:rsid w:val="006C5FFB"/>
    <w:rsid w:val="006D010E"/>
    <w:rsid w:val="006D026C"/>
    <w:rsid w:val="006D68BF"/>
    <w:rsid w:val="006E0363"/>
    <w:rsid w:val="006E38E5"/>
    <w:rsid w:val="006E3F73"/>
    <w:rsid w:val="006E7F42"/>
    <w:rsid w:val="006F01B7"/>
    <w:rsid w:val="006F63A2"/>
    <w:rsid w:val="00704308"/>
    <w:rsid w:val="00704791"/>
    <w:rsid w:val="007110C2"/>
    <w:rsid w:val="00712355"/>
    <w:rsid w:val="00712B48"/>
    <w:rsid w:val="007200AE"/>
    <w:rsid w:val="00720C4E"/>
    <w:rsid w:val="00727BF5"/>
    <w:rsid w:val="00727E10"/>
    <w:rsid w:val="007309B8"/>
    <w:rsid w:val="00730FFB"/>
    <w:rsid w:val="0073335F"/>
    <w:rsid w:val="0073352E"/>
    <w:rsid w:val="00735FAA"/>
    <w:rsid w:val="00736459"/>
    <w:rsid w:val="00742A1F"/>
    <w:rsid w:val="00743BB3"/>
    <w:rsid w:val="007449A7"/>
    <w:rsid w:val="007523BA"/>
    <w:rsid w:val="007526A9"/>
    <w:rsid w:val="007531A8"/>
    <w:rsid w:val="00754BE8"/>
    <w:rsid w:val="007557BE"/>
    <w:rsid w:val="007557F3"/>
    <w:rsid w:val="00755DD3"/>
    <w:rsid w:val="00757B9E"/>
    <w:rsid w:val="0076018B"/>
    <w:rsid w:val="007618B4"/>
    <w:rsid w:val="00770D62"/>
    <w:rsid w:val="007743BA"/>
    <w:rsid w:val="00774D8A"/>
    <w:rsid w:val="007756C4"/>
    <w:rsid w:val="007800D1"/>
    <w:rsid w:val="00781310"/>
    <w:rsid w:val="007813BD"/>
    <w:rsid w:val="00783251"/>
    <w:rsid w:val="00783DB2"/>
    <w:rsid w:val="00785DA6"/>
    <w:rsid w:val="00786B7D"/>
    <w:rsid w:val="00797BAC"/>
    <w:rsid w:val="007A1192"/>
    <w:rsid w:val="007A338F"/>
    <w:rsid w:val="007A4B2F"/>
    <w:rsid w:val="007A6F6D"/>
    <w:rsid w:val="007B14F5"/>
    <w:rsid w:val="007B4BDA"/>
    <w:rsid w:val="007B58BD"/>
    <w:rsid w:val="007C4329"/>
    <w:rsid w:val="007C6A69"/>
    <w:rsid w:val="007E0E5E"/>
    <w:rsid w:val="007E513E"/>
    <w:rsid w:val="007E62A2"/>
    <w:rsid w:val="007F114E"/>
    <w:rsid w:val="007F5931"/>
    <w:rsid w:val="008009F4"/>
    <w:rsid w:val="00801FC9"/>
    <w:rsid w:val="0080395C"/>
    <w:rsid w:val="0080516A"/>
    <w:rsid w:val="008105C3"/>
    <w:rsid w:val="0081268E"/>
    <w:rsid w:val="008129A2"/>
    <w:rsid w:val="00813D5E"/>
    <w:rsid w:val="008254C4"/>
    <w:rsid w:val="00833C65"/>
    <w:rsid w:val="00834F21"/>
    <w:rsid w:val="00837F58"/>
    <w:rsid w:val="00845A54"/>
    <w:rsid w:val="008462BC"/>
    <w:rsid w:val="0085107F"/>
    <w:rsid w:val="00851A44"/>
    <w:rsid w:val="00851E79"/>
    <w:rsid w:val="00853889"/>
    <w:rsid w:val="0085588A"/>
    <w:rsid w:val="00855C4D"/>
    <w:rsid w:val="00863763"/>
    <w:rsid w:val="0086412D"/>
    <w:rsid w:val="00881245"/>
    <w:rsid w:val="00883115"/>
    <w:rsid w:val="0088678F"/>
    <w:rsid w:val="00886A4A"/>
    <w:rsid w:val="00887333"/>
    <w:rsid w:val="0089189B"/>
    <w:rsid w:val="0089329A"/>
    <w:rsid w:val="00893BFC"/>
    <w:rsid w:val="00895913"/>
    <w:rsid w:val="008A287D"/>
    <w:rsid w:val="008A7C4C"/>
    <w:rsid w:val="008B1413"/>
    <w:rsid w:val="008B4243"/>
    <w:rsid w:val="008B5CFB"/>
    <w:rsid w:val="008C0C46"/>
    <w:rsid w:val="008C158B"/>
    <w:rsid w:val="008C7568"/>
    <w:rsid w:val="008D11B5"/>
    <w:rsid w:val="008D1987"/>
    <w:rsid w:val="008D313A"/>
    <w:rsid w:val="008E004D"/>
    <w:rsid w:val="008E1AB6"/>
    <w:rsid w:val="008E3D03"/>
    <w:rsid w:val="008E6B0B"/>
    <w:rsid w:val="008E7F96"/>
    <w:rsid w:val="008F2431"/>
    <w:rsid w:val="008F65B8"/>
    <w:rsid w:val="008F693A"/>
    <w:rsid w:val="008F7C08"/>
    <w:rsid w:val="0090086A"/>
    <w:rsid w:val="00902452"/>
    <w:rsid w:val="009032CE"/>
    <w:rsid w:val="009051E2"/>
    <w:rsid w:val="00910449"/>
    <w:rsid w:val="009126B7"/>
    <w:rsid w:val="00914B42"/>
    <w:rsid w:val="00916396"/>
    <w:rsid w:val="00920750"/>
    <w:rsid w:val="009244DA"/>
    <w:rsid w:val="00924A34"/>
    <w:rsid w:val="009252E4"/>
    <w:rsid w:val="0092562C"/>
    <w:rsid w:val="0093610F"/>
    <w:rsid w:val="00936D28"/>
    <w:rsid w:val="00937E2B"/>
    <w:rsid w:val="00943667"/>
    <w:rsid w:val="009450C7"/>
    <w:rsid w:val="009531B4"/>
    <w:rsid w:val="009556EA"/>
    <w:rsid w:val="0097070B"/>
    <w:rsid w:val="0097126D"/>
    <w:rsid w:val="00972837"/>
    <w:rsid w:val="00973A2B"/>
    <w:rsid w:val="00977502"/>
    <w:rsid w:val="00977A24"/>
    <w:rsid w:val="009808C0"/>
    <w:rsid w:val="00983F91"/>
    <w:rsid w:val="009857B8"/>
    <w:rsid w:val="009871AD"/>
    <w:rsid w:val="009912B9"/>
    <w:rsid w:val="009971C4"/>
    <w:rsid w:val="00997826"/>
    <w:rsid w:val="009A0CC8"/>
    <w:rsid w:val="009A31A4"/>
    <w:rsid w:val="009A58BB"/>
    <w:rsid w:val="009B11BC"/>
    <w:rsid w:val="009B6E93"/>
    <w:rsid w:val="009C75A1"/>
    <w:rsid w:val="009D1A60"/>
    <w:rsid w:val="009E1C5E"/>
    <w:rsid w:val="009E2CF6"/>
    <w:rsid w:val="009E342B"/>
    <w:rsid w:val="009E5347"/>
    <w:rsid w:val="009E74C0"/>
    <w:rsid w:val="009F2694"/>
    <w:rsid w:val="009F46A6"/>
    <w:rsid w:val="009F5656"/>
    <w:rsid w:val="00A00657"/>
    <w:rsid w:val="00A0249E"/>
    <w:rsid w:val="00A024DA"/>
    <w:rsid w:val="00A0312C"/>
    <w:rsid w:val="00A036E0"/>
    <w:rsid w:val="00A07494"/>
    <w:rsid w:val="00A107DF"/>
    <w:rsid w:val="00A12741"/>
    <w:rsid w:val="00A12927"/>
    <w:rsid w:val="00A13691"/>
    <w:rsid w:val="00A1476E"/>
    <w:rsid w:val="00A152F1"/>
    <w:rsid w:val="00A16FAE"/>
    <w:rsid w:val="00A17DD0"/>
    <w:rsid w:val="00A20B85"/>
    <w:rsid w:val="00A21D14"/>
    <w:rsid w:val="00A231DA"/>
    <w:rsid w:val="00A31170"/>
    <w:rsid w:val="00A31FBA"/>
    <w:rsid w:val="00A31FF4"/>
    <w:rsid w:val="00A33CDB"/>
    <w:rsid w:val="00A41121"/>
    <w:rsid w:val="00A42748"/>
    <w:rsid w:val="00A44C0D"/>
    <w:rsid w:val="00A45194"/>
    <w:rsid w:val="00A46A42"/>
    <w:rsid w:val="00A46FFD"/>
    <w:rsid w:val="00A50C7C"/>
    <w:rsid w:val="00A5120B"/>
    <w:rsid w:val="00A5140D"/>
    <w:rsid w:val="00A52186"/>
    <w:rsid w:val="00A53F13"/>
    <w:rsid w:val="00A5492F"/>
    <w:rsid w:val="00A554C7"/>
    <w:rsid w:val="00A564FA"/>
    <w:rsid w:val="00A60735"/>
    <w:rsid w:val="00A60F2B"/>
    <w:rsid w:val="00A6244D"/>
    <w:rsid w:val="00A629FD"/>
    <w:rsid w:val="00A63959"/>
    <w:rsid w:val="00A65FA9"/>
    <w:rsid w:val="00A66766"/>
    <w:rsid w:val="00A6779D"/>
    <w:rsid w:val="00A67D58"/>
    <w:rsid w:val="00A7230D"/>
    <w:rsid w:val="00A7540A"/>
    <w:rsid w:val="00A844AC"/>
    <w:rsid w:val="00A84753"/>
    <w:rsid w:val="00A900EA"/>
    <w:rsid w:val="00A93585"/>
    <w:rsid w:val="00A941A2"/>
    <w:rsid w:val="00A9475F"/>
    <w:rsid w:val="00A95FF5"/>
    <w:rsid w:val="00AA3CEC"/>
    <w:rsid w:val="00AA5C80"/>
    <w:rsid w:val="00AB14CB"/>
    <w:rsid w:val="00AB3F1B"/>
    <w:rsid w:val="00AB504C"/>
    <w:rsid w:val="00AB6EA9"/>
    <w:rsid w:val="00AC015B"/>
    <w:rsid w:val="00AC2181"/>
    <w:rsid w:val="00AC4FAA"/>
    <w:rsid w:val="00AC6651"/>
    <w:rsid w:val="00AD558A"/>
    <w:rsid w:val="00AE007D"/>
    <w:rsid w:val="00AE33FB"/>
    <w:rsid w:val="00AE56FE"/>
    <w:rsid w:val="00AE6531"/>
    <w:rsid w:val="00AE7855"/>
    <w:rsid w:val="00AE7EFC"/>
    <w:rsid w:val="00AF5027"/>
    <w:rsid w:val="00B06B9C"/>
    <w:rsid w:val="00B0717D"/>
    <w:rsid w:val="00B074D6"/>
    <w:rsid w:val="00B1040D"/>
    <w:rsid w:val="00B14FF8"/>
    <w:rsid w:val="00B1638E"/>
    <w:rsid w:val="00B20F68"/>
    <w:rsid w:val="00B210F9"/>
    <w:rsid w:val="00B235AB"/>
    <w:rsid w:val="00B2494E"/>
    <w:rsid w:val="00B3561F"/>
    <w:rsid w:val="00B35642"/>
    <w:rsid w:val="00B414CC"/>
    <w:rsid w:val="00B41F93"/>
    <w:rsid w:val="00B44396"/>
    <w:rsid w:val="00B51B83"/>
    <w:rsid w:val="00B53BEE"/>
    <w:rsid w:val="00B60803"/>
    <w:rsid w:val="00B62065"/>
    <w:rsid w:val="00B646AA"/>
    <w:rsid w:val="00B64A7E"/>
    <w:rsid w:val="00B65073"/>
    <w:rsid w:val="00B701B7"/>
    <w:rsid w:val="00B70AD3"/>
    <w:rsid w:val="00B7162B"/>
    <w:rsid w:val="00B71A6B"/>
    <w:rsid w:val="00B758F4"/>
    <w:rsid w:val="00B82A61"/>
    <w:rsid w:val="00B82D89"/>
    <w:rsid w:val="00B914C8"/>
    <w:rsid w:val="00B9287E"/>
    <w:rsid w:val="00B93F2F"/>
    <w:rsid w:val="00B95C4C"/>
    <w:rsid w:val="00B96102"/>
    <w:rsid w:val="00B9762A"/>
    <w:rsid w:val="00BA2818"/>
    <w:rsid w:val="00BA4BCD"/>
    <w:rsid w:val="00BA5ABE"/>
    <w:rsid w:val="00BB02A4"/>
    <w:rsid w:val="00BB2C19"/>
    <w:rsid w:val="00BB55DC"/>
    <w:rsid w:val="00BC0C36"/>
    <w:rsid w:val="00BC32C8"/>
    <w:rsid w:val="00BC6329"/>
    <w:rsid w:val="00BC757B"/>
    <w:rsid w:val="00BD0865"/>
    <w:rsid w:val="00BD1BA1"/>
    <w:rsid w:val="00BD2A9B"/>
    <w:rsid w:val="00BD3BE3"/>
    <w:rsid w:val="00BD5AFB"/>
    <w:rsid w:val="00BD6914"/>
    <w:rsid w:val="00BE0692"/>
    <w:rsid w:val="00BE5596"/>
    <w:rsid w:val="00BE7797"/>
    <w:rsid w:val="00BF0234"/>
    <w:rsid w:val="00BF0509"/>
    <w:rsid w:val="00BF2C28"/>
    <w:rsid w:val="00BF3763"/>
    <w:rsid w:val="00BF579E"/>
    <w:rsid w:val="00BF6328"/>
    <w:rsid w:val="00BF797D"/>
    <w:rsid w:val="00C01697"/>
    <w:rsid w:val="00C04CF9"/>
    <w:rsid w:val="00C11651"/>
    <w:rsid w:val="00C12D78"/>
    <w:rsid w:val="00C146FF"/>
    <w:rsid w:val="00C15DB3"/>
    <w:rsid w:val="00C166FE"/>
    <w:rsid w:val="00C21037"/>
    <w:rsid w:val="00C220CD"/>
    <w:rsid w:val="00C25508"/>
    <w:rsid w:val="00C27BE7"/>
    <w:rsid w:val="00C30327"/>
    <w:rsid w:val="00C34005"/>
    <w:rsid w:val="00C355C1"/>
    <w:rsid w:val="00C41604"/>
    <w:rsid w:val="00C41F25"/>
    <w:rsid w:val="00C44D1E"/>
    <w:rsid w:val="00C4502B"/>
    <w:rsid w:val="00C477A1"/>
    <w:rsid w:val="00C520AA"/>
    <w:rsid w:val="00C525FF"/>
    <w:rsid w:val="00C529E5"/>
    <w:rsid w:val="00C52DCB"/>
    <w:rsid w:val="00C53398"/>
    <w:rsid w:val="00C57851"/>
    <w:rsid w:val="00C57B23"/>
    <w:rsid w:val="00C61534"/>
    <w:rsid w:val="00C616D3"/>
    <w:rsid w:val="00C619B9"/>
    <w:rsid w:val="00C627DB"/>
    <w:rsid w:val="00C63DCB"/>
    <w:rsid w:val="00C70BD3"/>
    <w:rsid w:val="00C74249"/>
    <w:rsid w:val="00C83800"/>
    <w:rsid w:val="00C85AE3"/>
    <w:rsid w:val="00C86008"/>
    <w:rsid w:val="00C9086E"/>
    <w:rsid w:val="00C92B32"/>
    <w:rsid w:val="00C93930"/>
    <w:rsid w:val="00CA2484"/>
    <w:rsid w:val="00CA4D48"/>
    <w:rsid w:val="00CA52E2"/>
    <w:rsid w:val="00CB0664"/>
    <w:rsid w:val="00CB3751"/>
    <w:rsid w:val="00CB658B"/>
    <w:rsid w:val="00CC2E94"/>
    <w:rsid w:val="00CC6CAF"/>
    <w:rsid w:val="00CD0296"/>
    <w:rsid w:val="00CD0595"/>
    <w:rsid w:val="00CD3D55"/>
    <w:rsid w:val="00CE2683"/>
    <w:rsid w:val="00CE5132"/>
    <w:rsid w:val="00CE72AE"/>
    <w:rsid w:val="00CF0ADC"/>
    <w:rsid w:val="00CF195C"/>
    <w:rsid w:val="00CF40DD"/>
    <w:rsid w:val="00CF6685"/>
    <w:rsid w:val="00CF7405"/>
    <w:rsid w:val="00D0169C"/>
    <w:rsid w:val="00D17BBE"/>
    <w:rsid w:val="00D21C23"/>
    <w:rsid w:val="00D2632A"/>
    <w:rsid w:val="00D30341"/>
    <w:rsid w:val="00D31C90"/>
    <w:rsid w:val="00D328E8"/>
    <w:rsid w:val="00D32D1D"/>
    <w:rsid w:val="00D32ED5"/>
    <w:rsid w:val="00D34221"/>
    <w:rsid w:val="00D3617A"/>
    <w:rsid w:val="00D4199D"/>
    <w:rsid w:val="00D42548"/>
    <w:rsid w:val="00D42F77"/>
    <w:rsid w:val="00D43A94"/>
    <w:rsid w:val="00D53E3C"/>
    <w:rsid w:val="00D62F99"/>
    <w:rsid w:val="00D63A2F"/>
    <w:rsid w:val="00D65C00"/>
    <w:rsid w:val="00D662C2"/>
    <w:rsid w:val="00D72607"/>
    <w:rsid w:val="00D77D07"/>
    <w:rsid w:val="00D91648"/>
    <w:rsid w:val="00D949A4"/>
    <w:rsid w:val="00D949CB"/>
    <w:rsid w:val="00D95470"/>
    <w:rsid w:val="00DA7C79"/>
    <w:rsid w:val="00DB2A38"/>
    <w:rsid w:val="00DB322A"/>
    <w:rsid w:val="00DB5AF1"/>
    <w:rsid w:val="00DC39D1"/>
    <w:rsid w:val="00DC3D42"/>
    <w:rsid w:val="00DD0041"/>
    <w:rsid w:val="00DD22AC"/>
    <w:rsid w:val="00DD25AD"/>
    <w:rsid w:val="00DD2F22"/>
    <w:rsid w:val="00DD3D7D"/>
    <w:rsid w:val="00DD7F00"/>
    <w:rsid w:val="00DE2005"/>
    <w:rsid w:val="00DE2194"/>
    <w:rsid w:val="00DE42DB"/>
    <w:rsid w:val="00DE4A3D"/>
    <w:rsid w:val="00DF3269"/>
    <w:rsid w:val="00DF78AC"/>
    <w:rsid w:val="00E01C65"/>
    <w:rsid w:val="00E04598"/>
    <w:rsid w:val="00E15234"/>
    <w:rsid w:val="00E15B42"/>
    <w:rsid w:val="00E16D14"/>
    <w:rsid w:val="00E214BD"/>
    <w:rsid w:val="00E25FDF"/>
    <w:rsid w:val="00E2622E"/>
    <w:rsid w:val="00E40FC9"/>
    <w:rsid w:val="00E4198C"/>
    <w:rsid w:val="00E4321F"/>
    <w:rsid w:val="00E434FE"/>
    <w:rsid w:val="00E436E4"/>
    <w:rsid w:val="00E45B90"/>
    <w:rsid w:val="00E46CF2"/>
    <w:rsid w:val="00E46E89"/>
    <w:rsid w:val="00E47827"/>
    <w:rsid w:val="00E5179C"/>
    <w:rsid w:val="00E56A2D"/>
    <w:rsid w:val="00E5733A"/>
    <w:rsid w:val="00E62B84"/>
    <w:rsid w:val="00E6379E"/>
    <w:rsid w:val="00E66A03"/>
    <w:rsid w:val="00E71251"/>
    <w:rsid w:val="00E723D4"/>
    <w:rsid w:val="00E742D6"/>
    <w:rsid w:val="00E75C57"/>
    <w:rsid w:val="00E81858"/>
    <w:rsid w:val="00E8256A"/>
    <w:rsid w:val="00E8706F"/>
    <w:rsid w:val="00E87CE4"/>
    <w:rsid w:val="00E90653"/>
    <w:rsid w:val="00EA2C06"/>
    <w:rsid w:val="00EB0E79"/>
    <w:rsid w:val="00EB1E92"/>
    <w:rsid w:val="00EB3AF1"/>
    <w:rsid w:val="00EB43E8"/>
    <w:rsid w:val="00EC1A9D"/>
    <w:rsid w:val="00EC2477"/>
    <w:rsid w:val="00EC66ED"/>
    <w:rsid w:val="00EC6D13"/>
    <w:rsid w:val="00EC7792"/>
    <w:rsid w:val="00EC7E62"/>
    <w:rsid w:val="00ED051E"/>
    <w:rsid w:val="00ED4763"/>
    <w:rsid w:val="00ED6388"/>
    <w:rsid w:val="00EE31E5"/>
    <w:rsid w:val="00EE5A79"/>
    <w:rsid w:val="00EE7D85"/>
    <w:rsid w:val="00EF081F"/>
    <w:rsid w:val="00EF4853"/>
    <w:rsid w:val="00EF6748"/>
    <w:rsid w:val="00F00694"/>
    <w:rsid w:val="00F01BE8"/>
    <w:rsid w:val="00F02E0E"/>
    <w:rsid w:val="00F05477"/>
    <w:rsid w:val="00F05A00"/>
    <w:rsid w:val="00F077BA"/>
    <w:rsid w:val="00F21AA8"/>
    <w:rsid w:val="00F259FC"/>
    <w:rsid w:val="00F3008F"/>
    <w:rsid w:val="00F309CD"/>
    <w:rsid w:val="00F30C2A"/>
    <w:rsid w:val="00F32FCF"/>
    <w:rsid w:val="00F35BBA"/>
    <w:rsid w:val="00F35C9C"/>
    <w:rsid w:val="00F43DBE"/>
    <w:rsid w:val="00F44F6F"/>
    <w:rsid w:val="00F477F9"/>
    <w:rsid w:val="00F54320"/>
    <w:rsid w:val="00F54E6F"/>
    <w:rsid w:val="00F60C5E"/>
    <w:rsid w:val="00F63CF5"/>
    <w:rsid w:val="00F6770B"/>
    <w:rsid w:val="00F7279A"/>
    <w:rsid w:val="00F746CF"/>
    <w:rsid w:val="00F765B4"/>
    <w:rsid w:val="00F85622"/>
    <w:rsid w:val="00F858A6"/>
    <w:rsid w:val="00F85DB0"/>
    <w:rsid w:val="00F907CF"/>
    <w:rsid w:val="00F96076"/>
    <w:rsid w:val="00FA1B45"/>
    <w:rsid w:val="00FA1CBA"/>
    <w:rsid w:val="00FA227D"/>
    <w:rsid w:val="00FA3CBF"/>
    <w:rsid w:val="00FA60A2"/>
    <w:rsid w:val="00FA7283"/>
    <w:rsid w:val="00FB0305"/>
    <w:rsid w:val="00FB5B86"/>
    <w:rsid w:val="00FB789A"/>
    <w:rsid w:val="00FC0761"/>
    <w:rsid w:val="00FC2C83"/>
    <w:rsid w:val="00FC3E1B"/>
    <w:rsid w:val="00FC50B3"/>
    <w:rsid w:val="00FC5FF9"/>
    <w:rsid w:val="00FD345C"/>
    <w:rsid w:val="00FD5269"/>
    <w:rsid w:val="00FD52B6"/>
    <w:rsid w:val="00FE3D68"/>
    <w:rsid w:val="00FE57E7"/>
    <w:rsid w:val="00FF0475"/>
    <w:rsid w:val="01040226"/>
    <w:rsid w:val="0109067F"/>
    <w:rsid w:val="010A29DC"/>
    <w:rsid w:val="010D6029"/>
    <w:rsid w:val="010F3362"/>
    <w:rsid w:val="01113D6B"/>
    <w:rsid w:val="01155F13"/>
    <w:rsid w:val="01172A03"/>
    <w:rsid w:val="011C626C"/>
    <w:rsid w:val="012421DB"/>
    <w:rsid w:val="012A2737"/>
    <w:rsid w:val="012A6BDB"/>
    <w:rsid w:val="012D21DC"/>
    <w:rsid w:val="01347A59"/>
    <w:rsid w:val="013558C4"/>
    <w:rsid w:val="0136732D"/>
    <w:rsid w:val="013712F7"/>
    <w:rsid w:val="013B4944"/>
    <w:rsid w:val="013C3F0C"/>
    <w:rsid w:val="0140650E"/>
    <w:rsid w:val="01453A14"/>
    <w:rsid w:val="014557C2"/>
    <w:rsid w:val="01464A06"/>
    <w:rsid w:val="01473BFB"/>
    <w:rsid w:val="014B08FF"/>
    <w:rsid w:val="014C4DA3"/>
    <w:rsid w:val="014E65EE"/>
    <w:rsid w:val="01536131"/>
    <w:rsid w:val="01545A05"/>
    <w:rsid w:val="0159126E"/>
    <w:rsid w:val="015974C0"/>
    <w:rsid w:val="016025FC"/>
    <w:rsid w:val="01621835"/>
    <w:rsid w:val="01633E9B"/>
    <w:rsid w:val="01635D69"/>
    <w:rsid w:val="01671BDD"/>
    <w:rsid w:val="016814B1"/>
    <w:rsid w:val="017460A8"/>
    <w:rsid w:val="0176597C"/>
    <w:rsid w:val="017F5A80"/>
    <w:rsid w:val="017F69D2"/>
    <w:rsid w:val="01804A4C"/>
    <w:rsid w:val="018267F2"/>
    <w:rsid w:val="01827E8D"/>
    <w:rsid w:val="01886471"/>
    <w:rsid w:val="018A58CB"/>
    <w:rsid w:val="018E0129"/>
    <w:rsid w:val="018F4C90"/>
    <w:rsid w:val="018F6A3E"/>
    <w:rsid w:val="01922341"/>
    <w:rsid w:val="01946F53"/>
    <w:rsid w:val="019B26CA"/>
    <w:rsid w:val="019D09D5"/>
    <w:rsid w:val="01A22C15"/>
    <w:rsid w:val="01A25B8F"/>
    <w:rsid w:val="01A35C85"/>
    <w:rsid w:val="01A71FD9"/>
    <w:rsid w:val="01AE3368"/>
    <w:rsid w:val="01AF0E8E"/>
    <w:rsid w:val="01B110AA"/>
    <w:rsid w:val="01B42948"/>
    <w:rsid w:val="01B464A4"/>
    <w:rsid w:val="01B46528"/>
    <w:rsid w:val="01BC0B79"/>
    <w:rsid w:val="01C26E13"/>
    <w:rsid w:val="01C35849"/>
    <w:rsid w:val="01C761D7"/>
    <w:rsid w:val="01C963F3"/>
    <w:rsid w:val="01CB7C65"/>
    <w:rsid w:val="01CD041E"/>
    <w:rsid w:val="01D06400"/>
    <w:rsid w:val="01D66A1A"/>
    <w:rsid w:val="01DC07BC"/>
    <w:rsid w:val="01EA38F8"/>
    <w:rsid w:val="01EB45BC"/>
    <w:rsid w:val="01EC5C3E"/>
    <w:rsid w:val="01F05B28"/>
    <w:rsid w:val="01F123AA"/>
    <w:rsid w:val="01F82835"/>
    <w:rsid w:val="01FD42EF"/>
    <w:rsid w:val="01FF3BC3"/>
    <w:rsid w:val="02030277"/>
    <w:rsid w:val="02053FAD"/>
    <w:rsid w:val="02077F54"/>
    <w:rsid w:val="02096E01"/>
    <w:rsid w:val="0213141D"/>
    <w:rsid w:val="0214269A"/>
    <w:rsid w:val="02184C85"/>
    <w:rsid w:val="0224362A"/>
    <w:rsid w:val="02245C60"/>
    <w:rsid w:val="02251150"/>
    <w:rsid w:val="022E26FA"/>
    <w:rsid w:val="023415DD"/>
    <w:rsid w:val="02353C3E"/>
    <w:rsid w:val="023B2226"/>
    <w:rsid w:val="023C172F"/>
    <w:rsid w:val="023C37B3"/>
    <w:rsid w:val="02405F8A"/>
    <w:rsid w:val="0249021C"/>
    <w:rsid w:val="02531800"/>
    <w:rsid w:val="02581700"/>
    <w:rsid w:val="025D6B3C"/>
    <w:rsid w:val="026914E5"/>
    <w:rsid w:val="02693733"/>
    <w:rsid w:val="026954E1"/>
    <w:rsid w:val="02783976"/>
    <w:rsid w:val="02784DF1"/>
    <w:rsid w:val="02785724"/>
    <w:rsid w:val="027C5214"/>
    <w:rsid w:val="027D2733"/>
    <w:rsid w:val="0280654D"/>
    <w:rsid w:val="02855DA7"/>
    <w:rsid w:val="028A1F79"/>
    <w:rsid w:val="028D3650"/>
    <w:rsid w:val="028F09E2"/>
    <w:rsid w:val="028F31A8"/>
    <w:rsid w:val="029167E5"/>
    <w:rsid w:val="02926C46"/>
    <w:rsid w:val="02971D25"/>
    <w:rsid w:val="02973F12"/>
    <w:rsid w:val="029C1412"/>
    <w:rsid w:val="029F7154"/>
    <w:rsid w:val="02A12ECC"/>
    <w:rsid w:val="02A14C7A"/>
    <w:rsid w:val="02AF383B"/>
    <w:rsid w:val="02B109CD"/>
    <w:rsid w:val="02B80216"/>
    <w:rsid w:val="02C62933"/>
    <w:rsid w:val="02C77096"/>
    <w:rsid w:val="02CE7F46"/>
    <w:rsid w:val="02D059DB"/>
    <w:rsid w:val="02D50DC8"/>
    <w:rsid w:val="02DC76FD"/>
    <w:rsid w:val="02DE4F7A"/>
    <w:rsid w:val="02E158BD"/>
    <w:rsid w:val="02E903CF"/>
    <w:rsid w:val="02E90CFA"/>
    <w:rsid w:val="02EB239A"/>
    <w:rsid w:val="02ED698C"/>
    <w:rsid w:val="02EF1E8A"/>
    <w:rsid w:val="02F16F2F"/>
    <w:rsid w:val="02F962A4"/>
    <w:rsid w:val="02FA19BA"/>
    <w:rsid w:val="02FC6355"/>
    <w:rsid w:val="02FF2BD4"/>
    <w:rsid w:val="030516AD"/>
    <w:rsid w:val="03082DCE"/>
    <w:rsid w:val="030F3F6B"/>
    <w:rsid w:val="031732D5"/>
    <w:rsid w:val="031C549A"/>
    <w:rsid w:val="031F181B"/>
    <w:rsid w:val="03202280"/>
    <w:rsid w:val="03207384"/>
    <w:rsid w:val="03256255"/>
    <w:rsid w:val="032803F5"/>
    <w:rsid w:val="032D650E"/>
    <w:rsid w:val="032F04D8"/>
    <w:rsid w:val="032F2286"/>
    <w:rsid w:val="032F79CA"/>
    <w:rsid w:val="03304250"/>
    <w:rsid w:val="03351867"/>
    <w:rsid w:val="033755DF"/>
    <w:rsid w:val="033864A4"/>
    <w:rsid w:val="033B50CF"/>
    <w:rsid w:val="033B6E7D"/>
    <w:rsid w:val="033F6241"/>
    <w:rsid w:val="03443858"/>
    <w:rsid w:val="03455F4E"/>
    <w:rsid w:val="03470516"/>
    <w:rsid w:val="0347576E"/>
    <w:rsid w:val="03493AAE"/>
    <w:rsid w:val="034A5F18"/>
    <w:rsid w:val="035166A0"/>
    <w:rsid w:val="03591D27"/>
    <w:rsid w:val="03630182"/>
    <w:rsid w:val="03634626"/>
    <w:rsid w:val="036839EA"/>
    <w:rsid w:val="0368705F"/>
    <w:rsid w:val="03687E8D"/>
    <w:rsid w:val="036B5288"/>
    <w:rsid w:val="037F7B4D"/>
    <w:rsid w:val="03870314"/>
    <w:rsid w:val="038A35AE"/>
    <w:rsid w:val="038B5E3F"/>
    <w:rsid w:val="038D0D65"/>
    <w:rsid w:val="0397607D"/>
    <w:rsid w:val="039C3694"/>
    <w:rsid w:val="03A03184"/>
    <w:rsid w:val="03A108D9"/>
    <w:rsid w:val="03A72764"/>
    <w:rsid w:val="03A964DC"/>
    <w:rsid w:val="03AC0A4C"/>
    <w:rsid w:val="03AC7D7B"/>
    <w:rsid w:val="03AF786B"/>
    <w:rsid w:val="03B95FF4"/>
    <w:rsid w:val="03BD5AE4"/>
    <w:rsid w:val="03CA1FE6"/>
    <w:rsid w:val="03D1158F"/>
    <w:rsid w:val="03D177E1"/>
    <w:rsid w:val="03DB41BC"/>
    <w:rsid w:val="03E17C80"/>
    <w:rsid w:val="03E243B0"/>
    <w:rsid w:val="03EA08A3"/>
    <w:rsid w:val="03FE341B"/>
    <w:rsid w:val="040167A6"/>
    <w:rsid w:val="04051239"/>
    <w:rsid w:val="04064E7A"/>
    <w:rsid w:val="04082AD7"/>
    <w:rsid w:val="040C0819"/>
    <w:rsid w:val="040C49E8"/>
    <w:rsid w:val="040D5DF4"/>
    <w:rsid w:val="040E6340"/>
    <w:rsid w:val="04137DFA"/>
    <w:rsid w:val="04161698"/>
    <w:rsid w:val="0419176F"/>
    <w:rsid w:val="041D2A27"/>
    <w:rsid w:val="041D6583"/>
    <w:rsid w:val="04231045"/>
    <w:rsid w:val="042913CB"/>
    <w:rsid w:val="042C0EBC"/>
    <w:rsid w:val="042C3211"/>
    <w:rsid w:val="04357D70"/>
    <w:rsid w:val="04360C8C"/>
    <w:rsid w:val="043A6318"/>
    <w:rsid w:val="04427E1C"/>
    <w:rsid w:val="0449381C"/>
    <w:rsid w:val="04502E67"/>
    <w:rsid w:val="04561A95"/>
    <w:rsid w:val="04596B42"/>
    <w:rsid w:val="045B52FD"/>
    <w:rsid w:val="045F4253"/>
    <w:rsid w:val="046D1D34"/>
    <w:rsid w:val="04732647"/>
    <w:rsid w:val="04740FE2"/>
    <w:rsid w:val="047563BF"/>
    <w:rsid w:val="0477695F"/>
    <w:rsid w:val="047F4595"/>
    <w:rsid w:val="04815D06"/>
    <w:rsid w:val="04836307"/>
    <w:rsid w:val="04854128"/>
    <w:rsid w:val="048D02BF"/>
    <w:rsid w:val="04907A26"/>
    <w:rsid w:val="0493328A"/>
    <w:rsid w:val="04944CDE"/>
    <w:rsid w:val="049C1B9D"/>
    <w:rsid w:val="04A10F62"/>
    <w:rsid w:val="04A23EC2"/>
    <w:rsid w:val="04A83D0C"/>
    <w:rsid w:val="04AB4D5E"/>
    <w:rsid w:val="04AD0E90"/>
    <w:rsid w:val="04B213C1"/>
    <w:rsid w:val="04B30C95"/>
    <w:rsid w:val="04B34684"/>
    <w:rsid w:val="04B44FB4"/>
    <w:rsid w:val="04B54A0D"/>
    <w:rsid w:val="04B70785"/>
    <w:rsid w:val="04BC3FEE"/>
    <w:rsid w:val="04BE61CE"/>
    <w:rsid w:val="04CD34EE"/>
    <w:rsid w:val="04CD7044"/>
    <w:rsid w:val="04CE3D21"/>
    <w:rsid w:val="04D130BC"/>
    <w:rsid w:val="04D330E5"/>
    <w:rsid w:val="04D37589"/>
    <w:rsid w:val="04DA0918"/>
    <w:rsid w:val="04DF195B"/>
    <w:rsid w:val="04E54A85"/>
    <w:rsid w:val="04ED064B"/>
    <w:rsid w:val="04F25C61"/>
    <w:rsid w:val="04FA4B16"/>
    <w:rsid w:val="04FB4CD1"/>
    <w:rsid w:val="04FF1AF7"/>
    <w:rsid w:val="050114FA"/>
    <w:rsid w:val="05092FAB"/>
    <w:rsid w:val="050C2073"/>
    <w:rsid w:val="05104339"/>
    <w:rsid w:val="05171D61"/>
    <w:rsid w:val="051756C8"/>
    <w:rsid w:val="05177476"/>
    <w:rsid w:val="05195B93"/>
    <w:rsid w:val="051A2577"/>
    <w:rsid w:val="05221E49"/>
    <w:rsid w:val="052C2F85"/>
    <w:rsid w:val="052F763B"/>
    <w:rsid w:val="0531712E"/>
    <w:rsid w:val="053B7608"/>
    <w:rsid w:val="054A784B"/>
    <w:rsid w:val="0550759C"/>
    <w:rsid w:val="05573B42"/>
    <w:rsid w:val="05621037"/>
    <w:rsid w:val="056621AB"/>
    <w:rsid w:val="056B16C9"/>
    <w:rsid w:val="0571425F"/>
    <w:rsid w:val="05726749"/>
    <w:rsid w:val="05732EAA"/>
    <w:rsid w:val="05772978"/>
    <w:rsid w:val="05774986"/>
    <w:rsid w:val="057D537B"/>
    <w:rsid w:val="05816FE5"/>
    <w:rsid w:val="05883ED0"/>
    <w:rsid w:val="058A40EC"/>
    <w:rsid w:val="059565ED"/>
    <w:rsid w:val="0596084D"/>
    <w:rsid w:val="059A595C"/>
    <w:rsid w:val="05A056BD"/>
    <w:rsid w:val="05A14E22"/>
    <w:rsid w:val="05A625A8"/>
    <w:rsid w:val="05B167A8"/>
    <w:rsid w:val="05B253F0"/>
    <w:rsid w:val="05B64D34"/>
    <w:rsid w:val="05B819DC"/>
    <w:rsid w:val="05CD5D86"/>
    <w:rsid w:val="05CF5FA2"/>
    <w:rsid w:val="05D84E57"/>
    <w:rsid w:val="05D9626B"/>
    <w:rsid w:val="05E25CD6"/>
    <w:rsid w:val="05ED01D7"/>
    <w:rsid w:val="05ED6429"/>
    <w:rsid w:val="05EE0224"/>
    <w:rsid w:val="05EF2026"/>
    <w:rsid w:val="05EF3F4F"/>
    <w:rsid w:val="05F05553"/>
    <w:rsid w:val="05F31C91"/>
    <w:rsid w:val="05F439D9"/>
    <w:rsid w:val="05F45A09"/>
    <w:rsid w:val="05F872A7"/>
    <w:rsid w:val="05F9301F"/>
    <w:rsid w:val="0607573C"/>
    <w:rsid w:val="0607637D"/>
    <w:rsid w:val="060774EA"/>
    <w:rsid w:val="060B30F9"/>
    <w:rsid w:val="060D7CF0"/>
    <w:rsid w:val="060F45F1"/>
    <w:rsid w:val="06127C3D"/>
    <w:rsid w:val="061816F7"/>
    <w:rsid w:val="061C56AD"/>
    <w:rsid w:val="06274102"/>
    <w:rsid w:val="062C51A3"/>
    <w:rsid w:val="062E7EF1"/>
    <w:rsid w:val="06345E06"/>
    <w:rsid w:val="063E0A32"/>
    <w:rsid w:val="064029FC"/>
    <w:rsid w:val="06416140"/>
    <w:rsid w:val="064C314F"/>
    <w:rsid w:val="064E336B"/>
    <w:rsid w:val="064E5119"/>
    <w:rsid w:val="065546FA"/>
    <w:rsid w:val="06586D23"/>
    <w:rsid w:val="0659538A"/>
    <w:rsid w:val="065A1D10"/>
    <w:rsid w:val="065A3ABE"/>
    <w:rsid w:val="065D35AE"/>
    <w:rsid w:val="065E2E82"/>
    <w:rsid w:val="06624721"/>
    <w:rsid w:val="066F6E3E"/>
    <w:rsid w:val="067508F8"/>
    <w:rsid w:val="067556BB"/>
    <w:rsid w:val="06770BFA"/>
    <w:rsid w:val="067D155B"/>
    <w:rsid w:val="067E4BBE"/>
    <w:rsid w:val="067F3525"/>
    <w:rsid w:val="067F52D3"/>
    <w:rsid w:val="0680104B"/>
    <w:rsid w:val="06825036"/>
    <w:rsid w:val="0687207F"/>
    <w:rsid w:val="06896151"/>
    <w:rsid w:val="068B1240"/>
    <w:rsid w:val="06935222"/>
    <w:rsid w:val="06952D48"/>
    <w:rsid w:val="069845E6"/>
    <w:rsid w:val="069A035E"/>
    <w:rsid w:val="069A3EBB"/>
    <w:rsid w:val="069D3242"/>
    <w:rsid w:val="069F5C03"/>
    <w:rsid w:val="06A20D46"/>
    <w:rsid w:val="06A67B40"/>
    <w:rsid w:val="06B01175"/>
    <w:rsid w:val="06B13F74"/>
    <w:rsid w:val="06B17456"/>
    <w:rsid w:val="06B238FA"/>
    <w:rsid w:val="06B3650D"/>
    <w:rsid w:val="06B561D6"/>
    <w:rsid w:val="06BC6527"/>
    <w:rsid w:val="06BE3BF5"/>
    <w:rsid w:val="06C74ECC"/>
    <w:rsid w:val="06CD64C7"/>
    <w:rsid w:val="06CE0008"/>
    <w:rsid w:val="06D05B2E"/>
    <w:rsid w:val="06D53145"/>
    <w:rsid w:val="06D575E9"/>
    <w:rsid w:val="06D8407B"/>
    <w:rsid w:val="06DA6DC3"/>
    <w:rsid w:val="06DC324E"/>
    <w:rsid w:val="06DD649D"/>
    <w:rsid w:val="06E304F1"/>
    <w:rsid w:val="06E62223"/>
    <w:rsid w:val="06E93094"/>
    <w:rsid w:val="06F15AA5"/>
    <w:rsid w:val="06F2699C"/>
    <w:rsid w:val="0700659E"/>
    <w:rsid w:val="07046D38"/>
    <w:rsid w:val="0706045F"/>
    <w:rsid w:val="070677A2"/>
    <w:rsid w:val="0708351A"/>
    <w:rsid w:val="070E48A8"/>
    <w:rsid w:val="070F2388"/>
    <w:rsid w:val="07100621"/>
    <w:rsid w:val="071535E2"/>
    <w:rsid w:val="07153E89"/>
    <w:rsid w:val="071719AF"/>
    <w:rsid w:val="071A149F"/>
    <w:rsid w:val="071A324D"/>
    <w:rsid w:val="071C37EB"/>
    <w:rsid w:val="071C6FC5"/>
    <w:rsid w:val="071F0864"/>
    <w:rsid w:val="071F2612"/>
    <w:rsid w:val="0721241B"/>
    <w:rsid w:val="072E0AA7"/>
    <w:rsid w:val="07302A71"/>
    <w:rsid w:val="07306393"/>
    <w:rsid w:val="073065CD"/>
    <w:rsid w:val="07326019"/>
    <w:rsid w:val="07342561"/>
    <w:rsid w:val="07351E35"/>
    <w:rsid w:val="073562D9"/>
    <w:rsid w:val="073A38EF"/>
    <w:rsid w:val="073F0F06"/>
    <w:rsid w:val="07451C8D"/>
    <w:rsid w:val="07462294"/>
    <w:rsid w:val="074A1D85"/>
    <w:rsid w:val="074D19DB"/>
    <w:rsid w:val="074D717F"/>
    <w:rsid w:val="07565DCF"/>
    <w:rsid w:val="07581BFA"/>
    <w:rsid w:val="0766087E"/>
    <w:rsid w:val="0768220B"/>
    <w:rsid w:val="07697D31"/>
    <w:rsid w:val="0774295E"/>
    <w:rsid w:val="07762B7A"/>
    <w:rsid w:val="077961C6"/>
    <w:rsid w:val="07797F74"/>
    <w:rsid w:val="077C7A64"/>
    <w:rsid w:val="077E1A2E"/>
    <w:rsid w:val="07831485"/>
    <w:rsid w:val="078A03D3"/>
    <w:rsid w:val="078E3143"/>
    <w:rsid w:val="0798429B"/>
    <w:rsid w:val="079B438E"/>
    <w:rsid w:val="079F2C5C"/>
    <w:rsid w:val="07A019A5"/>
    <w:rsid w:val="07AD40C1"/>
    <w:rsid w:val="07AD5E6F"/>
    <w:rsid w:val="07AF1BE8"/>
    <w:rsid w:val="07B62F76"/>
    <w:rsid w:val="07B74F40"/>
    <w:rsid w:val="07B92A66"/>
    <w:rsid w:val="07BA144F"/>
    <w:rsid w:val="07C02047"/>
    <w:rsid w:val="07C338E5"/>
    <w:rsid w:val="07C531B9"/>
    <w:rsid w:val="07CA07CF"/>
    <w:rsid w:val="07CB4548"/>
    <w:rsid w:val="07CD02C0"/>
    <w:rsid w:val="07D23B28"/>
    <w:rsid w:val="07D60A8B"/>
    <w:rsid w:val="07D65FD1"/>
    <w:rsid w:val="07D87C6E"/>
    <w:rsid w:val="07DB478B"/>
    <w:rsid w:val="07E21FBD"/>
    <w:rsid w:val="07E86EA8"/>
    <w:rsid w:val="07F41CF0"/>
    <w:rsid w:val="07FB4E2D"/>
    <w:rsid w:val="080812F8"/>
    <w:rsid w:val="080E21B8"/>
    <w:rsid w:val="080F2686"/>
    <w:rsid w:val="081109A8"/>
    <w:rsid w:val="081514B1"/>
    <w:rsid w:val="0818431B"/>
    <w:rsid w:val="081E031A"/>
    <w:rsid w:val="08203D95"/>
    <w:rsid w:val="0822060B"/>
    <w:rsid w:val="082E5202"/>
    <w:rsid w:val="082F0F7A"/>
    <w:rsid w:val="082F3FA6"/>
    <w:rsid w:val="08307798"/>
    <w:rsid w:val="08346591"/>
    <w:rsid w:val="08370761"/>
    <w:rsid w:val="083B16CD"/>
    <w:rsid w:val="083B347B"/>
    <w:rsid w:val="083B791F"/>
    <w:rsid w:val="083D5445"/>
    <w:rsid w:val="08407BB4"/>
    <w:rsid w:val="08420CAE"/>
    <w:rsid w:val="08444A26"/>
    <w:rsid w:val="08510EF1"/>
    <w:rsid w:val="08517143"/>
    <w:rsid w:val="0854278F"/>
    <w:rsid w:val="08591B53"/>
    <w:rsid w:val="085A67E2"/>
    <w:rsid w:val="085D6735"/>
    <w:rsid w:val="085E716A"/>
    <w:rsid w:val="08624EAC"/>
    <w:rsid w:val="0870581B"/>
    <w:rsid w:val="08712E38"/>
    <w:rsid w:val="087405C9"/>
    <w:rsid w:val="08757B76"/>
    <w:rsid w:val="08762705"/>
    <w:rsid w:val="088023BD"/>
    <w:rsid w:val="08840248"/>
    <w:rsid w:val="0889068B"/>
    <w:rsid w:val="088F3C5C"/>
    <w:rsid w:val="08901A19"/>
    <w:rsid w:val="08931509"/>
    <w:rsid w:val="08940DDD"/>
    <w:rsid w:val="089706FA"/>
    <w:rsid w:val="08993673"/>
    <w:rsid w:val="089B6610"/>
    <w:rsid w:val="08A71AC9"/>
    <w:rsid w:val="08A76D63"/>
    <w:rsid w:val="08AA7AED"/>
    <w:rsid w:val="08AD4545"/>
    <w:rsid w:val="08AE00F1"/>
    <w:rsid w:val="08AE1E9F"/>
    <w:rsid w:val="08B27FAA"/>
    <w:rsid w:val="08B5322E"/>
    <w:rsid w:val="08B86E78"/>
    <w:rsid w:val="08BD1979"/>
    <w:rsid w:val="08C16B2D"/>
    <w:rsid w:val="08D44E81"/>
    <w:rsid w:val="08DA0EE6"/>
    <w:rsid w:val="08DA2C94"/>
    <w:rsid w:val="08EA6397"/>
    <w:rsid w:val="08EB59E2"/>
    <w:rsid w:val="08EE01DD"/>
    <w:rsid w:val="08EE04EE"/>
    <w:rsid w:val="08F00C5F"/>
    <w:rsid w:val="08F33D56"/>
    <w:rsid w:val="08F35AD6"/>
    <w:rsid w:val="08F6060C"/>
    <w:rsid w:val="08F8136C"/>
    <w:rsid w:val="08FA1588"/>
    <w:rsid w:val="08FB0FF2"/>
    <w:rsid w:val="0904072C"/>
    <w:rsid w:val="090E4AC0"/>
    <w:rsid w:val="09155A79"/>
    <w:rsid w:val="091C33C7"/>
    <w:rsid w:val="091D0DD3"/>
    <w:rsid w:val="09265ED9"/>
    <w:rsid w:val="09282E2C"/>
    <w:rsid w:val="092D239F"/>
    <w:rsid w:val="093D3223"/>
    <w:rsid w:val="093E7D5D"/>
    <w:rsid w:val="093F6115"/>
    <w:rsid w:val="09456D66"/>
    <w:rsid w:val="094B1DE4"/>
    <w:rsid w:val="094D790A"/>
    <w:rsid w:val="094E5430"/>
    <w:rsid w:val="094E7586"/>
    <w:rsid w:val="095567BF"/>
    <w:rsid w:val="0958005D"/>
    <w:rsid w:val="09616F12"/>
    <w:rsid w:val="09722ECD"/>
    <w:rsid w:val="097631A7"/>
    <w:rsid w:val="09774987"/>
    <w:rsid w:val="0979059F"/>
    <w:rsid w:val="097906FF"/>
    <w:rsid w:val="097A4477"/>
    <w:rsid w:val="097F4173"/>
    <w:rsid w:val="098350DA"/>
    <w:rsid w:val="098A290C"/>
    <w:rsid w:val="098D2059"/>
    <w:rsid w:val="098F0CBF"/>
    <w:rsid w:val="09964E37"/>
    <w:rsid w:val="09975029"/>
    <w:rsid w:val="09997488"/>
    <w:rsid w:val="099E7233"/>
    <w:rsid w:val="09A03EDE"/>
    <w:rsid w:val="09A17C56"/>
    <w:rsid w:val="09A6526C"/>
    <w:rsid w:val="09A84481"/>
    <w:rsid w:val="09AB4631"/>
    <w:rsid w:val="09AB63DF"/>
    <w:rsid w:val="09B56257"/>
    <w:rsid w:val="09BA09D3"/>
    <w:rsid w:val="09BA2AC6"/>
    <w:rsid w:val="09CA2D09"/>
    <w:rsid w:val="09D76990"/>
    <w:rsid w:val="09E01DAD"/>
    <w:rsid w:val="09E23890"/>
    <w:rsid w:val="09E57B43"/>
    <w:rsid w:val="09E651CF"/>
    <w:rsid w:val="09E85885"/>
    <w:rsid w:val="09E87633"/>
    <w:rsid w:val="09EC0EA8"/>
    <w:rsid w:val="09EC7AAD"/>
    <w:rsid w:val="09F3684A"/>
    <w:rsid w:val="09F45FD8"/>
    <w:rsid w:val="09F77E01"/>
    <w:rsid w:val="09FB1114"/>
    <w:rsid w:val="09FE1FDF"/>
    <w:rsid w:val="0A037FC9"/>
    <w:rsid w:val="0A067F0B"/>
    <w:rsid w:val="0A085ED9"/>
    <w:rsid w:val="0A09786A"/>
    <w:rsid w:val="0A0B50CF"/>
    <w:rsid w:val="0A0C1573"/>
    <w:rsid w:val="0A0D52EB"/>
    <w:rsid w:val="0A0F696E"/>
    <w:rsid w:val="0A130EFE"/>
    <w:rsid w:val="0A14667A"/>
    <w:rsid w:val="0A1551DD"/>
    <w:rsid w:val="0A157B0F"/>
    <w:rsid w:val="0A157CFC"/>
    <w:rsid w:val="0A1641A0"/>
    <w:rsid w:val="0A1715EF"/>
    <w:rsid w:val="0A1B7BC7"/>
    <w:rsid w:val="0A1D5A5C"/>
    <w:rsid w:val="0A20501F"/>
    <w:rsid w:val="0A2534BF"/>
    <w:rsid w:val="0A2543E3"/>
    <w:rsid w:val="0A256191"/>
    <w:rsid w:val="0A2C39C3"/>
    <w:rsid w:val="0A2C751F"/>
    <w:rsid w:val="0A2D14EA"/>
    <w:rsid w:val="0A310FDA"/>
    <w:rsid w:val="0A344626"/>
    <w:rsid w:val="0A3604C6"/>
    <w:rsid w:val="0A413607"/>
    <w:rsid w:val="0A466107"/>
    <w:rsid w:val="0A491335"/>
    <w:rsid w:val="0A493CD3"/>
    <w:rsid w:val="0A4A5BF8"/>
    <w:rsid w:val="0A4D4223"/>
    <w:rsid w:val="0A4F76B2"/>
    <w:rsid w:val="0A523BDC"/>
    <w:rsid w:val="0A572A77"/>
    <w:rsid w:val="0A575886"/>
    <w:rsid w:val="0A582BF8"/>
    <w:rsid w:val="0A59408D"/>
    <w:rsid w:val="0A5A31E2"/>
    <w:rsid w:val="0A5F2312"/>
    <w:rsid w:val="0A64315D"/>
    <w:rsid w:val="0A660F6B"/>
    <w:rsid w:val="0A6749FB"/>
    <w:rsid w:val="0A700171"/>
    <w:rsid w:val="0A7606AD"/>
    <w:rsid w:val="0A770964"/>
    <w:rsid w:val="0A7B2255"/>
    <w:rsid w:val="0A825391"/>
    <w:rsid w:val="0A84735B"/>
    <w:rsid w:val="0A851326"/>
    <w:rsid w:val="0A851FEE"/>
    <w:rsid w:val="0A8A06EA"/>
    <w:rsid w:val="0A8C4462"/>
    <w:rsid w:val="0A8F3F52"/>
    <w:rsid w:val="0A99092D"/>
    <w:rsid w:val="0A9B62A8"/>
    <w:rsid w:val="0A9D041D"/>
    <w:rsid w:val="0A9E7CF1"/>
    <w:rsid w:val="0AA01CBB"/>
    <w:rsid w:val="0AA3355A"/>
    <w:rsid w:val="0AA865FD"/>
    <w:rsid w:val="0AAB0D8C"/>
    <w:rsid w:val="0AB2675B"/>
    <w:rsid w:val="0AB2676A"/>
    <w:rsid w:val="0AB94823"/>
    <w:rsid w:val="0ABD286D"/>
    <w:rsid w:val="0AC37758"/>
    <w:rsid w:val="0AC95C2B"/>
    <w:rsid w:val="0ACD78AC"/>
    <w:rsid w:val="0AD221A9"/>
    <w:rsid w:val="0AE0030A"/>
    <w:rsid w:val="0AE1728C"/>
    <w:rsid w:val="0AE22A16"/>
    <w:rsid w:val="0AEA7626"/>
    <w:rsid w:val="0AEC3153"/>
    <w:rsid w:val="0AF0679F"/>
    <w:rsid w:val="0AF3003D"/>
    <w:rsid w:val="0AF81AF7"/>
    <w:rsid w:val="0AFC3A37"/>
    <w:rsid w:val="0AFE6320"/>
    <w:rsid w:val="0AFF69E2"/>
    <w:rsid w:val="0B085BAA"/>
    <w:rsid w:val="0B0A5387"/>
    <w:rsid w:val="0B0F01F5"/>
    <w:rsid w:val="0B112FF9"/>
    <w:rsid w:val="0B145111"/>
    <w:rsid w:val="0B19605C"/>
    <w:rsid w:val="0B1C57E6"/>
    <w:rsid w:val="0B21104E"/>
    <w:rsid w:val="0B270934"/>
    <w:rsid w:val="0B2E4278"/>
    <w:rsid w:val="0B301291"/>
    <w:rsid w:val="0B325009"/>
    <w:rsid w:val="0B380146"/>
    <w:rsid w:val="0B3A2110"/>
    <w:rsid w:val="0B3D575C"/>
    <w:rsid w:val="0B3F3282"/>
    <w:rsid w:val="0B47423D"/>
    <w:rsid w:val="0B4D62CD"/>
    <w:rsid w:val="0B4E5BBB"/>
    <w:rsid w:val="0B561090"/>
    <w:rsid w:val="0B587312"/>
    <w:rsid w:val="0B5A4560"/>
    <w:rsid w:val="0B5F099D"/>
    <w:rsid w:val="0B64718D"/>
    <w:rsid w:val="0B6A4503"/>
    <w:rsid w:val="0B6D31CF"/>
    <w:rsid w:val="0B745622"/>
    <w:rsid w:val="0B7671D7"/>
    <w:rsid w:val="0B772A1C"/>
    <w:rsid w:val="0B785A55"/>
    <w:rsid w:val="0B7D1FFD"/>
    <w:rsid w:val="0B832C7E"/>
    <w:rsid w:val="0B84049C"/>
    <w:rsid w:val="0B8415DD"/>
    <w:rsid w:val="0B8434BD"/>
    <w:rsid w:val="0B84410E"/>
    <w:rsid w:val="0B845139"/>
    <w:rsid w:val="0B882E7B"/>
    <w:rsid w:val="0B8B296C"/>
    <w:rsid w:val="0B8C3FEE"/>
    <w:rsid w:val="0B8D1E38"/>
    <w:rsid w:val="0B8E420A"/>
    <w:rsid w:val="0B925AA8"/>
    <w:rsid w:val="0B995FB0"/>
    <w:rsid w:val="0BA47589"/>
    <w:rsid w:val="0BA53A2D"/>
    <w:rsid w:val="0BAC32BC"/>
    <w:rsid w:val="0BAD643E"/>
    <w:rsid w:val="0BAF0CA7"/>
    <w:rsid w:val="0BB023D2"/>
    <w:rsid w:val="0BB21CA6"/>
    <w:rsid w:val="0BB43C70"/>
    <w:rsid w:val="0BB51797"/>
    <w:rsid w:val="0BBE689D"/>
    <w:rsid w:val="0BC57F35"/>
    <w:rsid w:val="0BC65752"/>
    <w:rsid w:val="0BCA75E5"/>
    <w:rsid w:val="0BD240F7"/>
    <w:rsid w:val="0BD7795F"/>
    <w:rsid w:val="0BD936D7"/>
    <w:rsid w:val="0BDB744F"/>
    <w:rsid w:val="0BE05BCF"/>
    <w:rsid w:val="0BEA7692"/>
    <w:rsid w:val="0BEB340A"/>
    <w:rsid w:val="0BEF0928"/>
    <w:rsid w:val="0BEF28DF"/>
    <w:rsid w:val="0BEF2EFA"/>
    <w:rsid w:val="0BF56037"/>
    <w:rsid w:val="0BFB189F"/>
    <w:rsid w:val="0BFE313E"/>
    <w:rsid w:val="0C026BC4"/>
    <w:rsid w:val="0C060160"/>
    <w:rsid w:val="0C063DA0"/>
    <w:rsid w:val="0C0B585A"/>
    <w:rsid w:val="0C112E71"/>
    <w:rsid w:val="0C126DC0"/>
    <w:rsid w:val="0C186C79"/>
    <w:rsid w:val="0C210BDA"/>
    <w:rsid w:val="0C22507E"/>
    <w:rsid w:val="0C230DF6"/>
    <w:rsid w:val="0C2324B3"/>
    <w:rsid w:val="0C236491"/>
    <w:rsid w:val="0C2C7CAB"/>
    <w:rsid w:val="0C321039"/>
    <w:rsid w:val="0C322DE7"/>
    <w:rsid w:val="0C34090D"/>
    <w:rsid w:val="0C3628D7"/>
    <w:rsid w:val="0C3930D3"/>
    <w:rsid w:val="0C4030BF"/>
    <w:rsid w:val="0C450D6C"/>
    <w:rsid w:val="0C4612D4"/>
    <w:rsid w:val="0C474AE5"/>
    <w:rsid w:val="0C4C20FB"/>
    <w:rsid w:val="0C4F74F5"/>
    <w:rsid w:val="0C513EC8"/>
    <w:rsid w:val="0C564D28"/>
    <w:rsid w:val="0C5745FC"/>
    <w:rsid w:val="0C590374"/>
    <w:rsid w:val="0C5E598A"/>
    <w:rsid w:val="0C5E67B3"/>
    <w:rsid w:val="0C5F5F03"/>
    <w:rsid w:val="0C607954"/>
    <w:rsid w:val="0C6236CC"/>
    <w:rsid w:val="0C6308E0"/>
    <w:rsid w:val="0C632FA1"/>
    <w:rsid w:val="0C681193"/>
    <w:rsid w:val="0C6D3E1F"/>
    <w:rsid w:val="0C767178"/>
    <w:rsid w:val="0C774C9E"/>
    <w:rsid w:val="0C776A4C"/>
    <w:rsid w:val="0C782EF0"/>
    <w:rsid w:val="0C7927C4"/>
    <w:rsid w:val="0C8816BF"/>
    <w:rsid w:val="0C88659A"/>
    <w:rsid w:val="0C8A0907"/>
    <w:rsid w:val="0C8A49D1"/>
    <w:rsid w:val="0C8E44C1"/>
    <w:rsid w:val="0C8F1FE8"/>
    <w:rsid w:val="0C945850"/>
    <w:rsid w:val="0C963376"/>
    <w:rsid w:val="0C965124"/>
    <w:rsid w:val="0C970C63"/>
    <w:rsid w:val="0C971404"/>
    <w:rsid w:val="0C9F05A6"/>
    <w:rsid w:val="0CA75583"/>
    <w:rsid w:val="0CAE1F02"/>
    <w:rsid w:val="0CAF1B78"/>
    <w:rsid w:val="0CAF745A"/>
    <w:rsid w:val="0CB101B0"/>
    <w:rsid w:val="0CB11F5E"/>
    <w:rsid w:val="0CB16B6A"/>
    <w:rsid w:val="0CB3217A"/>
    <w:rsid w:val="0CB33E72"/>
    <w:rsid w:val="0CB41A4E"/>
    <w:rsid w:val="0CB569B0"/>
    <w:rsid w:val="0CB56E1A"/>
    <w:rsid w:val="0CBD4DA7"/>
    <w:rsid w:val="0CBE467B"/>
    <w:rsid w:val="0CC06645"/>
    <w:rsid w:val="0CCB18B4"/>
    <w:rsid w:val="0CCE7E19"/>
    <w:rsid w:val="0CCF4ADA"/>
    <w:rsid w:val="0CD13AC4"/>
    <w:rsid w:val="0CD21B27"/>
    <w:rsid w:val="0CDA4B8F"/>
    <w:rsid w:val="0CDD0FA5"/>
    <w:rsid w:val="0CDD2D53"/>
    <w:rsid w:val="0CE265BB"/>
    <w:rsid w:val="0CE340E1"/>
    <w:rsid w:val="0CEC2F96"/>
    <w:rsid w:val="0CEC568C"/>
    <w:rsid w:val="0CEF2A86"/>
    <w:rsid w:val="0CF602B9"/>
    <w:rsid w:val="0CF70867"/>
    <w:rsid w:val="0CF85DDF"/>
    <w:rsid w:val="0D004F1B"/>
    <w:rsid w:val="0D020A0B"/>
    <w:rsid w:val="0D03035E"/>
    <w:rsid w:val="0D046532"/>
    <w:rsid w:val="0D063F04"/>
    <w:rsid w:val="0D083FB4"/>
    <w:rsid w:val="0D0A78C0"/>
    <w:rsid w:val="0D0B0F1C"/>
    <w:rsid w:val="0D0E5602"/>
    <w:rsid w:val="0D104850"/>
    <w:rsid w:val="0D116EA1"/>
    <w:rsid w:val="0D136775"/>
    <w:rsid w:val="0D1B1690"/>
    <w:rsid w:val="0D1D1AC4"/>
    <w:rsid w:val="0D233659"/>
    <w:rsid w:val="0D24651D"/>
    <w:rsid w:val="0D2E57AB"/>
    <w:rsid w:val="0D307327"/>
    <w:rsid w:val="0D38442D"/>
    <w:rsid w:val="0D387F9E"/>
    <w:rsid w:val="0D3A63F7"/>
    <w:rsid w:val="0D3C216F"/>
    <w:rsid w:val="0D3D5C09"/>
    <w:rsid w:val="0D3F3A0E"/>
    <w:rsid w:val="0D411534"/>
    <w:rsid w:val="0D4252AC"/>
    <w:rsid w:val="0D442DD2"/>
    <w:rsid w:val="0D49488C"/>
    <w:rsid w:val="0D4A5F0F"/>
    <w:rsid w:val="0D4E1EA3"/>
    <w:rsid w:val="0D4E3C51"/>
    <w:rsid w:val="0D5374B9"/>
    <w:rsid w:val="0D5643CF"/>
    <w:rsid w:val="0D5648B3"/>
    <w:rsid w:val="0D58062B"/>
    <w:rsid w:val="0D583B72"/>
    <w:rsid w:val="0D584ACF"/>
    <w:rsid w:val="0D5B011C"/>
    <w:rsid w:val="0D5B0F8B"/>
    <w:rsid w:val="0D5C5F1D"/>
    <w:rsid w:val="0D674D12"/>
    <w:rsid w:val="0D676AC1"/>
    <w:rsid w:val="0D6A3369"/>
    <w:rsid w:val="0D7A4A46"/>
    <w:rsid w:val="0D8116C1"/>
    <w:rsid w:val="0D870F11"/>
    <w:rsid w:val="0D9415BC"/>
    <w:rsid w:val="0D9773A6"/>
    <w:rsid w:val="0D9A4661"/>
    <w:rsid w:val="0D9C30EB"/>
    <w:rsid w:val="0D9D0734"/>
    <w:rsid w:val="0DA30266"/>
    <w:rsid w:val="0DA31950"/>
    <w:rsid w:val="0DA675E9"/>
    <w:rsid w:val="0DB00467"/>
    <w:rsid w:val="0DB04880"/>
    <w:rsid w:val="0DB30451"/>
    <w:rsid w:val="0DB31D06"/>
    <w:rsid w:val="0DCA7661"/>
    <w:rsid w:val="0DCB34F3"/>
    <w:rsid w:val="0DD203DE"/>
    <w:rsid w:val="0DD477D7"/>
    <w:rsid w:val="0DE325EB"/>
    <w:rsid w:val="0DED2F37"/>
    <w:rsid w:val="0DF26B81"/>
    <w:rsid w:val="0DF76096"/>
    <w:rsid w:val="0DF97F28"/>
    <w:rsid w:val="0DFB73C5"/>
    <w:rsid w:val="0E0921CD"/>
    <w:rsid w:val="0E121122"/>
    <w:rsid w:val="0E122ED0"/>
    <w:rsid w:val="0E130FA9"/>
    <w:rsid w:val="0E14332D"/>
    <w:rsid w:val="0E1924B1"/>
    <w:rsid w:val="0E1E218A"/>
    <w:rsid w:val="0E1E3623"/>
    <w:rsid w:val="0E252235"/>
    <w:rsid w:val="0E265A7A"/>
    <w:rsid w:val="0E2826F4"/>
    <w:rsid w:val="0E2B53E4"/>
    <w:rsid w:val="0E2C46B9"/>
    <w:rsid w:val="0E2F5830"/>
    <w:rsid w:val="0E325288"/>
    <w:rsid w:val="0E342E47"/>
    <w:rsid w:val="0E3B512C"/>
    <w:rsid w:val="0E3C12B5"/>
    <w:rsid w:val="0E3C619F"/>
    <w:rsid w:val="0E3E10C3"/>
    <w:rsid w:val="0E3F3599"/>
    <w:rsid w:val="0E455054"/>
    <w:rsid w:val="0E4A266A"/>
    <w:rsid w:val="0E4B0190"/>
    <w:rsid w:val="0E4B0511"/>
    <w:rsid w:val="0E5139F9"/>
    <w:rsid w:val="0E572FD9"/>
    <w:rsid w:val="0E576B35"/>
    <w:rsid w:val="0E5C239D"/>
    <w:rsid w:val="0E6306F7"/>
    <w:rsid w:val="0E6438CA"/>
    <w:rsid w:val="0E6A03B4"/>
    <w:rsid w:val="0E6E7B0F"/>
    <w:rsid w:val="0E72571D"/>
    <w:rsid w:val="0E7B6CC7"/>
    <w:rsid w:val="0E7C659C"/>
    <w:rsid w:val="0E7D2A40"/>
    <w:rsid w:val="0E7D5028"/>
    <w:rsid w:val="0E7E0566"/>
    <w:rsid w:val="0E8B6C59"/>
    <w:rsid w:val="0E99714E"/>
    <w:rsid w:val="0EA004DC"/>
    <w:rsid w:val="0EA31CE8"/>
    <w:rsid w:val="0EA35638"/>
    <w:rsid w:val="0EA55AF2"/>
    <w:rsid w:val="0EBB0D57"/>
    <w:rsid w:val="0EC044D7"/>
    <w:rsid w:val="0EC05900"/>
    <w:rsid w:val="0EC118E3"/>
    <w:rsid w:val="0EC17552"/>
    <w:rsid w:val="0EC266A4"/>
    <w:rsid w:val="0EC56195"/>
    <w:rsid w:val="0ECA7307"/>
    <w:rsid w:val="0ECE09E8"/>
    <w:rsid w:val="0ED32660"/>
    <w:rsid w:val="0ED54342"/>
    <w:rsid w:val="0ED62150"/>
    <w:rsid w:val="0ED63572"/>
    <w:rsid w:val="0EDB7766"/>
    <w:rsid w:val="0EDD528C"/>
    <w:rsid w:val="0EE4440B"/>
    <w:rsid w:val="0EE52393"/>
    <w:rsid w:val="0EEA5BFB"/>
    <w:rsid w:val="0EF35656"/>
    <w:rsid w:val="0EFE1B28"/>
    <w:rsid w:val="0F052A35"/>
    <w:rsid w:val="0F0C5E0F"/>
    <w:rsid w:val="0F10455E"/>
    <w:rsid w:val="0F124212"/>
    <w:rsid w:val="0F191827"/>
    <w:rsid w:val="0F1E2441"/>
    <w:rsid w:val="0F1E4393"/>
    <w:rsid w:val="0F256C33"/>
    <w:rsid w:val="0F2A39AE"/>
    <w:rsid w:val="0F2E3D3A"/>
    <w:rsid w:val="0F2F1860"/>
    <w:rsid w:val="0F3D21CF"/>
    <w:rsid w:val="0F3D4375"/>
    <w:rsid w:val="0F3F7CF5"/>
    <w:rsid w:val="0F452E31"/>
    <w:rsid w:val="0F4548EC"/>
    <w:rsid w:val="0F474DFC"/>
    <w:rsid w:val="0F4A0448"/>
    <w:rsid w:val="0F4C68C2"/>
    <w:rsid w:val="0F4E1CE6"/>
    <w:rsid w:val="0F4F5A5E"/>
    <w:rsid w:val="0F551242"/>
    <w:rsid w:val="0F563291"/>
    <w:rsid w:val="0F59068B"/>
    <w:rsid w:val="0F5E1F53"/>
    <w:rsid w:val="0F637889"/>
    <w:rsid w:val="0F657030"/>
    <w:rsid w:val="0F773F5A"/>
    <w:rsid w:val="0F784FB5"/>
    <w:rsid w:val="0F7F00F1"/>
    <w:rsid w:val="0F7F1F0E"/>
    <w:rsid w:val="0F7F6343"/>
    <w:rsid w:val="0F81030D"/>
    <w:rsid w:val="0F8676D2"/>
    <w:rsid w:val="0F873108"/>
    <w:rsid w:val="0F8C0A60"/>
    <w:rsid w:val="0F921590"/>
    <w:rsid w:val="0F9242C9"/>
    <w:rsid w:val="0F9A13CF"/>
    <w:rsid w:val="0F9A317D"/>
    <w:rsid w:val="0F9C1270"/>
    <w:rsid w:val="0FA67D74"/>
    <w:rsid w:val="0FB00BF3"/>
    <w:rsid w:val="0FB861EA"/>
    <w:rsid w:val="0FBF4992"/>
    <w:rsid w:val="0FC93A62"/>
    <w:rsid w:val="0FCC1588"/>
    <w:rsid w:val="0FCF120F"/>
    <w:rsid w:val="0FD348E1"/>
    <w:rsid w:val="0FD3762E"/>
    <w:rsid w:val="0FD91EF8"/>
    <w:rsid w:val="0FDC05ED"/>
    <w:rsid w:val="0FDD306A"/>
    <w:rsid w:val="0FDE1CCB"/>
    <w:rsid w:val="0FE10DAC"/>
    <w:rsid w:val="0FE55DFF"/>
    <w:rsid w:val="0FE663C2"/>
    <w:rsid w:val="0FEF563D"/>
    <w:rsid w:val="0FF30ADF"/>
    <w:rsid w:val="0FF44DB1"/>
    <w:rsid w:val="0FFB2495"/>
    <w:rsid w:val="0FFC3E38"/>
    <w:rsid w:val="0FFF7484"/>
    <w:rsid w:val="10025C55"/>
    <w:rsid w:val="10044D22"/>
    <w:rsid w:val="10060813"/>
    <w:rsid w:val="100623CE"/>
    <w:rsid w:val="100920B1"/>
    <w:rsid w:val="100A5083"/>
    <w:rsid w:val="100E6240"/>
    <w:rsid w:val="100F3B6B"/>
    <w:rsid w:val="10125229"/>
    <w:rsid w:val="10156CA8"/>
    <w:rsid w:val="101A1D47"/>
    <w:rsid w:val="10240C99"/>
    <w:rsid w:val="10243C6D"/>
    <w:rsid w:val="1025478B"/>
    <w:rsid w:val="10294501"/>
    <w:rsid w:val="102B6D6C"/>
    <w:rsid w:val="102C368A"/>
    <w:rsid w:val="102E000A"/>
    <w:rsid w:val="103A3A0E"/>
    <w:rsid w:val="103A670E"/>
    <w:rsid w:val="103E7FAD"/>
    <w:rsid w:val="10437371"/>
    <w:rsid w:val="10482BD9"/>
    <w:rsid w:val="10492E4B"/>
    <w:rsid w:val="104A6951"/>
    <w:rsid w:val="10512E39"/>
    <w:rsid w:val="10586A84"/>
    <w:rsid w:val="10621DB2"/>
    <w:rsid w:val="10645539"/>
    <w:rsid w:val="10675755"/>
    <w:rsid w:val="10687F12"/>
    <w:rsid w:val="10762190"/>
    <w:rsid w:val="107734BE"/>
    <w:rsid w:val="107C2883"/>
    <w:rsid w:val="107E2A9F"/>
    <w:rsid w:val="10853E2D"/>
    <w:rsid w:val="1088747A"/>
    <w:rsid w:val="108943EE"/>
    <w:rsid w:val="108C3A8C"/>
    <w:rsid w:val="108C51BC"/>
    <w:rsid w:val="108C64B3"/>
    <w:rsid w:val="108C6F6A"/>
    <w:rsid w:val="109154B5"/>
    <w:rsid w:val="109220A6"/>
    <w:rsid w:val="1092654A"/>
    <w:rsid w:val="109B01F2"/>
    <w:rsid w:val="109C4CD3"/>
    <w:rsid w:val="109D1177"/>
    <w:rsid w:val="109E0A4B"/>
    <w:rsid w:val="109E4B15"/>
    <w:rsid w:val="10A72D93"/>
    <w:rsid w:val="10A768A9"/>
    <w:rsid w:val="10AD0B8B"/>
    <w:rsid w:val="10B35FD8"/>
    <w:rsid w:val="10B540FC"/>
    <w:rsid w:val="10B65D95"/>
    <w:rsid w:val="10BE07E7"/>
    <w:rsid w:val="10C13F41"/>
    <w:rsid w:val="10C1473A"/>
    <w:rsid w:val="10C37306"/>
    <w:rsid w:val="10C37FC2"/>
    <w:rsid w:val="10C430FC"/>
    <w:rsid w:val="10C77FA2"/>
    <w:rsid w:val="10C81DBF"/>
    <w:rsid w:val="10CB7366"/>
    <w:rsid w:val="10D17073"/>
    <w:rsid w:val="10D73F5D"/>
    <w:rsid w:val="10D80401"/>
    <w:rsid w:val="10DA4292"/>
    <w:rsid w:val="10DB00CC"/>
    <w:rsid w:val="10DE353E"/>
    <w:rsid w:val="10DE709A"/>
    <w:rsid w:val="10E26C94"/>
    <w:rsid w:val="10E32902"/>
    <w:rsid w:val="10F16DCD"/>
    <w:rsid w:val="10F25D47"/>
    <w:rsid w:val="10F37004"/>
    <w:rsid w:val="10F92125"/>
    <w:rsid w:val="10FA0833"/>
    <w:rsid w:val="10FD39C4"/>
    <w:rsid w:val="10FE4578"/>
    <w:rsid w:val="10FE68EE"/>
    <w:rsid w:val="11027C0B"/>
    <w:rsid w:val="11037B61"/>
    <w:rsid w:val="110A7E8F"/>
    <w:rsid w:val="110C0891"/>
    <w:rsid w:val="110C205E"/>
    <w:rsid w:val="110C65D0"/>
    <w:rsid w:val="11166833"/>
    <w:rsid w:val="11191B23"/>
    <w:rsid w:val="111C4FB4"/>
    <w:rsid w:val="1122342D"/>
    <w:rsid w:val="11241111"/>
    <w:rsid w:val="11243677"/>
    <w:rsid w:val="112847B9"/>
    <w:rsid w:val="11286567"/>
    <w:rsid w:val="11290C5D"/>
    <w:rsid w:val="11301133"/>
    <w:rsid w:val="11327346"/>
    <w:rsid w:val="113413B0"/>
    <w:rsid w:val="11365128"/>
    <w:rsid w:val="113A4084"/>
    <w:rsid w:val="113D64B6"/>
    <w:rsid w:val="11405FA6"/>
    <w:rsid w:val="11440578"/>
    <w:rsid w:val="1149286D"/>
    <w:rsid w:val="11494E5B"/>
    <w:rsid w:val="114D4386"/>
    <w:rsid w:val="114E06C3"/>
    <w:rsid w:val="11523B39"/>
    <w:rsid w:val="11550DB2"/>
    <w:rsid w:val="11590A6C"/>
    <w:rsid w:val="11595098"/>
    <w:rsid w:val="115A7068"/>
    <w:rsid w:val="115B693C"/>
    <w:rsid w:val="1161148D"/>
    <w:rsid w:val="116146C1"/>
    <w:rsid w:val="116457F1"/>
    <w:rsid w:val="11656745"/>
    <w:rsid w:val="11686CAC"/>
    <w:rsid w:val="116E2B13"/>
    <w:rsid w:val="116E70D4"/>
    <w:rsid w:val="1178761E"/>
    <w:rsid w:val="117B766A"/>
    <w:rsid w:val="117D4B05"/>
    <w:rsid w:val="117F6ACF"/>
    <w:rsid w:val="118045F5"/>
    <w:rsid w:val="11804AF8"/>
    <w:rsid w:val="118934A9"/>
    <w:rsid w:val="118C77F1"/>
    <w:rsid w:val="118E286E"/>
    <w:rsid w:val="11916802"/>
    <w:rsid w:val="11960279"/>
    <w:rsid w:val="11965BC6"/>
    <w:rsid w:val="119965A5"/>
    <w:rsid w:val="11A02BD0"/>
    <w:rsid w:val="11A16A45"/>
    <w:rsid w:val="11A7392F"/>
    <w:rsid w:val="11A90EBB"/>
    <w:rsid w:val="11AF148E"/>
    <w:rsid w:val="11AF1B5F"/>
    <w:rsid w:val="11B2449C"/>
    <w:rsid w:val="11BA7C4C"/>
    <w:rsid w:val="11BD3153"/>
    <w:rsid w:val="11C414B0"/>
    <w:rsid w:val="11C6025A"/>
    <w:rsid w:val="11C919C6"/>
    <w:rsid w:val="11CB1D14"/>
    <w:rsid w:val="11CC1466"/>
    <w:rsid w:val="11D17BEA"/>
    <w:rsid w:val="11D530B0"/>
    <w:rsid w:val="11EA6D3F"/>
    <w:rsid w:val="11F254F3"/>
    <w:rsid w:val="11F33019"/>
    <w:rsid w:val="11F51BE0"/>
    <w:rsid w:val="11F528ED"/>
    <w:rsid w:val="11F76665"/>
    <w:rsid w:val="1218482D"/>
    <w:rsid w:val="121865DB"/>
    <w:rsid w:val="121A2353"/>
    <w:rsid w:val="121C7474"/>
    <w:rsid w:val="121F5BBC"/>
    <w:rsid w:val="1221556A"/>
    <w:rsid w:val="12217B86"/>
    <w:rsid w:val="12274A70"/>
    <w:rsid w:val="12282CC2"/>
    <w:rsid w:val="122E7475"/>
    <w:rsid w:val="123F625E"/>
    <w:rsid w:val="124158FB"/>
    <w:rsid w:val="12415FCD"/>
    <w:rsid w:val="124318AA"/>
    <w:rsid w:val="124364E9"/>
    <w:rsid w:val="12437AFC"/>
    <w:rsid w:val="124C0DF9"/>
    <w:rsid w:val="124D097B"/>
    <w:rsid w:val="12596A1D"/>
    <w:rsid w:val="125A2E59"/>
    <w:rsid w:val="125B6DB2"/>
    <w:rsid w:val="125E4936"/>
    <w:rsid w:val="12635AA8"/>
    <w:rsid w:val="12704669"/>
    <w:rsid w:val="127777A6"/>
    <w:rsid w:val="1279351E"/>
    <w:rsid w:val="127F48AC"/>
    <w:rsid w:val="1288550F"/>
    <w:rsid w:val="12891287"/>
    <w:rsid w:val="128D74AE"/>
    <w:rsid w:val="128F2D41"/>
    <w:rsid w:val="12957C2C"/>
    <w:rsid w:val="12A165D1"/>
    <w:rsid w:val="12A44022"/>
    <w:rsid w:val="12A52565"/>
    <w:rsid w:val="12A54313"/>
    <w:rsid w:val="12A8795F"/>
    <w:rsid w:val="12B45DBA"/>
    <w:rsid w:val="12C0114D"/>
    <w:rsid w:val="12C10A21"/>
    <w:rsid w:val="12C329EB"/>
    <w:rsid w:val="12C56763"/>
    <w:rsid w:val="12CA3D79"/>
    <w:rsid w:val="12D20E80"/>
    <w:rsid w:val="12D22C2E"/>
    <w:rsid w:val="12D45062"/>
    <w:rsid w:val="12DB2E42"/>
    <w:rsid w:val="12DB5A5B"/>
    <w:rsid w:val="12E14724"/>
    <w:rsid w:val="12E666D9"/>
    <w:rsid w:val="12EF778D"/>
    <w:rsid w:val="12F01E4B"/>
    <w:rsid w:val="12F31522"/>
    <w:rsid w:val="12F708E7"/>
    <w:rsid w:val="12F76D4C"/>
    <w:rsid w:val="12FC7CAB"/>
    <w:rsid w:val="12FE3A23"/>
    <w:rsid w:val="130B672E"/>
    <w:rsid w:val="130E5037"/>
    <w:rsid w:val="131119A8"/>
    <w:rsid w:val="13135912"/>
    <w:rsid w:val="13194FF1"/>
    <w:rsid w:val="131B45D5"/>
    <w:rsid w:val="131E40C5"/>
    <w:rsid w:val="131E5CD3"/>
    <w:rsid w:val="13201BEB"/>
    <w:rsid w:val="13203999"/>
    <w:rsid w:val="13227BF1"/>
    <w:rsid w:val="13243625"/>
    <w:rsid w:val="1324792E"/>
    <w:rsid w:val="132536A6"/>
    <w:rsid w:val="13294F44"/>
    <w:rsid w:val="132F36D0"/>
    <w:rsid w:val="132F62D2"/>
    <w:rsid w:val="13303DF4"/>
    <w:rsid w:val="13386D2D"/>
    <w:rsid w:val="13390EFF"/>
    <w:rsid w:val="133B4C77"/>
    <w:rsid w:val="134A6C68"/>
    <w:rsid w:val="13533D6F"/>
    <w:rsid w:val="135C1057"/>
    <w:rsid w:val="135F0966"/>
    <w:rsid w:val="13645F7C"/>
    <w:rsid w:val="136C4E31"/>
    <w:rsid w:val="136F3FAF"/>
    <w:rsid w:val="137338F8"/>
    <w:rsid w:val="13737F6D"/>
    <w:rsid w:val="13785584"/>
    <w:rsid w:val="137A3E5D"/>
    <w:rsid w:val="137B5074"/>
    <w:rsid w:val="1380268A"/>
    <w:rsid w:val="138403CC"/>
    <w:rsid w:val="138D0550"/>
    <w:rsid w:val="138E4016"/>
    <w:rsid w:val="138F28CD"/>
    <w:rsid w:val="139344A4"/>
    <w:rsid w:val="13974D45"/>
    <w:rsid w:val="13985C26"/>
    <w:rsid w:val="139A199E"/>
    <w:rsid w:val="139B3968"/>
    <w:rsid w:val="13A26AA4"/>
    <w:rsid w:val="13A908D3"/>
    <w:rsid w:val="13AB7349"/>
    <w:rsid w:val="13AC347F"/>
    <w:rsid w:val="13AE369B"/>
    <w:rsid w:val="13B14F39"/>
    <w:rsid w:val="13B44BFB"/>
    <w:rsid w:val="13B83614"/>
    <w:rsid w:val="13B862C8"/>
    <w:rsid w:val="13BB36C2"/>
    <w:rsid w:val="13C27ACF"/>
    <w:rsid w:val="13C73B93"/>
    <w:rsid w:val="13CC2DEE"/>
    <w:rsid w:val="13CE6B77"/>
    <w:rsid w:val="13D11138"/>
    <w:rsid w:val="13D604FC"/>
    <w:rsid w:val="13DA7FEC"/>
    <w:rsid w:val="13E61673"/>
    <w:rsid w:val="13EC7D20"/>
    <w:rsid w:val="13F6294C"/>
    <w:rsid w:val="13FC4407"/>
    <w:rsid w:val="13FC455A"/>
    <w:rsid w:val="13FC61B5"/>
    <w:rsid w:val="13FE10FF"/>
    <w:rsid w:val="14001E82"/>
    <w:rsid w:val="14005579"/>
    <w:rsid w:val="14113C34"/>
    <w:rsid w:val="141258CE"/>
    <w:rsid w:val="141D13CF"/>
    <w:rsid w:val="14213E6D"/>
    <w:rsid w:val="14215629"/>
    <w:rsid w:val="14237BE5"/>
    <w:rsid w:val="143771ED"/>
    <w:rsid w:val="143C7FCF"/>
    <w:rsid w:val="143D057B"/>
    <w:rsid w:val="143E4A1F"/>
    <w:rsid w:val="143F71E9"/>
    <w:rsid w:val="144009DA"/>
    <w:rsid w:val="14401446"/>
    <w:rsid w:val="14423DE3"/>
    <w:rsid w:val="14424312"/>
    <w:rsid w:val="14445DAD"/>
    <w:rsid w:val="144874D3"/>
    <w:rsid w:val="14495172"/>
    <w:rsid w:val="144D6A10"/>
    <w:rsid w:val="145002AE"/>
    <w:rsid w:val="14515DD5"/>
    <w:rsid w:val="14572017"/>
    <w:rsid w:val="1457788F"/>
    <w:rsid w:val="145C30F7"/>
    <w:rsid w:val="14661880"/>
    <w:rsid w:val="14684B99"/>
    <w:rsid w:val="146B070D"/>
    <w:rsid w:val="147026FF"/>
    <w:rsid w:val="147321EF"/>
    <w:rsid w:val="14757596"/>
    <w:rsid w:val="14773D0F"/>
    <w:rsid w:val="148461AA"/>
    <w:rsid w:val="14885C9A"/>
    <w:rsid w:val="1494463F"/>
    <w:rsid w:val="14972381"/>
    <w:rsid w:val="14991C55"/>
    <w:rsid w:val="149A3C1F"/>
    <w:rsid w:val="149C604A"/>
    <w:rsid w:val="14A625C4"/>
    <w:rsid w:val="14AB4B2D"/>
    <w:rsid w:val="14AD12A6"/>
    <w:rsid w:val="14B00195"/>
    <w:rsid w:val="14B12799"/>
    <w:rsid w:val="14B805AF"/>
    <w:rsid w:val="14C34A41"/>
    <w:rsid w:val="14C47192"/>
    <w:rsid w:val="14C91709"/>
    <w:rsid w:val="14CF6C0E"/>
    <w:rsid w:val="14D07641"/>
    <w:rsid w:val="14D94748"/>
    <w:rsid w:val="14D964F6"/>
    <w:rsid w:val="14DC7D94"/>
    <w:rsid w:val="14DE1D5E"/>
    <w:rsid w:val="14DE3B0C"/>
    <w:rsid w:val="14F7697C"/>
    <w:rsid w:val="14F90946"/>
    <w:rsid w:val="14F97527"/>
    <w:rsid w:val="150A4901"/>
    <w:rsid w:val="150A5350"/>
    <w:rsid w:val="150B58A6"/>
    <w:rsid w:val="15152C6A"/>
    <w:rsid w:val="15155054"/>
    <w:rsid w:val="151C39D0"/>
    <w:rsid w:val="151D2886"/>
    <w:rsid w:val="15207CD1"/>
    <w:rsid w:val="15217329"/>
    <w:rsid w:val="15273705"/>
    <w:rsid w:val="15284D87"/>
    <w:rsid w:val="152C2AC9"/>
    <w:rsid w:val="1534197E"/>
    <w:rsid w:val="15393438"/>
    <w:rsid w:val="153C58D6"/>
    <w:rsid w:val="153E0A4F"/>
    <w:rsid w:val="154629A8"/>
    <w:rsid w:val="154A7855"/>
    <w:rsid w:val="1558701C"/>
    <w:rsid w:val="155C47D6"/>
    <w:rsid w:val="155C6B11"/>
    <w:rsid w:val="15601485"/>
    <w:rsid w:val="15605BBF"/>
    <w:rsid w:val="15634011"/>
    <w:rsid w:val="156632A4"/>
    <w:rsid w:val="15685BA9"/>
    <w:rsid w:val="15696271"/>
    <w:rsid w:val="156E30E2"/>
    <w:rsid w:val="15712BD2"/>
    <w:rsid w:val="157B7AB2"/>
    <w:rsid w:val="157D1577"/>
    <w:rsid w:val="157D50D3"/>
    <w:rsid w:val="15824E0A"/>
    <w:rsid w:val="15891CCA"/>
    <w:rsid w:val="158B5F4B"/>
    <w:rsid w:val="158C0730"/>
    <w:rsid w:val="159B37AB"/>
    <w:rsid w:val="159C326B"/>
    <w:rsid w:val="159D038A"/>
    <w:rsid w:val="159E329B"/>
    <w:rsid w:val="15A46B04"/>
    <w:rsid w:val="15A72962"/>
    <w:rsid w:val="15AB31B5"/>
    <w:rsid w:val="15AF54A9"/>
    <w:rsid w:val="15B30AF5"/>
    <w:rsid w:val="15BB209F"/>
    <w:rsid w:val="15BF393E"/>
    <w:rsid w:val="15C076B6"/>
    <w:rsid w:val="15C26502"/>
    <w:rsid w:val="15C40F54"/>
    <w:rsid w:val="15C471A6"/>
    <w:rsid w:val="15C941A9"/>
    <w:rsid w:val="15CA4090"/>
    <w:rsid w:val="15CC7E09"/>
    <w:rsid w:val="15CE7BCF"/>
    <w:rsid w:val="15D078F9"/>
    <w:rsid w:val="15D64ECB"/>
    <w:rsid w:val="15D867AD"/>
    <w:rsid w:val="15DB44F0"/>
    <w:rsid w:val="15E350DE"/>
    <w:rsid w:val="15E6711C"/>
    <w:rsid w:val="15E94422"/>
    <w:rsid w:val="15EA028F"/>
    <w:rsid w:val="15EB49E8"/>
    <w:rsid w:val="15EE5FD1"/>
    <w:rsid w:val="15F01D49"/>
    <w:rsid w:val="15F555B1"/>
    <w:rsid w:val="15FA2BC8"/>
    <w:rsid w:val="15FE04ED"/>
    <w:rsid w:val="15FF3D3A"/>
    <w:rsid w:val="1606156C"/>
    <w:rsid w:val="160B0931"/>
    <w:rsid w:val="16113A6D"/>
    <w:rsid w:val="16180A8A"/>
    <w:rsid w:val="161F262E"/>
    <w:rsid w:val="162565A5"/>
    <w:rsid w:val="16297009"/>
    <w:rsid w:val="162B2D81"/>
    <w:rsid w:val="162B4B2F"/>
    <w:rsid w:val="16315003"/>
    <w:rsid w:val="16315EBE"/>
    <w:rsid w:val="16322361"/>
    <w:rsid w:val="16361587"/>
    <w:rsid w:val="16384AFC"/>
    <w:rsid w:val="163A2FC4"/>
    <w:rsid w:val="163C6D3C"/>
    <w:rsid w:val="163F4A7E"/>
    <w:rsid w:val="164A5F71"/>
    <w:rsid w:val="164A6D18"/>
    <w:rsid w:val="164E230A"/>
    <w:rsid w:val="164E6A70"/>
    <w:rsid w:val="16513775"/>
    <w:rsid w:val="165152AF"/>
    <w:rsid w:val="16525286"/>
    <w:rsid w:val="16551BAC"/>
    <w:rsid w:val="1658169C"/>
    <w:rsid w:val="165A3666"/>
    <w:rsid w:val="165A5414"/>
    <w:rsid w:val="16612C47"/>
    <w:rsid w:val="16646293"/>
    <w:rsid w:val="16655C52"/>
    <w:rsid w:val="166F2B72"/>
    <w:rsid w:val="167F131F"/>
    <w:rsid w:val="16826719"/>
    <w:rsid w:val="16846935"/>
    <w:rsid w:val="1686445B"/>
    <w:rsid w:val="168D3A3C"/>
    <w:rsid w:val="168D57EA"/>
    <w:rsid w:val="168D7598"/>
    <w:rsid w:val="169052DA"/>
    <w:rsid w:val="169508A9"/>
    <w:rsid w:val="169510AA"/>
    <w:rsid w:val="169A1CB5"/>
    <w:rsid w:val="169A3A63"/>
    <w:rsid w:val="16A13043"/>
    <w:rsid w:val="16AB3EC2"/>
    <w:rsid w:val="16AD6A01"/>
    <w:rsid w:val="16B34B25"/>
    <w:rsid w:val="16BB1024"/>
    <w:rsid w:val="16BD4D63"/>
    <w:rsid w:val="16C138E4"/>
    <w:rsid w:val="16C3745D"/>
    <w:rsid w:val="16C84A74"/>
    <w:rsid w:val="16C94348"/>
    <w:rsid w:val="16CC28AA"/>
    <w:rsid w:val="16CD3E38"/>
    <w:rsid w:val="16CE195E"/>
    <w:rsid w:val="16DE6045"/>
    <w:rsid w:val="16DF1467"/>
    <w:rsid w:val="16E4553A"/>
    <w:rsid w:val="16E86EC4"/>
    <w:rsid w:val="16ED0DD3"/>
    <w:rsid w:val="16F62EAB"/>
    <w:rsid w:val="16FA5928"/>
    <w:rsid w:val="16FC296F"/>
    <w:rsid w:val="16FD7459"/>
    <w:rsid w:val="16FF7D6A"/>
    <w:rsid w:val="1700420E"/>
    <w:rsid w:val="170A6E3A"/>
    <w:rsid w:val="17103100"/>
    <w:rsid w:val="171076EF"/>
    <w:rsid w:val="171E28E6"/>
    <w:rsid w:val="171F1033"/>
    <w:rsid w:val="171F188F"/>
    <w:rsid w:val="172717E1"/>
    <w:rsid w:val="1729459B"/>
    <w:rsid w:val="172D0D7B"/>
    <w:rsid w:val="172F66E9"/>
    <w:rsid w:val="17326754"/>
    <w:rsid w:val="173413FC"/>
    <w:rsid w:val="17345C65"/>
    <w:rsid w:val="17397720"/>
    <w:rsid w:val="173C0FBE"/>
    <w:rsid w:val="173F6D9A"/>
    <w:rsid w:val="174340FA"/>
    <w:rsid w:val="174560C4"/>
    <w:rsid w:val="17481711"/>
    <w:rsid w:val="174A5489"/>
    <w:rsid w:val="174B37CA"/>
    <w:rsid w:val="174C7453"/>
    <w:rsid w:val="175E5AAC"/>
    <w:rsid w:val="17620A24"/>
    <w:rsid w:val="17650515"/>
    <w:rsid w:val="17667DE9"/>
    <w:rsid w:val="176751E1"/>
    <w:rsid w:val="17680E4D"/>
    <w:rsid w:val="176C53FF"/>
    <w:rsid w:val="176D1177"/>
    <w:rsid w:val="1776627E"/>
    <w:rsid w:val="17780248"/>
    <w:rsid w:val="177B1AE6"/>
    <w:rsid w:val="177B3894"/>
    <w:rsid w:val="1780534F"/>
    <w:rsid w:val="178412FF"/>
    <w:rsid w:val="17896F4D"/>
    <w:rsid w:val="178D1819"/>
    <w:rsid w:val="178E3819"/>
    <w:rsid w:val="178F7340"/>
    <w:rsid w:val="17942BA8"/>
    <w:rsid w:val="179A3F69"/>
    <w:rsid w:val="179A70D0"/>
    <w:rsid w:val="179E1745"/>
    <w:rsid w:val="17A96897"/>
    <w:rsid w:val="17AC7EF2"/>
    <w:rsid w:val="17B60287"/>
    <w:rsid w:val="17B62B1E"/>
    <w:rsid w:val="17B80644"/>
    <w:rsid w:val="17B943BD"/>
    <w:rsid w:val="17BB0135"/>
    <w:rsid w:val="17BB1EE3"/>
    <w:rsid w:val="17C90AA4"/>
    <w:rsid w:val="17CF3BE0"/>
    <w:rsid w:val="17D3547E"/>
    <w:rsid w:val="17D631C0"/>
    <w:rsid w:val="17DE1C4B"/>
    <w:rsid w:val="17DF02C7"/>
    <w:rsid w:val="17DF76AA"/>
    <w:rsid w:val="17E05DED"/>
    <w:rsid w:val="17E07B9B"/>
    <w:rsid w:val="17E23913"/>
    <w:rsid w:val="17E72CD8"/>
    <w:rsid w:val="17F13B56"/>
    <w:rsid w:val="17F3167D"/>
    <w:rsid w:val="17F92A0B"/>
    <w:rsid w:val="17FE0021"/>
    <w:rsid w:val="180432D5"/>
    <w:rsid w:val="18073B0A"/>
    <w:rsid w:val="18117D55"/>
    <w:rsid w:val="181369CE"/>
    <w:rsid w:val="181451A4"/>
    <w:rsid w:val="181A5109"/>
    <w:rsid w:val="181D494B"/>
    <w:rsid w:val="181E2472"/>
    <w:rsid w:val="1820443C"/>
    <w:rsid w:val="1822649C"/>
    <w:rsid w:val="18274AB8"/>
    <w:rsid w:val="18281E46"/>
    <w:rsid w:val="18297794"/>
    <w:rsid w:val="182C4B8E"/>
    <w:rsid w:val="183D3240"/>
    <w:rsid w:val="184223AA"/>
    <w:rsid w:val="1844012A"/>
    <w:rsid w:val="18495740"/>
    <w:rsid w:val="1850428B"/>
    <w:rsid w:val="18585984"/>
    <w:rsid w:val="185A611B"/>
    <w:rsid w:val="185C36C6"/>
    <w:rsid w:val="185D743E"/>
    <w:rsid w:val="186127EB"/>
    <w:rsid w:val="18624A54"/>
    <w:rsid w:val="18697B91"/>
    <w:rsid w:val="186B51C2"/>
    <w:rsid w:val="18730A0F"/>
    <w:rsid w:val="18761EF4"/>
    <w:rsid w:val="18784278"/>
    <w:rsid w:val="187B0FCB"/>
    <w:rsid w:val="187C3D68"/>
    <w:rsid w:val="187D0F80"/>
    <w:rsid w:val="187D53EA"/>
    <w:rsid w:val="187F1162"/>
    <w:rsid w:val="188C387F"/>
    <w:rsid w:val="188D7D23"/>
    <w:rsid w:val="18910E95"/>
    <w:rsid w:val="18914D8B"/>
    <w:rsid w:val="189664AC"/>
    <w:rsid w:val="189866C8"/>
    <w:rsid w:val="189A2440"/>
    <w:rsid w:val="189A41EE"/>
    <w:rsid w:val="18A425E8"/>
    <w:rsid w:val="18A83389"/>
    <w:rsid w:val="18A92683"/>
    <w:rsid w:val="18BC72D1"/>
    <w:rsid w:val="18BD334C"/>
    <w:rsid w:val="18C179CD"/>
    <w:rsid w:val="18C4229C"/>
    <w:rsid w:val="18C6424A"/>
    <w:rsid w:val="18C70953"/>
    <w:rsid w:val="18D23988"/>
    <w:rsid w:val="18D254B5"/>
    <w:rsid w:val="18D47ED2"/>
    <w:rsid w:val="18DD69BB"/>
    <w:rsid w:val="18E13BCB"/>
    <w:rsid w:val="18E216F1"/>
    <w:rsid w:val="18E436BB"/>
    <w:rsid w:val="18E57B1D"/>
    <w:rsid w:val="18EA6B8F"/>
    <w:rsid w:val="18EB4A4A"/>
    <w:rsid w:val="18EE0313"/>
    <w:rsid w:val="18F25DD8"/>
    <w:rsid w:val="18FB670F"/>
    <w:rsid w:val="18FE29CF"/>
    <w:rsid w:val="18FF04F5"/>
    <w:rsid w:val="19030320"/>
    <w:rsid w:val="19070D5F"/>
    <w:rsid w:val="190A1374"/>
    <w:rsid w:val="190B14B4"/>
    <w:rsid w:val="19114D49"/>
    <w:rsid w:val="19153875"/>
    <w:rsid w:val="1917583F"/>
    <w:rsid w:val="191A0E8B"/>
    <w:rsid w:val="191E6BCD"/>
    <w:rsid w:val="191F64A1"/>
    <w:rsid w:val="1922294C"/>
    <w:rsid w:val="19243277"/>
    <w:rsid w:val="192532E1"/>
    <w:rsid w:val="192A5B1F"/>
    <w:rsid w:val="192D1C87"/>
    <w:rsid w:val="192D6E10"/>
    <w:rsid w:val="1935193C"/>
    <w:rsid w:val="193A32DB"/>
    <w:rsid w:val="193D1C1D"/>
    <w:rsid w:val="193D1FA8"/>
    <w:rsid w:val="19406B43"/>
    <w:rsid w:val="194505FE"/>
    <w:rsid w:val="19481E9C"/>
    <w:rsid w:val="194C5F25"/>
    <w:rsid w:val="194D1260"/>
    <w:rsid w:val="194F6D87"/>
    <w:rsid w:val="195B397D"/>
    <w:rsid w:val="195E346D"/>
    <w:rsid w:val="195F62A8"/>
    <w:rsid w:val="196A3F75"/>
    <w:rsid w:val="196A5AF1"/>
    <w:rsid w:val="196B253E"/>
    <w:rsid w:val="196E66EE"/>
    <w:rsid w:val="196F11D7"/>
    <w:rsid w:val="19702331"/>
    <w:rsid w:val="19793B44"/>
    <w:rsid w:val="19832ED4"/>
    <w:rsid w:val="19834C82"/>
    <w:rsid w:val="199069F8"/>
    <w:rsid w:val="1991338C"/>
    <w:rsid w:val="199D21E8"/>
    <w:rsid w:val="19A14FBB"/>
    <w:rsid w:val="19A221D2"/>
    <w:rsid w:val="19A24B2D"/>
    <w:rsid w:val="19A90A93"/>
    <w:rsid w:val="19AC41D9"/>
    <w:rsid w:val="19B337B9"/>
    <w:rsid w:val="19B968F6"/>
    <w:rsid w:val="19BB266E"/>
    <w:rsid w:val="19BC1F42"/>
    <w:rsid w:val="19C271C3"/>
    <w:rsid w:val="19C57049"/>
    <w:rsid w:val="19C71013"/>
    <w:rsid w:val="19CF6119"/>
    <w:rsid w:val="19D0293B"/>
    <w:rsid w:val="19D76D7C"/>
    <w:rsid w:val="19DD7B13"/>
    <w:rsid w:val="19DF45AE"/>
    <w:rsid w:val="19E576EB"/>
    <w:rsid w:val="19E75211"/>
    <w:rsid w:val="19EF2318"/>
    <w:rsid w:val="19F51C08"/>
    <w:rsid w:val="19F94D8C"/>
    <w:rsid w:val="1A057D8D"/>
    <w:rsid w:val="1A126F7E"/>
    <w:rsid w:val="1A134258"/>
    <w:rsid w:val="1A141D7E"/>
    <w:rsid w:val="1A14231F"/>
    <w:rsid w:val="1A15276B"/>
    <w:rsid w:val="1A165AF6"/>
    <w:rsid w:val="1A1678A4"/>
    <w:rsid w:val="1A175295"/>
    <w:rsid w:val="1A197394"/>
    <w:rsid w:val="1A2226ED"/>
    <w:rsid w:val="1A240213"/>
    <w:rsid w:val="1A255D39"/>
    <w:rsid w:val="1A264971"/>
    <w:rsid w:val="1A27385F"/>
    <w:rsid w:val="1A2C1768"/>
    <w:rsid w:val="1A3366A8"/>
    <w:rsid w:val="1A345F7C"/>
    <w:rsid w:val="1A404921"/>
    <w:rsid w:val="1A420699"/>
    <w:rsid w:val="1A45144E"/>
    <w:rsid w:val="1A46462D"/>
    <w:rsid w:val="1A4876EE"/>
    <w:rsid w:val="1A4A39F2"/>
    <w:rsid w:val="1A4B1C44"/>
    <w:rsid w:val="1A502A04"/>
    <w:rsid w:val="1A5605E9"/>
    <w:rsid w:val="1A5A742A"/>
    <w:rsid w:val="1A5B79AD"/>
    <w:rsid w:val="1A5D3725"/>
    <w:rsid w:val="1A62339C"/>
    <w:rsid w:val="1A626F8D"/>
    <w:rsid w:val="1A642D06"/>
    <w:rsid w:val="1A691D03"/>
    <w:rsid w:val="1A6B5E42"/>
    <w:rsid w:val="1A6C5716"/>
    <w:rsid w:val="1A705206"/>
    <w:rsid w:val="1A777C1A"/>
    <w:rsid w:val="1A7C004F"/>
    <w:rsid w:val="1A7D5B75"/>
    <w:rsid w:val="1A83297F"/>
    <w:rsid w:val="1A8E7D82"/>
    <w:rsid w:val="1A8F0784"/>
    <w:rsid w:val="1A976C37"/>
    <w:rsid w:val="1A9D1D74"/>
    <w:rsid w:val="1A9D7FC6"/>
    <w:rsid w:val="1A9F47A4"/>
    <w:rsid w:val="1AA01E65"/>
    <w:rsid w:val="1AA03612"/>
    <w:rsid w:val="1AA2382E"/>
    <w:rsid w:val="1AA35A1B"/>
    <w:rsid w:val="1AA475A6"/>
    <w:rsid w:val="1AA651F3"/>
    <w:rsid w:val="1AA66E7A"/>
    <w:rsid w:val="1AA72BF2"/>
    <w:rsid w:val="1AA81566"/>
    <w:rsid w:val="1AA8290F"/>
    <w:rsid w:val="1AA83101"/>
    <w:rsid w:val="1AAA20FA"/>
    <w:rsid w:val="1AAE5362"/>
    <w:rsid w:val="1AB1581F"/>
    <w:rsid w:val="1AB53561"/>
    <w:rsid w:val="1AB5530F"/>
    <w:rsid w:val="1ABC0493"/>
    <w:rsid w:val="1AC75042"/>
    <w:rsid w:val="1AC94917"/>
    <w:rsid w:val="1ACA1197"/>
    <w:rsid w:val="1ACE57E5"/>
    <w:rsid w:val="1ACE63D1"/>
    <w:rsid w:val="1AD03EF7"/>
    <w:rsid w:val="1AD25EC1"/>
    <w:rsid w:val="1AD87250"/>
    <w:rsid w:val="1AD94D9C"/>
    <w:rsid w:val="1AD95668"/>
    <w:rsid w:val="1ADA54C9"/>
    <w:rsid w:val="1ADD07B5"/>
    <w:rsid w:val="1ADE4866"/>
    <w:rsid w:val="1AE27135"/>
    <w:rsid w:val="1AE94FB9"/>
    <w:rsid w:val="1AED2CFB"/>
    <w:rsid w:val="1AF37BE5"/>
    <w:rsid w:val="1AF5570C"/>
    <w:rsid w:val="1AFC1190"/>
    <w:rsid w:val="1B0429E2"/>
    <w:rsid w:val="1B0911B7"/>
    <w:rsid w:val="1B0D6EF9"/>
    <w:rsid w:val="1B0F1F1D"/>
    <w:rsid w:val="1B120509"/>
    <w:rsid w:val="1B1210AC"/>
    <w:rsid w:val="1B195D05"/>
    <w:rsid w:val="1B1A33C4"/>
    <w:rsid w:val="1B375D24"/>
    <w:rsid w:val="1B3F2E2B"/>
    <w:rsid w:val="1B3F4857"/>
    <w:rsid w:val="1B3F531B"/>
    <w:rsid w:val="1B430B6D"/>
    <w:rsid w:val="1B481CDF"/>
    <w:rsid w:val="1B5B49C5"/>
    <w:rsid w:val="1B5E1503"/>
    <w:rsid w:val="1B612DA1"/>
    <w:rsid w:val="1B636B19"/>
    <w:rsid w:val="1B762CF0"/>
    <w:rsid w:val="1B7725C5"/>
    <w:rsid w:val="1B7A3E63"/>
    <w:rsid w:val="1B8026DE"/>
    <w:rsid w:val="1B83540D"/>
    <w:rsid w:val="1B8574EA"/>
    <w:rsid w:val="1B885E79"/>
    <w:rsid w:val="1B886580"/>
    <w:rsid w:val="1B8A054A"/>
    <w:rsid w:val="1B9273FE"/>
    <w:rsid w:val="1B985180"/>
    <w:rsid w:val="1BA61F99"/>
    <w:rsid w:val="1BA63860"/>
    <w:rsid w:val="1BAA0BEC"/>
    <w:rsid w:val="1BAD248A"/>
    <w:rsid w:val="1BB17F49"/>
    <w:rsid w:val="1BC51582"/>
    <w:rsid w:val="1BC7354C"/>
    <w:rsid w:val="1BC82E20"/>
    <w:rsid w:val="1BC872C4"/>
    <w:rsid w:val="1BCD314A"/>
    <w:rsid w:val="1BD00A77"/>
    <w:rsid w:val="1BD17F27"/>
    <w:rsid w:val="1BD7160F"/>
    <w:rsid w:val="1BD73422"/>
    <w:rsid w:val="1BD753C8"/>
    <w:rsid w:val="1BDE2644"/>
    <w:rsid w:val="1BE1234F"/>
    <w:rsid w:val="1BE22134"/>
    <w:rsid w:val="1BE337C6"/>
    <w:rsid w:val="1BE35EAC"/>
    <w:rsid w:val="1BE60E60"/>
    <w:rsid w:val="1BE77CE2"/>
    <w:rsid w:val="1BE834C2"/>
    <w:rsid w:val="1BEC6B0F"/>
    <w:rsid w:val="1BEF2AA3"/>
    <w:rsid w:val="1BF6798D"/>
    <w:rsid w:val="1BF956CF"/>
    <w:rsid w:val="1BF9747E"/>
    <w:rsid w:val="1BFB1A4D"/>
    <w:rsid w:val="1BFE6E89"/>
    <w:rsid w:val="1C01646B"/>
    <w:rsid w:val="1C0624A0"/>
    <w:rsid w:val="1C071B9A"/>
    <w:rsid w:val="1C091554"/>
    <w:rsid w:val="1C0C5403"/>
    <w:rsid w:val="1C0D7A6E"/>
    <w:rsid w:val="1C112A19"/>
    <w:rsid w:val="1C16002F"/>
    <w:rsid w:val="1C166281"/>
    <w:rsid w:val="1C170489"/>
    <w:rsid w:val="1C177904"/>
    <w:rsid w:val="1C185B56"/>
    <w:rsid w:val="1C1F5136"/>
    <w:rsid w:val="1C266D20"/>
    <w:rsid w:val="1C304E60"/>
    <w:rsid w:val="1C316C17"/>
    <w:rsid w:val="1C341BDE"/>
    <w:rsid w:val="1C3D2911"/>
    <w:rsid w:val="1C3D380E"/>
    <w:rsid w:val="1C3D736A"/>
    <w:rsid w:val="1C454285"/>
    <w:rsid w:val="1C485D0F"/>
    <w:rsid w:val="1C4A1A87"/>
    <w:rsid w:val="1C4E5A1B"/>
    <w:rsid w:val="1C4F35C3"/>
    <w:rsid w:val="1C5172BA"/>
    <w:rsid w:val="1C533A6E"/>
    <w:rsid w:val="1C53457D"/>
    <w:rsid w:val="1C5446B4"/>
    <w:rsid w:val="1C5648D0"/>
    <w:rsid w:val="1C5F19D6"/>
    <w:rsid w:val="1C625BDC"/>
    <w:rsid w:val="1C632B49"/>
    <w:rsid w:val="1C6609E7"/>
    <w:rsid w:val="1C662D65"/>
    <w:rsid w:val="1C6A3ED7"/>
    <w:rsid w:val="1C6E1C1A"/>
    <w:rsid w:val="1C6E7DE2"/>
    <w:rsid w:val="1C7031D6"/>
    <w:rsid w:val="1C7127AF"/>
    <w:rsid w:val="1C736D6C"/>
    <w:rsid w:val="1C752FA8"/>
    <w:rsid w:val="1C781F6F"/>
    <w:rsid w:val="1C7A05BE"/>
    <w:rsid w:val="1C7A627F"/>
    <w:rsid w:val="1C7D00AF"/>
    <w:rsid w:val="1C7F5C69"/>
    <w:rsid w:val="1C84143D"/>
    <w:rsid w:val="1C850D11"/>
    <w:rsid w:val="1C874A89"/>
    <w:rsid w:val="1C8C0350"/>
    <w:rsid w:val="1C8C5210"/>
    <w:rsid w:val="1C983F93"/>
    <w:rsid w:val="1C9F1DD3"/>
    <w:rsid w:val="1CA1189D"/>
    <w:rsid w:val="1CB05D8E"/>
    <w:rsid w:val="1CB3587E"/>
    <w:rsid w:val="1CB813EC"/>
    <w:rsid w:val="1CBB78C2"/>
    <w:rsid w:val="1CC16977"/>
    <w:rsid w:val="1CC23D13"/>
    <w:rsid w:val="1CC96E50"/>
    <w:rsid w:val="1CC97FC1"/>
    <w:rsid w:val="1CCD2AC2"/>
    <w:rsid w:val="1CD51C99"/>
    <w:rsid w:val="1CD778A6"/>
    <w:rsid w:val="1CDC3027"/>
    <w:rsid w:val="1CDD0B4D"/>
    <w:rsid w:val="1CE247F8"/>
    <w:rsid w:val="1CEC2B3E"/>
    <w:rsid w:val="1CF10155"/>
    <w:rsid w:val="1CF24FB3"/>
    <w:rsid w:val="1CF30371"/>
    <w:rsid w:val="1CFA7DF1"/>
    <w:rsid w:val="1CFE41B2"/>
    <w:rsid w:val="1CFF2872"/>
    <w:rsid w:val="1D022362"/>
    <w:rsid w:val="1D0460DA"/>
    <w:rsid w:val="1D085BCA"/>
    <w:rsid w:val="1D0B577E"/>
    <w:rsid w:val="1D0B6873"/>
    <w:rsid w:val="1D0E6F59"/>
    <w:rsid w:val="1D13456F"/>
    <w:rsid w:val="1D181383"/>
    <w:rsid w:val="1D18217A"/>
    <w:rsid w:val="1D1B6AD7"/>
    <w:rsid w:val="1D1D719C"/>
    <w:rsid w:val="1D217386"/>
    <w:rsid w:val="1D21777C"/>
    <w:rsid w:val="1D271DC8"/>
    <w:rsid w:val="1D274047"/>
    <w:rsid w:val="1D28001A"/>
    <w:rsid w:val="1D2F75FB"/>
    <w:rsid w:val="1D32554B"/>
    <w:rsid w:val="1D327A8F"/>
    <w:rsid w:val="1D33076D"/>
    <w:rsid w:val="1D3369BF"/>
    <w:rsid w:val="1D351321"/>
    <w:rsid w:val="1D352737"/>
    <w:rsid w:val="1D367051"/>
    <w:rsid w:val="1D491D3F"/>
    <w:rsid w:val="1D4E2B9D"/>
    <w:rsid w:val="1D4E37F9"/>
    <w:rsid w:val="1D4F0D6D"/>
    <w:rsid w:val="1D552DD9"/>
    <w:rsid w:val="1D577F0B"/>
    <w:rsid w:val="1D5C47CB"/>
    <w:rsid w:val="1D646B79"/>
    <w:rsid w:val="1D6A09E2"/>
    <w:rsid w:val="1D6E79F7"/>
    <w:rsid w:val="1D6F5C49"/>
    <w:rsid w:val="1D792624"/>
    <w:rsid w:val="1D8148D9"/>
    <w:rsid w:val="1D8350FA"/>
    <w:rsid w:val="1D847DE2"/>
    <w:rsid w:val="1D880AB9"/>
    <w:rsid w:val="1D886D0B"/>
    <w:rsid w:val="1D8B7156"/>
    <w:rsid w:val="1D905BC0"/>
    <w:rsid w:val="1D9236E6"/>
    <w:rsid w:val="1D994A74"/>
    <w:rsid w:val="1D9B4C90"/>
    <w:rsid w:val="1D9D05AE"/>
    <w:rsid w:val="1D9E02DC"/>
    <w:rsid w:val="1DA13929"/>
    <w:rsid w:val="1DA90A2F"/>
    <w:rsid w:val="1DAD6772"/>
    <w:rsid w:val="1DB45D52"/>
    <w:rsid w:val="1DB83C85"/>
    <w:rsid w:val="1DBC4C07"/>
    <w:rsid w:val="1DBC69B5"/>
    <w:rsid w:val="1DC1221D"/>
    <w:rsid w:val="1DC31AF1"/>
    <w:rsid w:val="1DC51D0D"/>
    <w:rsid w:val="1DC55869"/>
    <w:rsid w:val="1DCB6BF8"/>
    <w:rsid w:val="1DCD471E"/>
    <w:rsid w:val="1DDE1D27"/>
    <w:rsid w:val="1DDE692B"/>
    <w:rsid w:val="1DE2466D"/>
    <w:rsid w:val="1DED55CE"/>
    <w:rsid w:val="1DED6B6E"/>
    <w:rsid w:val="1DF07C0D"/>
    <w:rsid w:val="1DF45E11"/>
    <w:rsid w:val="1DF93765"/>
    <w:rsid w:val="1DFF0E78"/>
    <w:rsid w:val="1E05210A"/>
    <w:rsid w:val="1E0A3BC4"/>
    <w:rsid w:val="1E0F11DA"/>
    <w:rsid w:val="1E110AAE"/>
    <w:rsid w:val="1E162569"/>
    <w:rsid w:val="1E1660C5"/>
    <w:rsid w:val="1E197963"/>
    <w:rsid w:val="1E1A7CF8"/>
    <w:rsid w:val="1E1B278E"/>
    <w:rsid w:val="1E1D38F7"/>
    <w:rsid w:val="1E236165"/>
    <w:rsid w:val="1E360515"/>
    <w:rsid w:val="1E383534"/>
    <w:rsid w:val="1E390D4A"/>
    <w:rsid w:val="1E3B5B2B"/>
    <w:rsid w:val="1E42335E"/>
    <w:rsid w:val="1E45337F"/>
    <w:rsid w:val="1E496186"/>
    <w:rsid w:val="1E4A5D6E"/>
    <w:rsid w:val="1E4D585F"/>
    <w:rsid w:val="1E4E3AB1"/>
    <w:rsid w:val="1E5170FD"/>
    <w:rsid w:val="1E537319"/>
    <w:rsid w:val="1E54391F"/>
    <w:rsid w:val="1E5730FC"/>
    <w:rsid w:val="1E5B309D"/>
    <w:rsid w:val="1E634270"/>
    <w:rsid w:val="1E676920"/>
    <w:rsid w:val="1E6A6411"/>
    <w:rsid w:val="1E731769"/>
    <w:rsid w:val="1E733517"/>
    <w:rsid w:val="1E740728"/>
    <w:rsid w:val="1E780A1D"/>
    <w:rsid w:val="1E803E86"/>
    <w:rsid w:val="1E805C34"/>
    <w:rsid w:val="1E85149C"/>
    <w:rsid w:val="1E875215"/>
    <w:rsid w:val="1E8B037B"/>
    <w:rsid w:val="1E8E0351"/>
    <w:rsid w:val="1E8E3FD5"/>
    <w:rsid w:val="1E8E7BF8"/>
    <w:rsid w:val="1E8F40C9"/>
    <w:rsid w:val="1E984D2C"/>
    <w:rsid w:val="1E98672C"/>
    <w:rsid w:val="1E9D2342"/>
    <w:rsid w:val="1E9F430C"/>
    <w:rsid w:val="1EA129C4"/>
    <w:rsid w:val="1EA6112A"/>
    <w:rsid w:val="1EA638ED"/>
    <w:rsid w:val="1EA71A56"/>
    <w:rsid w:val="1EA77665"/>
    <w:rsid w:val="1EA97761"/>
    <w:rsid w:val="1EAA4901"/>
    <w:rsid w:val="1EAB487F"/>
    <w:rsid w:val="1EAC4C7B"/>
    <w:rsid w:val="1EAC6036"/>
    <w:rsid w:val="1EAF02C7"/>
    <w:rsid w:val="1EAF2075"/>
    <w:rsid w:val="1EB12291"/>
    <w:rsid w:val="1EBB4E5F"/>
    <w:rsid w:val="1EC023DA"/>
    <w:rsid w:val="1EC4105D"/>
    <w:rsid w:val="1ECA3667"/>
    <w:rsid w:val="1ECC70CB"/>
    <w:rsid w:val="1ED16490"/>
    <w:rsid w:val="1ED63AA6"/>
    <w:rsid w:val="1ED80DA0"/>
    <w:rsid w:val="1ED815CE"/>
    <w:rsid w:val="1EE566E6"/>
    <w:rsid w:val="1EE91A2B"/>
    <w:rsid w:val="1EEE2B9E"/>
    <w:rsid w:val="1EF30354"/>
    <w:rsid w:val="1EF36406"/>
    <w:rsid w:val="1EF53F2C"/>
    <w:rsid w:val="1EF74148"/>
    <w:rsid w:val="1EFF0DB6"/>
    <w:rsid w:val="1F05326D"/>
    <w:rsid w:val="1F0E4783"/>
    <w:rsid w:val="1F132604"/>
    <w:rsid w:val="1F134CFA"/>
    <w:rsid w:val="1F15637C"/>
    <w:rsid w:val="1F182311"/>
    <w:rsid w:val="1F1A7E37"/>
    <w:rsid w:val="1F1C595D"/>
    <w:rsid w:val="1F201971"/>
    <w:rsid w:val="1F240CB5"/>
    <w:rsid w:val="1F262338"/>
    <w:rsid w:val="1F2962CC"/>
    <w:rsid w:val="1F2E3B32"/>
    <w:rsid w:val="1F387B22"/>
    <w:rsid w:val="1F3A2287"/>
    <w:rsid w:val="1F3A4035"/>
    <w:rsid w:val="1F3C0F4E"/>
    <w:rsid w:val="1F3C1B5B"/>
    <w:rsid w:val="1F3E1D77"/>
    <w:rsid w:val="1F3F5AEF"/>
    <w:rsid w:val="1F4434DB"/>
    <w:rsid w:val="1F464788"/>
    <w:rsid w:val="1F4A04DC"/>
    <w:rsid w:val="1F4B6242"/>
    <w:rsid w:val="1F4F737C"/>
    <w:rsid w:val="1F51312D"/>
    <w:rsid w:val="1F5918E2"/>
    <w:rsid w:val="1F5A0233"/>
    <w:rsid w:val="1F5A46D7"/>
    <w:rsid w:val="1F5B3DA1"/>
    <w:rsid w:val="1F5B5BD2"/>
    <w:rsid w:val="1F5E5F75"/>
    <w:rsid w:val="1F6248E3"/>
    <w:rsid w:val="1F62533A"/>
    <w:rsid w:val="1F63358C"/>
    <w:rsid w:val="1F67366F"/>
    <w:rsid w:val="1F69491A"/>
    <w:rsid w:val="1F6A28DC"/>
    <w:rsid w:val="1F6A5394"/>
    <w:rsid w:val="1F6E46E2"/>
    <w:rsid w:val="1F723463"/>
    <w:rsid w:val="1F737547"/>
    <w:rsid w:val="1F75781C"/>
    <w:rsid w:val="1F764D61"/>
    <w:rsid w:val="1F7A4CD2"/>
    <w:rsid w:val="1F894B30"/>
    <w:rsid w:val="1F8F25D3"/>
    <w:rsid w:val="1F923E71"/>
    <w:rsid w:val="1F9C4CF0"/>
    <w:rsid w:val="1F9E2816"/>
    <w:rsid w:val="1F9E4B31"/>
    <w:rsid w:val="1FA04A70"/>
    <w:rsid w:val="1FA07FCE"/>
    <w:rsid w:val="1FA63478"/>
    <w:rsid w:val="1FA8420B"/>
    <w:rsid w:val="1FAD0CAB"/>
    <w:rsid w:val="1FAE6DFA"/>
    <w:rsid w:val="1FB13DEF"/>
    <w:rsid w:val="1FB21DE6"/>
    <w:rsid w:val="1FBF453A"/>
    <w:rsid w:val="1FC85AE5"/>
    <w:rsid w:val="1FD43E7B"/>
    <w:rsid w:val="1FDA1374"/>
    <w:rsid w:val="1FDB75C6"/>
    <w:rsid w:val="1FDE0E64"/>
    <w:rsid w:val="1FE346CD"/>
    <w:rsid w:val="1FE50445"/>
    <w:rsid w:val="1FE6738B"/>
    <w:rsid w:val="1FE817B6"/>
    <w:rsid w:val="1FF03839"/>
    <w:rsid w:val="1FF03DF1"/>
    <w:rsid w:val="1FF93815"/>
    <w:rsid w:val="1FF95C9E"/>
    <w:rsid w:val="1FFB7C68"/>
    <w:rsid w:val="1FFE5062"/>
    <w:rsid w:val="1FFF46FA"/>
    <w:rsid w:val="20012DA5"/>
    <w:rsid w:val="20020C86"/>
    <w:rsid w:val="20052895"/>
    <w:rsid w:val="200563F1"/>
    <w:rsid w:val="20084133"/>
    <w:rsid w:val="200F04DE"/>
    <w:rsid w:val="20104D96"/>
    <w:rsid w:val="20196340"/>
    <w:rsid w:val="20250841"/>
    <w:rsid w:val="2027280B"/>
    <w:rsid w:val="20284E76"/>
    <w:rsid w:val="202A1117"/>
    <w:rsid w:val="202E28ED"/>
    <w:rsid w:val="20337402"/>
    <w:rsid w:val="20360CA0"/>
    <w:rsid w:val="203647FC"/>
    <w:rsid w:val="20370574"/>
    <w:rsid w:val="20384A18"/>
    <w:rsid w:val="203A17C4"/>
    <w:rsid w:val="203B492A"/>
    <w:rsid w:val="203B62B7"/>
    <w:rsid w:val="203D202F"/>
    <w:rsid w:val="203D47A2"/>
    <w:rsid w:val="204038CD"/>
    <w:rsid w:val="204249BD"/>
    <w:rsid w:val="204A1B29"/>
    <w:rsid w:val="204A474C"/>
    <w:rsid w:val="20556D26"/>
    <w:rsid w:val="20564E9E"/>
    <w:rsid w:val="20580C17"/>
    <w:rsid w:val="2061066F"/>
    <w:rsid w:val="206A7C4B"/>
    <w:rsid w:val="206F5F60"/>
    <w:rsid w:val="20717F2A"/>
    <w:rsid w:val="20727B38"/>
    <w:rsid w:val="20784E15"/>
    <w:rsid w:val="207B2B57"/>
    <w:rsid w:val="208512E0"/>
    <w:rsid w:val="208A20C3"/>
    <w:rsid w:val="208B6EA4"/>
    <w:rsid w:val="208C7076"/>
    <w:rsid w:val="209459C7"/>
    <w:rsid w:val="2096173F"/>
    <w:rsid w:val="209634ED"/>
    <w:rsid w:val="20991A02"/>
    <w:rsid w:val="209A70CB"/>
    <w:rsid w:val="209C52AF"/>
    <w:rsid w:val="209C7AB4"/>
    <w:rsid w:val="20A35C0A"/>
    <w:rsid w:val="20A53730"/>
    <w:rsid w:val="20A7394C"/>
    <w:rsid w:val="20A8372A"/>
    <w:rsid w:val="20AD0837"/>
    <w:rsid w:val="20B0021E"/>
    <w:rsid w:val="20B56069"/>
    <w:rsid w:val="20B97BAD"/>
    <w:rsid w:val="20BE1B02"/>
    <w:rsid w:val="20BE47F2"/>
    <w:rsid w:val="20C77B4A"/>
    <w:rsid w:val="20D504B9"/>
    <w:rsid w:val="20D63A5F"/>
    <w:rsid w:val="20DA5ACF"/>
    <w:rsid w:val="20DE50E9"/>
    <w:rsid w:val="20E701EC"/>
    <w:rsid w:val="20EC200E"/>
    <w:rsid w:val="20EC77BF"/>
    <w:rsid w:val="20F16975"/>
    <w:rsid w:val="20FA1CCE"/>
    <w:rsid w:val="210F3E64"/>
    <w:rsid w:val="211023E9"/>
    <w:rsid w:val="21103DA4"/>
    <w:rsid w:val="21134B3E"/>
    <w:rsid w:val="211803A6"/>
    <w:rsid w:val="211A411E"/>
    <w:rsid w:val="211B54B7"/>
    <w:rsid w:val="211D59BC"/>
    <w:rsid w:val="211F1734"/>
    <w:rsid w:val="21224BCD"/>
    <w:rsid w:val="21274A8D"/>
    <w:rsid w:val="212D1D86"/>
    <w:rsid w:val="21303941"/>
    <w:rsid w:val="213179AF"/>
    <w:rsid w:val="21352D06"/>
    <w:rsid w:val="213571AA"/>
    <w:rsid w:val="213B674E"/>
    <w:rsid w:val="214178FD"/>
    <w:rsid w:val="214557F9"/>
    <w:rsid w:val="21463165"/>
    <w:rsid w:val="214E3DC8"/>
    <w:rsid w:val="21555156"/>
    <w:rsid w:val="215D7A1F"/>
    <w:rsid w:val="216435EB"/>
    <w:rsid w:val="216D06F2"/>
    <w:rsid w:val="21731A80"/>
    <w:rsid w:val="217575A6"/>
    <w:rsid w:val="2177331E"/>
    <w:rsid w:val="217F21D3"/>
    <w:rsid w:val="21817CF9"/>
    <w:rsid w:val="21852D0F"/>
    <w:rsid w:val="21874937"/>
    <w:rsid w:val="21881B1F"/>
    <w:rsid w:val="2188552B"/>
    <w:rsid w:val="218B6DCA"/>
    <w:rsid w:val="2190618E"/>
    <w:rsid w:val="2194692A"/>
    <w:rsid w:val="2197751D"/>
    <w:rsid w:val="219928C4"/>
    <w:rsid w:val="21997739"/>
    <w:rsid w:val="219A700D"/>
    <w:rsid w:val="21A133C6"/>
    <w:rsid w:val="21A25EC1"/>
    <w:rsid w:val="21A32365"/>
    <w:rsid w:val="21A734D8"/>
    <w:rsid w:val="21A954A2"/>
    <w:rsid w:val="21A95D67"/>
    <w:rsid w:val="21AD026C"/>
    <w:rsid w:val="21B24356"/>
    <w:rsid w:val="21B26104"/>
    <w:rsid w:val="21B300CF"/>
    <w:rsid w:val="21BA145D"/>
    <w:rsid w:val="21BA76AF"/>
    <w:rsid w:val="21BC3427"/>
    <w:rsid w:val="21C36564"/>
    <w:rsid w:val="21C978F2"/>
    <w:rsid w:val="21CB18BC"/>
    <w:rsid w:val="21CB71C6"/>
    <w:rsid w:val="21D13B52"/>
    <w:rsid w:val="21D342CD"/>
    <w:rsid w:val="21D40F55"/>
    <w:rsid w:val="21DC7625"/>
    <w:rsid w:val="21DE514B"/>
    <w:rsid w:val="21E464DA"/>
    <w:rsid w:val="21E73CD7"/>
    <w:rsid w:val="21E90CBF"/>
    <w:rsid w:val="21F030D1"/>
    <w:rsid w:val="21F16D6B"/>
    <w:rsid w:val="21F42BC1"/>
    <w:rsid w:val="21F901D7"/>
    <w:rsid w:val="21F92CFC"/>
    <w:rsid w:val="21FF3314"/>
    <w:rsid w:val="22094BEE"/>
    <w:rsid w:val="220B1F99"/>
    <w:rsid w:val="220D77DF"/>
    <w:rsid w:val="220E74E3"/>
    <w:rsid w:val="22111F78"/>
    <w:rsid w:val="2212609E"/>
    <w:rsid w:val="2217065D"/>
    <w:rsid w:val="221E0366"/>
    <w:rsid w:val="222A65E3"/>
    <w:rsid w:val="22300005"/>
    <w:rsid w:val="22347461"/>
    <w:rsid w:val="223631D9"/>
    <w:rsid w:val="223D532F"/>
    <w:rsid w:val="22402513"/>
    <w:rsid w:val="224B3F25"/>
    <w:rsid w:val="224B4355"/>
    <w:rsid w:val="22521696"/>
    <w:rsid w:val="22557CBE"/>
    <w:rsid w:val="22561186"/>
    <w:rsid w:val="225A1E96"/>
    <w:rsid w:val="225B374B"/>
    <w:rsid w:val="225C2514"/>
    <w:rsid w:val="225D0766"/>
    <w:rsid w:val="225E2011"/>
    <w:rsid w:val="2268499D"/>
    <w:rsid w:val="226A2E83"/>
    <w:rsid w:val="226C1F27"/>
    <w:rsid w:val="22717D6E"/>
    <w:rsid w:val="227930C6"/>
    <w:rsid w:val="22813D29"/>
    <w:rsid w:val="228A146E"/>
    <w:rsid w:val="228C5935"/>
    <w:rsid w:val="22993768"/>
    <w:rsid w:val="22A435F4"/>
    <w:rsid w:val="22A46E9A"/>
    <w:rsid w:val="22A5210D"/>
    <w:rsid w:val="22A9341F"/>
    <w:rsid w:val="22A939AB"/>
    <w:rsid w:val="22AA2EA9"/>
    <w:rsid w:val="22AC349C"/>
    <w:rsid w:val="22AD4B1E"/>
    <w:rsid w:val="22B05B02"/>
    <w:rsid w:val="22B12349"/>
    <w:rsid w:val="22B12860"/>
    <w:rsid w:val="22B1460E"/>
    <w:rsid w:val="22B365D8"/>
    <w:rsid w:val="22B45EAC"/>
    <w:rsid w:val="22B609C5"/>
    <w:rsid w:val="22BD193D"/>
    <w:rsid w:val="22BD7457"/>
    <w:rsid w:val="22BF55D4"/>
    <w:rsid w:val="22C14B06"/>
    <w:rsid w:val="22C37E78"/>
    <w:rsid w:val="22C97BAA"/>
    <w:rsid w:val="22CE3412"/>
    <w:rsid w:val="22CF718A"/>
    <w:rsid w:val="22D30A28"/>
    <w:rsid w:val="22D95913"/>
    <w:rsid w:val="22DE333F"/>
    <w:rsid w:val="22DF561F"/>
    <w:rsid w:val="22E20C6B"/>
    <w:rsid w:val="22E569AE"/>
    <w:rsid w:val="22E9024C"/>
    <w:rsid w:val="22EC1AEA"/>
    <w:rsid w:val="22EE5862"/>
    <w:rsid w:val="22F2630E"/>
    <w:rsid w:val="22F340D5"/>
    <w:rsid w:val="22F62969"/>
    <w:rsid w:val="22F8048F"/>
    <w:rsid w:val="22F8223D"/>
    <w:rsid w:val="22FD5745"/>
    <w:rsid w:val="22FE4775"/>
    <w:rsid w:val="2300417F"/>
    <w:rsid w:val="2302130E"/>
    <w:rsid w:val="2305229D"/>
    <w:rsid w:val="23076924"/>
    <w:rsid w:val="230D19C6"/>
    <w:rsid w:val="23111551"/>
    <w:rsid w:val="231223A3"/>
    <w:rsid w:val="231A1284"/>
    <w:rsid w:val="231F3C6E"/>
    <w:rsid w:val="23220535"/>
    <w:rsid w:val="2338088B"/>
    <w:rsid w:val="233839D3"/>
    <w:rsid w:val="233935B6"/>
    <w:rsid w:val="233A2855"/>
    <w:rsid w:val="233F57D6"/>
    <w:rsid w:val="233F6965"/>
    <w:rsid w:val="23445482"/>
    <w:rsid w:val="234731C4"/>
    <w:rsid w:val="235356C5"/>
    <w:rsid w:val="23582CDC"/>
    <w:rsid w:val="2358717F"/>
    <w:rsid w:val="235A2EF8"/>
    <w:rsid w:val="235B65DB"/>
    <w:rsid w:val="23611157"/>
    <w:rsid w:val="236A1CB7"/>
    <w:rsid w:val="236A7DC3"/>
    <w:rsid w:val="236F7A2E"/>
    <w:rsid w:val="23721DF1"/>
    <w:rsid w:val="2375388E"/>
    <w:rsid w:val="2378512C"/>
    <w:rsid w:val="237E326C"/>
    <w:rsid w:val="237E5715"/>
    <w:rsid w:val="23810484"/>
    <w:rsid w:val="23844CE3"/>
    <w:rsid w:val="238735C1"/>
    <w:rsid w:val="23887A65"/>
    <w:rsid w:val="238910E7"/>
    <w:rsid w:val="238E2BA1"/>
    <w:rsid w:val="238F0949"/>
    <w:rsid w:val="238F5641"/>
    <w:rsid w:val="23931F66"/>
    <w:rsid w:val="2394382A"/>
    <w:rsid w:val="23953F30"/>
    <w:rsid w:val="23971A56"/>
    <w:rsid w:val="239D2DE4"/>
    <w:rsid w:val="239E036F"/>
    <w:rsid w:val="239F090A"/>
    <w:rsid w:val="23A83C63"/>
    <w:rsid w:val="23AA56D9"/>
    <w:rsid w:val="23AE4FF1"/>
    <w:rsid w:val="23B95E70"/>
    <w:rsid w:val="23BF0FAD"/>
    <w:rsid w:val="23C009D7"/>
    <w:rsid w:val="23C40371"/>
    <w:rsid w:val="23C677EE"/>
    <w:rsid w:val="23CE2F9E"/>
    <w:rsid w:val="23D17D47"/>
    <w:rsid w:val="23D305B4"/>
    <w:rsid w:val="23DD1433"/>
    <w:rsid w:val="23DE51D3"/>
    <w:rsid w:val="23E2095D"/>
    <w:rsid w:val="23E26A49"/>
    <w:rsid w:val="23E6478B"/>
    <w:rsid w:val="23EC436E"/>
    <w:rsid w:val="23EE5E9E"/>
    <w:rsid w:val="23F25748"/>
    <w:rsid w:val="23F46EA8"/>
    <w:rsid w:val="23F70746"/>
    <w:rsid w:val="23F74AC0"/>
    <w:rsid w:val="23F92711"/>
    <w:rsid w:val="23F944BF"/>
    <w:rsid w:val="23FB580D"/>
    <w:rsid w:val="240510B5"/>
    <w:rsid w:val="24055D2E"/>
    <w:rsid w:val="2406098A"/>
    <w:rsid w:val="240B578F"/>
    <w:rsid w:val="240F221C"/>
    <w:rsid w:val="241035B6"/>
    <w:rsid w:val="24150BCD"/>
    <w:rsid w:val="24156E1F"/>
    <w:rsid w:val="241F2644"/>
    <w:rsid w:val="24225D11"/>
    <w:rsid w:val="24262DDA"/>
    <w:rsid w:val="24277076"/>
    <w:rsid w:val="24287A50"/>
    <w:rsid w:val="24297D2D"/>
    <w:rsid w:val="242B219E"/>
    <w:rsid w:val="242B31BC"/>
    <w:rsid w:val="24342863"/>
    <w:rsid w:val="24373B84"/>
    <w:rsid w:val="243B6039"/>
    <w:rsid w:val="2443398C"/>
    <w:rsid w:val="24482B68"/>
    <w:rsid w:val="244871F4"/>
    <w:rsid w:val="244D0366"/>
    <w:rsid w:val="244D480A"/>
    <w:rsid w:val="24545B99"/>
    <w:rsid w:val="245862FC"/>
    <w:rsid w:val="2460453E"/>
    <w:rsid w:val="24665F23"/>
    <w:rsid w:val="246758CC"/>
    <w:rsid w:val="24681644"/>
    <w:rsid w:val="24743B45"/>
    <w:rsid w:val="24863878"/>
    <w:rsid w:val="2488261A"/>
    <w:rsid w:val="248A5117"/>
    <w:rsid w:val="248F6BD1"/>
    <w:rsid w:val="2492589E"/>
    <w:rsid w:val="24961D0D"/>
    <w:rsid w:val="24973CD7"/>
    <w:rsid w:val="249C40A0"/>
    <w:rsid w:val="24A0493A"/>
    <w:rsid w:val="24A106B2"/>
    <w:rsid w:val="24A563F4"/>
    <w:rsid w:val="24A65CC9"/>
    <w:rsid w:val="24A84AD4"/>
    <w:rsid w:val="24A87C93"/>
    <w:rsid w:val="24AA3A0B"/>
    <w:rsid w:val="24AB32DF"/>
    <w:rsid w:val="24AD52A9"/>
    <w:rsid w:val="24B16B47"/>
    <w:rsid w:val="24B623B0"/>
    <w:rsid w:val="24B73A69"/>
    <w:rsid w:val="24B93C4E"/>
    <w:rsid w:val="24B959FC"/>
    <w:rsid w:val="24BA4692"/>
    <w:rsid w:val="24BD3167"/>
    <w:rsid w:val="24BE3012"/>
    <w:rsid w:val="24C21476"/>
    <w:rsid w:val="24C70119"/>
    <w:rsid w:val="24C91D9F"/>
    <w:rsid w:val="24C97AF0"/>
    <w:rsid w:val="24CD76F9"/>
    <w:rsid w:val="24CF6FCD"/>
    <w:rsid w:val="24D40A88"/>
    <w:rsid w:val="24D42D13"/>
    <w:rsid w:val="24D64800"/>
    <w:rsid w:val="24DB180E"/>
    <w:rsid w:val="24DB3BC4"/>
    <w:rsid w:val="24DC16EA"/>
    <w:rsid w:val="24DF0092"/>
    <w:rsid w:val="24E46F1D"/>
    <w:rsid w:val="24E719B7"/>
    <w:rsid w:val="24E76A0D"/>
    <w:rsid w:val="24EA02AB"/>
    <w:rsid w:val="24EB2987"/>
    <w:rsid w:val="24ED1483"/>
    <w:rsid w:val="24F6596A"/>
    <w:rsid w:val="24F84776"/>
    <w:rsid w:val="25003F5E"/>
    <w:rsid w:val="250273A3"/>
    <w:rsid w:val="25034EC9"/>
    <w:rsid w:val="250749B9"/>
    <w:rsid w:val="2519649B"/>
    <w:rsid w:val="25201F1F"/>
    <w:rsid w:val="25203CCD"/>
    <w:rsid w:val="252065D9"/>
    <w:rsid w:val="25284930"/>
    <w:rsid w:val="25290DD3"/>
    <w:rsid w:val="252D7B52"/>
    <w:rsid w:val="253661C7"/>
    <w:rsid w:val="25366B26"/>
    <w:rsid w:val="2536704D"/>
    <w:rsid w:val="253F23A5"/>
    <w:rsid w:val="25407454"/>
    <w:rsid w:val="25423362"/>
    <w:rsid w:val="254A2AF8"/>
    <w:rsid w:val="254E25E8"/>
    <w:rsid w:val="255319AC"/>
    <w:rsid w:val="255816B9"/>
    <w:rsid w:val="255B2F57"/>
    <w:rsid w:val="256C0CC0"/>
    <w:rsid w:val="256C5463"/>
    <w:rsid w:val="256E7B84"/>
    <w:rsid w:val="25783B09"/>
    <w:rsid w:val="257D0543"/>
    <w:rsid w:val="2580476C"/>
    <w:rsid w:val="2584600A"/>
    <w:rsid w:val="258E4132"/>
    <w:rsid w:val="25951FC5"/>
    <w:rsid w:val="25970FBB"/>
    <w:rsid w:val="25974673"/>
    <w:rsid w:val="259758A2"/>
    <w:rsid w:val="25976058"/>
    <w:rsid w:val="259C77F7"/>
    <w:rsid w:val="25A20B86"/>
    <w:rsid w:val="25A62424"/>
    <w:rsid w:val="25A71CF8"/>
    <w:rsid w:val="25AD78E2"/>
    <w:rsid w:val="25AE2533"/>
    <w:rsid w:val="25AE752B"/>
    <w:rsid w:val="25B07C96"/>
    <w:rsid w:val="25B20DC9"/>
    <w:rsid w:val="25B75409"/>
    <w:rsid w:val="25BF7042"/>
    <w:rsid w:val="25C01E11"/>
    <w:rsid w:val="25C24258"/>
    <w:rsid w:val="25C603D0"/>
    <w:rsid w:val="25C63A63"/>
    <w:rsid w:val="25CA35FC"/>
    <w:rsid w:val="25CD5C03"/>
    <w:rsid w:val="25D36F91"/>
    <w:rsid w:val="25E1345C"/>
    <w:rsid w:val="25E1520A"/>
    <w:rsid w:val="25E600BA"/>
    <w:rsid w:val="25F7199C"/>
    <w:rsid w:val="25F81E76"/>
    <w:rsid w:val="25FB0004"/>
    <w:rsid w:val="25FD5DBC"/>
    <w:rsid w:val="260115B9"/>
    <w:rsid w:val="260809E9"/>
    <w:rsid w:val="260A59DD"/>
    <w:rsid w:val="26153106"/>
    <w:rsid w:val="261750D0"/>
    <w:rsid w:val="261A071C"/>
    <w:rsid w:val="261D0995"/>
    <w:rsid w:val="261F3F85"/>
    <w:rsid w:val="262477ED"/>
    <w:rsid w:val="26265313"/>
    <w:rsid w:val="26274F05"/>
    <w:rsid w:val="262B2929"/>
    <w:rsid w:val="262C7CFC"/>
    <w:rsid w:val="262E5338"/>
    <w:rsid w:val="263C73D4"/>
    <w:rsid w:val="26404627"/>
    <w:rsid w:val="26437C73"/>
    <w:rsid w:val="2650413E"/>
    <w:rsid w:val="265532A2"/>
    <w:rsid w:val="265B3BA9"/>
    <w:rsid w:val="265E4AAD"/>
    <w:rsid w:val="26647BE9"/>
    <w:rsid w:val="26663961"/>
    <w:rsid w:val="26697779"/>
    <w:rsid w:val="266A0072"/>
    <w:rsid w:val="26711E5F"/>
    <w:rsid w:val="26714DD0"/>
    <w:rsid w:val="26836D32"/>
    <w:rsid w:val="2685203A"/>
    <w:rsid w:val="268C786C"/>
    <w:rsid w:val="268D39A6"/>
    <w:rsid w:val="268D5392"/>
    <w:rsid w:val="268D7918"/>
    <w:rsid w:val="26926505"/>
    <w:rsid w:val="26937225"/>
    <w:rsid w:val="26946721"/>
    <w:rsid w:val="269C3827"/>
    <w:rsid w:val="26A03AC4"/>
    <w:rsid w:val="26A440C8"/>
    <w:rsid w:val="26A460DD"/>
    <w:rsid w:val="26B01FDB"/>
    <w:rsid w:val="26B4291F"/>
    <w:rsid w:val="26B47F5C"/>
    <w:rsid w:val="26C328E9"/>
    <w:rsid w:val="26D3146F"/>
    <w:rsid w:val="26D8384D"/>
    <w:rsid w:val="26E825C8"/>
    <w:rsid w:val="26E83BDF"/>
    <w:rsid w:val="26F251F5"/>
    <w:rsid w:val="26F31699"/>
    <w:rsid w:val="26F61BE2"/>
    <w:rsid w:val="26F96584"/>
    <w:rsid w:val="26FF1E4F"/>
    <w:rsid w:val="2702368A"/>
    <w:rsid w:val="27035654"/>
    <w:rsid w:val="270F5DA7"/>
    <w:rsid w:val="270F7B55"/>
    <w:rsid w:val="27125D31"/>
    <w:rsid w:val="27151C4F"/>
    <w:rsid w:val="27165A5C"/>
    <w:rsid w:val="27181100"/>
    <w:rsid w:val="271C6A3C"/>
    <w:rsid w:val="27220C3B"/>
    <w:rsid w:val="272642CD"/>
    <w:rsid w:val="27296981"/>
    <w:rsid w:val="272A2BE1"/>
    <w:rsid w:val="274A5031"/>
    <w:rsid w:val="27547038"/>
    <w:rsid w:val="27644345"/>
    <w:rsid w:val="276460F3"/>
    <w:rsid w:val="27653C19"/>
    <w:rsid w:val="276703C3"/>
    <w:rsid w:val="276A39BF"/>
    <w:rsid w:val="276B5CE7"/>
    <w:rsid w:val="276C31F9"/>
    <w:rsid w:val="276D724C"/>
    <w:rsid w:val="276E49E2"/>
    <w:rsid w:val="276F34D3"/>
    <w:rsid w:val="277454E7"/>
    <w:rsid w:val="277A2E88"/>
    <w:rsid w:val="277B201D"/>
    <w:rsid w:val="277E2C99"/>
    <w:rsid w:val="277E7375"/>
    <w:rsid w:val="277F2F2D"/>
    <w:rsid w:val="27802801"/>
    <w:rsid w:val="27806CA5"/>
    <w:rsid w:val="27815357"/>
    <w:rsid w:val="27840543"/>
    <w:rsid w:val="27846CA4"/>
    <w:rsid w:val="278A18D2"/>
    <w:rsid w:val="278C71DD"/>
    <w:rsid w:val="278F0C96"/>
    <w:rsid w:val="279369D8"/>
    <w:rsid w:val="27940417"/>
    <w:rsid w:val="27983FEE"/>
    <w:rsid w:val="2799145D"/>
    <w:rsid w:val="27A11DCD"/>
    <w:rsid w:val="27A174C3"/>
    <w:rsid w:val="27A42993"/>
    <w:rsid w:val="27AC7A9A"/>
    <w:rsid w:val="27AE7D2B"/>
    <w:rsid w:val="27B50CA8"/>
    <w:rsid w:val="27BC384F"/>
    <w:rsid w:val="27C941A8"/>
    <w:rsid w:val="27CA5B5A"/>
    <w:rsid w:val="27D019DA"/>
    <w:rsid w:val="27D70A8C"/>
    <w:rsid w:val="27D755E2"/>
    <w:rsid w:val="27D8263D"/>
    <w:rsid w:val="27DB60AA"/>
    <w:rsid w:val="27DC212D"/>
    <w:rsid w:val="27E014F2"/>
    <w:rsid w:val="27ED433A"/>
    <w:rsid w:val="27F03E2A"/>
    <w:rsid w:val="27F20B34"/>
    <w:rsid w:val="27F21145"/>
    <w:rsid w:val="27F82CDF"/>
    <w:rsid w:val="28060F58"/>
    <w:rsid w:val="280E42B1"/>
    <w:rsid w:val="280E605F"/>
    <w:rsid w:val="28133675"/>
    <w:rsid w:val="2818512F"/>
    <w:rsid w:val="28193725"/>
    <w:rsid w:val="281C6256"/>
    <w:rsid w:val="281F026C"/>
    <w:rsid w:val="28215D92"/>
    <w:rsid w:val="2826007F"/>
    <w:rsid w:val="28285372"/>
    <w:rsid w:val="282E2EF2"/>
    <w:rsid w:val="282F6845"/>
    <w:rsid w:val="2830296B"/>
    <w:rsid w:val="283261F1"/>
    <w:rsid w:val="28362D61"/>
    <w:rsid w:val="283C0E1E"/>
    <w:rsid w:val="283F63A7"/>
    <w:rsid w:val="28414686"/>
    <w:rsid w:val="28445F24"/>
    <w:rsid w:val="28451171"/>
    <w:rsid w:val="28481571"/>
    <w:rsid w:val="28490AEA"/>
    <w:rsid w:val="284B1061"/>
    <w:rsid w:val="284D36A9"/>
    <w:rsid w:val="284E6B00"/>
    <w:rsid w:val="28520641"/>
    <w:rsid w:val="28537F15"/>
    <w:rsid w:val="285402C7"/>
    <w:rsid w:val="285A12A4"/>
    <w:rsid w:val="28645A2F"/>
    <w:rsid w:val="28700AC7"/>
    <w:rsid w:val="287740D6"/>
    <w:rsid w:val="28787368"/>
    <w:rsid w:val="28795BCE"/>
    <w:rsid w:val="287A36F4"/>
    <w:rsid w:val="28822D5B"/>
    <w:rsid w:val="288307FB"/>
    <w:rsid w:val="288325A9"/>
    <w:rsid w:val="288527C5"/>
    <w:rsid w:val="28862099"/>
    <w:rsid w:val="2886653D"/>
    <w:rsid w:val="288D7435"/>
    <w:rsid w:val="288E3128"/>
    <w:rsid w:val="28902EBE"/>
    <w:rsid w:val="289403DF"/>
    <w:rsid w:val="28976054"/>
    <w:rsid w:val="28A013AD"/>
    <w:rsid w:val="28A95D87"/>
    <w:rsid w:val="28AA3FD9"/>
    <w:rsid w:val="28AC7DB1"/>
    <w:rsid w:val="28B73F84"/>
    <w:rsid w:val="28B94BDB"/>
    <w:rsid w:val="28BB69F6"/>
    <w:rsid w:val="28BC1F5F"/>
    <w:rsid w:val="28BE1833"/>
    <w:rsid w:val="28C055AB"/>
    <w:rsid w:val="28C345F8"/>
    <w:rsid w:val="28C5421E"/>
    <w:rsid w:val="28C606E7"/>
    <w:rsid w:val="28CA01D8"/>
    <w:rsid w:val="28CB6703"/>
    <w:rsid w:val="28CD5F1A"/>
    <w:rsid w:val="28CF3A40"/>
    <w:rsid w:val="28D6150A"/>
    <w:rsid w:val="28DC0A73"/>
    <w:rsid w:val="28E16D34"/>
    <w:rsid w:val="28E74D44"/>
    <w:rsid w:val="28E84B02"/>
    <w:rsid w:val="28EA2628"/>
    <w:rsid w:val="28EC45F2"/>
    <w:rsid w:val="28F87F68"/>
    <w:rsid w:val="28FB526B"/>
    <w:rsid w:val="29064F88"/>
    <w:rsid w:val="290A0F1C"/>
    <w:rsid w:val="291122AA"/>
    <w:rsid w:val="291458F7"/>
    <w:rsid w:val="2916166F"/>
    <w:rsid w:val="291B0A33"/>
    <w:rsid w:val="291E49C7"/>
    <w:rsid w:val="292026EC"/>
    <w:rsid w:val="292463F6"/>
    <w:rsid w:val="292702D5"/>
    <w:rsid w:val="292A0D31"/>
    <w:rsid w:val="292A6944"/>
    <w:rsid w:val="292B01C4"/>
    <w:rsid w:val="29316692"/>
    <w:rsid w:val="29332221"/>
    <w:rsid w:val="29345E48"/>
    <w:rsid w:val="29363ABF"/>
    <w:rsid w:val="29375E72"/>
    <w:rsid w:val="293B7327"/>
    <w:rsid w:val="2940493E"/>
    <w:rsid w:val="2947617E"/>
    <w:rsid w:val="29484C06"/>
    <w:rsid w:val="294A4CA1"/>
    <w:rsid w:val="294A5DEF"/>
    <w:rsid w:val="29512CF0"/>
    <w:rsid w:val="295464A1"/>
    <w:rsid w:val="295C48D7"/>
    <w:rsid w:val="295E7052"/>
    <w:rsid w:val="296028EA"/>
    <w:rsid w:val="29782E9A"/>
    <w:rsid w:val="29785E86"/>
    <w:rsid w:val="29791BFE"/>
    <w:rsid w:val="297C3DE6"/>
    <w:rsid w:val="29835846"/>
    <w:rsid w:val="2985518B"/>
    <w:rsid w:val="298657BE"/>
    <w:rsid w:val="29891E41"/>
    <w:rsid w:val="298A7967"/>
    <w:rsid w:val="299627B0"/>
    <w:rsid w:val="299B6018"/>
    <w:rsid w:val="299B7DC6"/>
    <w:rsid w:val="299D3B3E"/>
    <w:rsid w:val="29A053DC"/>
    <w:rsid w:val="29AC1FD3"/>
    <w:rsid w:val="29B410D7"/>
    <w:rsid w:val="29B80978"/>
    <w:rsid w:val="29B82726"/>
    <w:rsid w:val="29BA46F0"/>
    <w:rsid w:val="29C15A7E"/>
    <w:rsid w:val="29C35AD8"/>
    <w:rsid w:val="29C56BF1"/>
    <w:rsid w:val="29C6528F"/>
    <w:rsid w:val="29CA22D7"/>
    <w:rsid w:val="29CB06AB"/>
    <w:rsid w:val="29CF181E"/>
    <w:rsid w:val="29D20787"/>
    <w:rsid w:val="29D46CFC"/>
    <w:rsid w:val="29D80549"/>
    <w:rsid w:val="29DD1966"/>
    <w:rsid w:val="29E057D9"/>
    <w:rsid w:val="29E17ECF"/>
    <w:rsid w:val="29E51041"/>
    <w:rsid w:val="29E704D8"/>
    <w:rsid w:val="29F179E6"/>
    <w:rsid w:val="29F4208D"/>
    <w:rsid w:val="29F479D1"/>
    <w:rsid w:val="29F574D6"/>
    <w:rsid w:val="29F85218"/>
    <w:rsid w:val="29FF7106"/>
    <w:rsid w:val="2A021BF3"/>
    <w:rsid w:val="2A04596B"/>
    <w:rsid w:val="2A0E0598"/>
    <w:rsid w:val="2A110088"/>
    <w:rsid w:val="2A13568C"/>
    <w:rsid w:val="2A13795C"/>
    <w:rsid w:val="2A21651D"/>
    <w:rsid w:val="2A27165A"/>
    <w:rsid w:val="2A2B114A"/>
    <w:rsid w:val="2A3008AD"/>
    <w:rsid w:val="2A340C9C"/>
    <w:rsid w:val="2A353D77"/>
    <w:rsid w:val="2A36189D"/>
    <w:rsid w:val="2A36222F"/>
    <w:rsid w:val="2A377AEF"/>
    <w:rsid w:val="2A3C3357"/>
    <w:rsid w:val="2A3F69A3"/>
    <w:rsid w:val="2A45603E"/>
    <w:rsid w:val="2A500BB0"/>
    <w:rsid w:val="2A533F28"/>
    <w:rsid w:val="2A5341FD"/>
    <w:rsid w:val="2A560924"/>
    <w:rsid w:val="2A562041"/>
    <w:rsid w:val="2A5C7555"/>
    <w:rsid w:val="2A697EC4"/>
    <w:rsid w:val="2A6D3510"/>
    <w:rsid w:val="2A7025D5"/>
    <w:rsid w:val="2A720B27"/>
    <w:rsid w:val="2A7725E1"/>
    <w:rsid w:val="2A790107"/>
    <w:rsid w:val="2A7D0899"/>
    <w:rsid w:val="2A7F1496"/>
    <w:rsid w:val="2A8225EA"/>
    <w:rsid w:val="2A832D34"/>
    <w:rsid w:val="2A891537"/>
    <w:rsid w:val="2A8A0BBB"/>
    <w:rsid w:val="2A8D3BB3"/>
    <w:rsid w:val="2A9012C8"/>
    <w:rsid w:val="2A922F77"/>
    <w:rsid w:val="2A992557"/>
    <w:rsid w:val="2A9A007E"/>
    <w:rsid w:val="2A9C2048"/>
    <w:rsid w:val="2AA30363"/>
    <w:rsid w:val="2AA66A22"/>
    <w:rsid w:val="2AA9206F"/>
    <w:rsid w:val="2AB23619"/>
    <w:rsid w:val="2AB37A6C"/>
    <w:rsid w:val="2AB4113F"/>
    <w:rsid w:val="2AB47391"/>
    <w:rsid w:val="2AB54EB7"/>
    <w:rsid w:val="2AB96756"/>
    <w:rsid w:val="2ABB30F3"/>
    <w:rsid w:val="2ABB774C"/>
    <w:rsid w:val="2ABC27ED"/>
    <w:rsid w:val="2ABC5BE6"/>
    <w:rsid w:val="2ABC6246"/>
    <w:rsid w:val="2ABC7FF4"/>
    <w:rsid w:val="2ABF2213"/>
    <w:rsid w:val="2AC61F66"/>
    <w:rsid w:val="2AD01CF1"/>
    <w:rsid w:val="2AD52F53"/>
    <w:rsid w:val="2AD64E6C"/>
    <w:rsid w:val="2AD74E2E"/>
    <w:rsid w:val="2ADB3DDF"/>
    <w:rsid w:val="2ADD0767"/>
    <w:rsid w:val="2ADE7F6A"/>
    <w:rsid w:val="2AE412F9"/>
    <w:rsid w:val="2AE6776A"/>
    <w:rsid w:val="2AEB08D9"/>
    <w:rsid w:val="2AEE53C9"/>
    <w:rsid w:val="2AF05EF0"/>
    <w:rsid w:val="2AF14141"/>
    <w:rsid w:val="2AF20855"/>
    <w:rsid w:val="2AF4778E"/>
    <w:rsid w:val="2AF552B4"/>
    <w:rsid w:val="2AF7102C"/>
    <w:rsid w:val="2AFA0B1C"/>
    <w:rsid w:val="2AFB5311"/>
    <w:rsid w:val="2AFE23BA"/>
    <w:rsid w:val="2AFF3D0F"/>
    <w:rsid w:val="2B073E45"/>
    <w:rsid w:val="2B0A5203"/>
    <w:rsid w:val="2B0D0850"/>
    <w:rsid w:val="2B1C4F36"/>
    <w:rsid w:val="2B1E2A5D"/>
    <w:rsid w:val="2B274689"/>
    <w:rsid w:val="2B2B6FF2"/>
    <w:rsid w:val="2B2C7319"/>
    <w:rsid w:val="2B2F6A18"/>
    <w:rsid w:val="2B30453E"/>
    <w:rsid w:val="2B335E9C"/>
    <w:rsid w:val="2B37620B"/>
    <w:rsid w:val="2B3C1135"/>
    <w:rsid w:val="2B400C25"/>
    <w:rsid w:val="2B46506F"/>
    <w:rsid w:val="2B473D61"/>
    <w:rsid w:val="2B4A1AA4"/>
    <w:rsid w:val="2B4E18B2"/>
    <w:rsid w:val="2B514BE0"/>
    <w:rsid w:val="2B536BAA"/>
    <w:rsid w:val="2B577586"/>
    <w:rsid w:val="2B6111BC"/>
    <w:rsid w:val="2B616E98"/>
    <w:rsid w:val="2B620B9B"/>
    <w:rsid w:val="2B632B65"/>
    <w:rsid w:val="2B651AC9"/>
    <w:rsid w:val="2B65243A"/>
    <w:rsid w:val="2B695054"/>
    <w:rsid w:val="2B6A3EF4"/>
    <w:rsid w:val="2B6F5066"/>
    <w:rsid w:val="2B7361A2"/>
    <w:rsid w:val="2B74267D"/>
    <w:rsid w:val="2B746B21"/>
    <w:rsid w:val="2B761B56"/>
    <w:rsid w:val="2B7803BF"/>
    <w:rsid w:val="2B7B1C5D"/>
    <w:rsid w:val="2B7E52A9"/>
    <w:rsid w:val="2B8975B0"/>
    <w:rsid w:val="2B8F5708"/>
    <w:rsid w:val="2BA07916"/>
    <w:rsid w:val="2BA33EDE"/>
    <w:rsid w:val="2BA4762F"/>
    <w:rsid w:val="2BA967CA"/>
    <w:rsid w:val="2BAC1E16"/>
    <w:rsid w:val="2BAC3ABB"/>
    <w:rsid w:val="2BC366C8"/>
    <w:rsid w:val="2BC74EA2"/>
    <w:rsid w:val="2BCC0727"/>
    <w:rsid w:val="2BCF4F73"/>
    <w:rsid w:val="2BD001FB"/>
    <w:rsid w:val="2BD02A31"/>
    <w:rsid w:val="2BD1187D"/>
    <w:rsid w:val="2BD4136D"/>
    <w:rsid w:val="2BD90782"/>
    <w:rsid w:val="2BE121FF"/>
    <w:rsid w:val="2BE13C04"/>
    <w:rsid w:val="2BE55E39"/>
    <w:rsid w:val="2BE772F2"/>
    <w:rsid w:val="2BEA0B91"/>
    <w:rsid w:val="2BF35C97"/>
    <w:rsid w:val="2BF51A0F"/>
    <w:rsid w:val="2BFA0DD4"/>
    <w:rsid w:val="2BFA5278"/>
    <w:rsid w:val="2BFB4B4C"/>
    <w:rsid w:val="2BFF463C"/>
    <w:rsid w:val="2C043A01"/>
    <w:rsid w:val="2C05030B"/>
    <w:rsid w:val="2C091017"/>
    <w:rsid w:val="2C0E2AD1"/>
    <w:rsid w:val="2C133F94"/>
    <w:rsid w:val="2C155C0E"/>
    <w:rsid w:val="2C1F326D"/>
    <w:rsid w:val="2C2C11A9"/>
    <w:rsid w:val="2C300C99"/>
    <w:rsid w:val="2C3047F6"/>
    <w:rsid w:val="2C33078A"/>
    <w:rsid w:val="2C35005E"/>
    <w:rsid w:val="2C3818FC"/>
    <w:rsid w:val="2C3A38C6"/>
    <w:rsid w:val="2C3D6F12"/>
    <w:rsid w:val="2C3E01F2"/>
    <w:rsid w:val="2C46226B"/>
    <w:rsid w:val="2C4965E0"/>
    <w:rsid w:val="2C4C290A"/>
    <w:rsid w:val="2C4D184B"/>
    <w:rsid w:val="2C504AA5"/>
    <w:rsid w:val="2C5A0877"/>
    <w:rsid w:val="2C602C01"/>
    <w:rsid w:val="2C610E53"/>
    <w:rsid w:val="2C640943"/>
    <w:rsid w:val="2C666469"/>
    <w:rsid w:val="2C701096"/>
    <w:rsid w:val="2C7F577D"/>
    <w:rsid w:val="2C833D17"/>
    <w:rsid w:val="2C842D93"/>
    <w:rsid w:val="2C852417"/>
    <w:rsid w:val="2C8527E6"/>
    <w:rsid w:val="2C956D4E"/>
    <w:rsid w:val="2C9657A8"/>
    <w:rsid w:val="2C966787"/>
    <w:rsid w:val="2C9F3729"/>
    <w:rsid w:val="2CA038A6"/>
    <w:rsid w:val="2CA60F5C"/>
    <w:rsid w:val="2CAB441F"/>
    <w:rsid w:val="2CAD22EA"/>
    <w:rsid w:val="2CAF2E84"/>
    <w:rsid w:val="2CBC077F"/>
    <w:rsid w:val="2CCA2E9C"/>
    <w:rsid w:val="2CD21D51"/>
    <w:rsid w:val="2CD47877"/>
    <w:rsid w:val="2CD535EF"/>
    <w:rsid w:val="2CDE24A4"/>
    <w:rsid w:val="2CE43832"/>
    <w:rsid w:val="2CE675AA"/>
    <w:rsid w:val="2CE92207"/>
    <w:rsid w:val="2CEA0D94"/>
    <w:rsid w:val="2CEA709A"/>
    <w:rsid w:val="2CED6B8B"/>
    <w:rsid w:val="2CF41CC7"/>
    <w:rsid w:val="2CF46CAB"/>
    <w:rsid w:val="2D020B0C"/>
    <w:rsid w:val="2D045C82"/>
    <w:rsid w:val="2D067C4C"/>
    <w:rsid w:val="2D0D15DC"/>
    <w:rsid w:val="2D0D4B37"/>
    <w:rsid w:val="2D117D55"/>
    <w:rsid w:val="2D167684"/>
    <w:rsid w:val="2D1D39D6"/>
    <w:rsid w:val="2D26209C"/>
    <w:rsid w:val="2D285E15"/>
    <w:rsid w:val="2D297497"/>
    <w:rsid w:val="2D2F0F51"/>
    <w:rsid w:val="2D346567"/>
    <w:rsid w:val="2D37019F"/>
    <w:rsid w:val="2D376058"/>
    <w:rsid w:val="2D391DD0"/>
    <w:rsid w:val="2D393AAA"/>
    <w:rsid w:val="2D3E16D4"/>
    <w:rsid w:val="2D404F0C"/>
    <w:rsid w:val="2D483DC1"/>
    <w:rsid w:val="2D4A5D8B"/>
    <w:rsid w:val="2D4B2BCA"/>
    <w:rsid w:val="2D512DE2"/>
    <w:rsid w:val="2D542766"/>
    <w:rsid w:val="2D56129E"/>
    <w:rsid w:val="2D564730"/>
    <w:rsid w:val="2D5704A8"/>
    <w:rsid w:val="2D5922EF"/>
    <w:rsid w:val="2D5C161A"/>
    <w:rsid w:val="2D6055AE"/>
    <w:rsid w:val="2D60735C"/>
    <w:rsid w:val="2D662499"/>
    <w:rsid w:val="2D684463"/>
    <w:rsid w:val="2D6F57F1"/>
    <w:rsid w:val="2D791B7B"/>
    <w:rsid w:val="2D7A4E79"/>
    <w:rsid w:val="2D8079FF"/>
    <w:rsid w:val="2D8868B3"/>
    <w:rsid w:val="2D945953"/>
    <w:rsid w:val="2D984D48"/>
    <w:rsid w:val="2D986EC6"/>
    <w:rsid w:val="2D987795"/>
    <w:rsid w:val="2D990AC0"/>
    <w:rsid w:val="2DA01E4F"/>
    <w:rsid w:val="2DA11EF6"/>
    <w:rsid w:val="2DB43022"/>
    <w:rsid w:val="2DB651CE"/>
    <w:rsid w:val="2DB94C7E"/>
    <w:rsid w:val="2DBA2F11"/>
    <w:rsid w:val="2DBB0074"/>
    <w:rsid w:val="2DBB0A37"/>
    <w:rsid w:val="2DBD5A96"/>
    <w:rsid w:val="2DBE0F27"/>
    <w:rsid w:val="2DC518B5"/>
    <w:rsid w:val="2DD41AF8"/>
    <w:rsid w:val="2DDB2E87"/>
    <w:rsid w:val="2DDB72F8"/>
    <w:rsid w:val="2DDC3961"/>
    <w:rsid w:val="2DDD3C56"/>
    <w:rsid w:val="2DDE64D3"/>
    <w:rsid w:val="2DDE7DBD"/>
    <w:rsid w:val="2DEA5B9A"/>
    <w:rsid w:val="2DEC299E"/>
    <w:rsid w:val="2DEE7A07"/>
    <w:rsid w:val="2DF17596"/>
    <w:rsid w:val="2DFB0E33"/>
    <w:rsid w:val="2DFB473A"/>
    <w:rsid w:val="2DFD2DFD"/>
    <w:rsid w:val="2DFD7910"/>
    <w:rsid w:val="2DFE26D1"/>
    <w:rsid w:val="2E075486"/>
    <w:rsid w:val="2E075A2A"/>
    <w:rsid w:val="2E075F37"/>
    <w:rsid w:val="2E0979F4"/>
    <w:rsid w:val="2E0A72C8"/>
    <w:rsid w:val="2E0B280C"/>
    <w:rsid w:val="2E0C1C2A"/>
    <w:rsid w:val="2E1204E7"/>
    <w:rsid w:val="2E163EBF"/>
    <w:rsid w:val="2E19750B"/>
    <w:rsid w:val="2E1A575D"/>
    <w:rsid w:val="2E1B0DEF"/>
    <w:rsid w:val="2E1D524D"/>
    <w:rsid w:val="2E1D6FFC"/>
    <w:rsid w:val="2E254102"/>
    <w:rsid w:val="2E266B30"/>
    <w:rsid w:val="2E2C2465"/>
    <w:rsid w:val="2E314855"/>
    <w:rsid w:val="2E352597"/>
    <w:rsid w:val="2E3846CF"/>
    <w:rsid w:val="2E3D58F0"/>
    <w:rsid w:val="2E3D769E"/>
    <w:rsid w:val="2E3F6CC8"/>
    <w:rsid w:val="2E440A2C"/>
    <w:rsid w:val="2E451DEF"/>
    <w:rsid w:val="2E4A3D79"/>
    <w:rsid w:val="2E4D6432"/>
    <w:rsid w:val="2E56250D"/>
    <w:rsid w:val="2E5A0250"/>
    <w:rsid w:val="2E5F4EFD"/>
    <w:rsid w:val="2E624A8C"/>
    <w:rsid w:val="2E625356"/>
    <w:rsid w:val="2E6D24D4"/>
    <w:rsid w:val="2E6E3CFB"/>
    <w:rsid w:val="2E70537D"/>
    <w:rsid w:val="2E725599"/>
    <w:rsid w:val="2E823302"/>
    <w:rsid w:val="2E8452CD"/>
    <w:rsid w:val="2E87016D"/>
    <w:rsid w:val="2E8C5F2F"/>
    <w:rsid w:val="2E8E614B"/>
    <w:rsid w:val="2E986407"/>
    <w:rsid w:val="2E9C2616"/>
    <w:rsid w:val="2E9D7C27"/>
    <w:rsid w:val="2E9F452D"/>
    <w:rsid w:val="2EA1128C"/>
    <w:rsid w:val="2EA339A5"/>
    <w:rsid w:val="2EA35084"/>
    <w:rsid w:val="2EA44F73"/>
    <w:rsid w:val="2EA67C3E"/>
    <w:rsid w:val="2EA80FBB"/>
    <w:rsid w:val="2EA94D33"/>
    <w:rsid w:val="2EAD4FD6"/>
    <w:rsid w:val="2EB711FE"/>
    <w:rsid w:val="2EB86D24"/>
    <w:rsid w:val="2EBA2A9C"/>
    <w:rsid w:val="2EBA484A"/>
    <w:rsid w:val="2EBD258D"/>
    <w:rsid w:val="2EC27BA3"/>
    <w:rsid w:val="2EC658E5"/>
    <w:rsid w:val="2EC67693"/>
    <w:rsid w:val="2ED27DE6"/>
    <w:rsid w:val="2ED31DB0"/>
    <w:rsid w:val="2ED33B5E"/>
    <w:rsid w:val="2ED51684"/>
    <w:rsid w:val="2ED81174"/>
    <w:rsid w:val="2ED83315"/>
    <w:rsid w:val="2EDC6725"/>
    <w:rsid w:val="2EE144CD"/>
    <w:rsid w:val="2EE23639"/>
    <w:rsid w:val="2EE45D6B"/>
    <w:rsid w:val="2EE96D84"/>
    <w:rsid w:val="2EED10C4"/>
    <w:rsid w:val="2EED6B95"/>
    <w:rsid w:val="2EF22C0E"/>
    <w:rsid w:val="2EF70C31"/>
    <w:rsid w:val="2EF97A69"/>
    <w:rsid w:val="2EFC30B5"/>
    <w:rsid w:val="2F0C7DFA"/>
    <w:rsid w:val="2F0E4B96"/>
    <w:rsid w:val="2F130CDF"/>
    <w:rsid w:val="2F1403FE"/>
    <w:rsid w:val="2F1436C1"/>
    <w:rsid w:val="2F154FC6"/>
    <w:rsid w:val="2F1579DD"/>
    <w:rsid w:val="2F1E127D"/>
    <w:rsid w:val="2F2303A5"/>
    <w:rsid w:val="2F2443BA"/>
    <w:rsid w:val="2F285C58"/>
    <w:rsid w:val="2F2C743F"/>
    <w:rsid w:val="2F2E5C10"/>
    <w:rsid w:val="2F351104"/>
    <w:rsid w:val="2F37233F"/>
    <w:rsid w:val="2F3740ED"/>
    <w:rsid w:val="2F391C13"/>
    <w:rsid w:val="2F3F3F8A"/>
    <w:rsid w:val="2F414F6C"/>
    <w:rsid w:val="2F430CE4"/>
    <w:rsid w:val="2F436F36"/>
    <w:rsid w:val="2F443246"/>
    <w:rsid w:val="2F4A0E40"/>
    <w:rsid w:val="2F4A3E20"/>
    <w:rsid w:val="2F4C2592"/>
    <w:rsid w:val="2F4D1B62"/>
    <w:rsid w:val="2F4F1437"/>
    <w:rsid w:val="2F500F70"/>
    <w:rsid w:val="2F513423"/>
    <w:rsid w:val="2F522CD5"/>
    <w:rsid w:val="2F542EF1"/>
    <w:rsid w:val="2F575A23"/>
    <w:rsid w:val="2F594063"/>
    <w:rsid w:val="2F5C3B54"/>
    <w:rsid w:val="2F5C7FF7"/>
    <w:rsid w:val="2F5E167A"/>
    <w:rsid w:val="2F6649D2"/>
    <w:rsid w:val="2F6824F8"/>
    <w:rsid w:val="2F69634B"/>
    <w:rsid w:val="2F6C023B"/>
    <w:rsid w:val="2F6F7D2B"/>
    <w:rsid w:val="2F723377"/>
    <w:rsid w:val="2F742084"/>
    <w:rsid w:val="2F745341"/>
    <w:rsid w:val="2F8530AA"/>
    <w:rsid w:val="2F880DEC"/>
    <w:rsid w:val="2F8B32B4"/>
    <w:rsid w:val="2F917CA1"/>
    <w:rsid w:val="2F944666"/>
    <w:rsid w:val="2F981C86"/>
    <w:rsid w:val="2F990904"/>
    <w:rsid w:val="2F9E4A58"/>
    <w:rsid w:val="2FA06136"/>
    <w:rsid w:val="2FA37066"/>
    <w:rsid w:val="2FA572A9"/>
    <w:rsid w:val="2FA774C5"/>
    <w:rsid w:val="2FAB0637"/>
    <w:rsid w:val="2FAC6889"/>
    <w:rsid w:val="2FB63264"/>
    <w:rsid w:val="2FBD0A96"/>
    <w:rsid w:val="2FC516F9"/>
    <w:rsid w:val="2FCD4A51"/>
    <w:rsid w:val="2FCD67FF"/>
    <w:rsid w:val="2FCF2577"/>
    <w:rsid w:val="2FD46B4E"/>
    <w:rsid w:val="2FEA5A9B"/>
    <w:rsid w:val="2FEF2C1A"/>
    <w:rsid w:val="2FF05E31"/>
    <w:rsid w:val="2FF41FDE"/>
    <w:rsid w:val="2FF832CE"/>
    <w:rsid w:val="2FF87D20"/>
    <w:rsid w:val="300264A9"/>
    <w:rsid w:val="300541EB"/>
    <w:rsid w:val="300764FB"/>
    <w:rsid w:val="30087837"/>
    <w:rsid w:val="30110DE2"/>
    <w:rsid w:val="30122389"/>
    <w:rsid w:val="30142680"/>
    <w:rsid w:val="30197422"/>
    <w:rsid w:val="30233DF8"/>
    <w:rsid w:val="302E3742"/>
    <w:rsid w:val="302F411F"/>
    <w:rsid w:val="30332B06"/>
    <w:rsid w:val="303348B4"/>
    <w:rsid w:val="30337C70"/>
    <w:rsid w:val="3037780B"/>
    <w:rsid w:val="3038636F"/>
    <w:rsid w:val="30395C43"/>
    <w:rsid w:val="303A5EE3"/>
    <w:rsid w:val="303A63C4"/>
    <w:rsid w:val="304545E8"/>
    <w:rsid w:val="3049232A"/>
    <w:rsid w:val="304F36B8"/>
    <w:rsid w:val="30515682"/>
    <w:rsid w:val="30517BCC"/>
    <w:rsid w:val="30553894"/>
    <w:rsid w:val="305667F5"/>
    <w:rsid w:val="30601421"/>
    <w:rsid w:val="30623E6F"/>
    <w:rsid w:val="30641ADB"/>
    <w:rsid w:val="30656A38"/>
    <w:rsid w:val="306E1D90"/>
    <w:rsid w:val="30707BC9"/>
    <w:rsid w:val="307F7AFA"/>
    <w:rsid w:val="308710A4"/>
    <w:rsid w:val="30872EA8"/>
    <w:rsid w:val="30897B30"/>
    <w:rsid w:val="308C0468"/>
    <w:rsid w:val="30901D07"/>
    <w:rsid w:val="3091782D"/>
    <w:rsid w:val="30937A49"/>
    <w:rsid w:val="30986AF1"/>
    <w:rsid w:val="309C4B4F"/>
    <w:rsid w:val="309C4F73"/>
    <w:rsid w:val="309C68FD"/>
    <w:rsid w:val="309D6C3D"/>
    <w:rsid w:val="30A752A2"/>
    <w:rsid w:val="30A77050"/>
    <w:rsid w:val="30A7740A"/>
    <w:rsid w:val="30A86B09"/>
    <w:rsid w:val="30A9726C"/>
    <w:rsid w:val="30AA08EF"/>
    <w:rsid w:val="30AE03DF"/>
    <w:rsid w:val="30B5176D"/>
    <w:rsid w:val="30B73737"/>
    <w:rsid w:val="30BC6FA0"/>
    <w:rsid w:val="30BD6874"/>
    <w:rsid w:val="30BE6CA1"/>
    <w:rsid w:val="30C145B6"/>
    <w:rsid w:val="30CF51B6"/>
    <w:rsid w:val="30D047F9"/>
    <w:rsid w:val="30D20571"/>
    <w:rsid w:val="30DC4F4C"/>
    <w:rsid w:val="30DF67EA"/>
    <w:rsid w:val="30E16A06"/>
    <w:rsid w:val="30E262DA"/>
    <w:rsid w:val="30E65DCB"/>
    <w:rsid w:val="30EC0F07"/>
    <w:rsid w:val="30EE1123"/>
    <w:rsid w:val="30EF0975"/>
    <w:rsid w:val="30F229C1"/>
    <w:rsid w:val="30FF50DE"/>
    <w:rsid w:val="31091AB9"/>
    <w:rsid w:val="310B6367"/>
    <w:rsid w:val="31102E48"/>
    <w:rsid w:val="31104BF6"/>
    <w:rsid w:val="31114E69"/>
    <w:rsid w:val="311C17EC"/>
    <w:rsid w:val="31210BB1"/>
    <w:rsid w:val="312410FB"/>
    <w:rsid w:val="31270432"/>
    <w:rsid w:val="31273193"/>
    <w:rsid w:val="3129149D"/>
    <w:rsid w:val="313C3C3D"/>
    <w:rsid w:val="31411841"/>
    <w:rsid w:val="31412584"/>
    <w:rsid w:val="31413001"/>
    <w:rsid w:val="31440D43"/>
    <w:rsid w:val="3148336F"/>
    <w:rsid w:val="314C4279"/>
    <w:rsid w:val="314F1BC2"/>
    <w:rsid w:val="3152489D"/>
    <w:rsid w:val="31532D34"/>
    <w:rsid w:val="31543FFF"/>
    <w:rsid w:val="31571EE5"/>
    <w:rsid w:val="31594C93"/>
    <w:rsid w:val="3162252D"/>
    <w:rsid w:val="31657B2E"/>
    <w:rsid w:val="316D3DF6"/>
    <w:rsid w:val="316F5DC0"/>
    <w:rsid w:val="317437D9"/>
    <w:rsid w:val="3175714F"/>
    <w:rsid w:val="317A4765"/>
    <w:rsid w:val="317C228B"/>
    <w:rsid w:val="317D35B0"/>
    <w:rsid w:val="318178A1"/>
    <w:rsid w:val="31837ABD"/>
    <w:rsid w:val="31857392"/>
    <w:rsid w:val="31886E82"/>
    <w:rsid w:val="318C5D0B"/>
    <w:rsid w:val="318E17C1"/>
    <w:rsid w:val="31945827"/>
    <w:rsid w:val="319B6BB5"/>
    <w:rsid w:val="31A11CF2"/>
    <w:rsid w:val="31A6555A"/>
    <w:rsid w:val="31A737AC"/>
    <w:rsid w:val="31A812D2"/>
    <w:rsid w:val="31A95163"/>
    <w:rsid w:val="31AA329C"/>
    <w:rsid w:val="31AC0DC2"/>
    <w:rsid w:val="31B00187"/>
    <w:rsid w:val="31B25CAD"/>
    <w:rsid w:val="31B61C41"/>
    <w:rsid w:val="31BE28A4"/>
    <w:rsid w:val="31C0486E"/>
    <w:rsid w:val="31C205E6"/>
    <w:rsid w:val="31C559E0"/>
    <w:rsid w:val="31C854D0"/>
    <w:rsid w:val="31CE5E29"/>
    <w:rsid w:val="31CF4714"/>
    <w:rsid w:val="31D125D7"/>
    <w:rsid w:val="31D20482"/>
    <w:rsid w:val="31DD71E1"/>
    <w:rsid w:val="31E22A36"/>
    <w:rsid w:val="31E83DC4"/>
    <w:rsid w:val="31E87920"/>
    <w:rsid w:val="31EA1FAA"/>
    <w:rsid w:val="32021A78"/>
    <w:rsid w:val="320504D2"/>
    <w:rsid w:val="32052280"/>
    <w:rsid w:val="320566E6"/>
    <w:rsid w:val="32075FF9"/>
    <w:rsid w:val="320B18E8"/>
    <w:rsid w:val="320C360F"/>
    <w:rsid w:val="32186458"/>
    <w:rsid w:val="321C57F5"/>
    <w:rsid w:val="321D0901"/>
    <w:rsid w:val="32244DFC"/>
    <w:rsid w:val="322748ED"/>
    <w:rsid w:val="32361946"/>
    <w:rsid w:val="323642C1"/>
    <w:rsid w:val="323C1542"/>
    <w:rsid w:val="3240775C"/>
    <w:rsid w:val="32480E2D"/>
    <w:rsid w:val="324C6391"/>
    <w:rsid w:val="324F174E"/>
    <w:rsid w:val="32537490"/>
    <w:rsid w:val="32563779"/>
    <w:rsid w:val="32594F85"/>
    <w:rsid w:val="326351F9"/>
    <w:rsid w:val="32672F3B"/>
    <w:rsid w:val="32676A97"/>
    <w:rsid w:val="32686B23"/>
    <w:rsid w:val="32690A61"/>
    <w:rsid w:val="326E6078"/>
    <w:rsid w:val="32727D48"/>
    <w:rsid w:val="32737B32"/>
    <w:rsid w:val="3276317E"/>
    <w:rsid w:val="32770E9D"/>
    <w:rsid w:val="328B7643"/>
    <w:rsid w:val="32954761"/>
    <w:rsid w:val="32981347"/>
    <w:rsid w:val="32996792"/>
    <w:rsid w:val="329E0AFD"/>
    <w:rsid w:val="329E387D"/>
    <w:rsid w:val="32A41A99"/>
    <w:rsid w:val="32A63A63"/>
    <w:rsid w:val="32A75F18"/>
    <w:rsid w:val="32A7650D"/>
    <w:rsid w:val="32A85CEA"/>
    <w:rsid w:val="32A93554"/>
    <w:rsid w:val="32A970B0"/>
    <w:rsid w:val="32AA46AE"/>
    <w:rsid w:val="32AC2C72"/>
    <w:rsid w:val="32B2044E"/>
    <w:rsid w:val="32B77684"/>
    <w:rsid w:val="32B83797"/>
    <w:rsid w:val="32C43EEA"/>
    <w:rsid w:val="32C728C5"/>
    <w:rsid w:val="32CC3E2A"/>
    <w:rsid w:val="32CE2FBA"/>
    <w:rsid w:val="32D0288E"/>
    <w:rsid w:val="32DA54BB"/>
    <w:rsid w:val="32DB5E41"/>
    <w:rsid w:val="32E26A66"/>
    <w:rsid w:val="32E620B2"/>
    <w:rsid w:val="32E7407C"/>
    <w:rsid w:val="32E75E2A"/>
    <w:rsid w:val="32F07A5B"/>
    <w:rsid w:val="32F50547"/>
    <w:rsid w:val="32F72923"/>
    <w:rsid w:val="32FA603E"/>
    <w:rsid w:val="32FB0C39"/>
    <w:rsid w:val="32FB3683"/>
    <w:rsid w:val="3300608A"/>
    <w:rsid w:val="33016E01"/>
    <w:rsid w:val="3307027A"/>
    <w:rsid w:val="330D3AE3"/>
    <w:rsid w:val="330E79E6"/>
    <w:rsid w:val="330E7C2A"/>
    <w:rsid w:val="331C1F78"/>
    <w:rsid w:val="331D6EE9"/>
    <w:rsid w:val="33264BA4"/>
    <w:rsid w:val="33296443"/>
    <w:rsid w:val="332A220B"/>
    <w:rsid w:val="332C1A8F"/>
    <w:rsid w:val="332D3B0D"/>
    <w:rsid w:val="333472C1"/>
    <w:rsid w:val="333F17C2"/>
    <w:rsid w:val="333F7F08"/>
    <w:rsid w:val="3341378C"/>
    <w:rsid w:val="334308AF"/>
    <w:rsid w:val="334B63B9"/>
    <w:rsid w:val="33550FE6"/>
    <w:rsid w:val="33596D28"/>
    <w:rsid w:val="335C1BBE"/>
    <w:rsid w:val="335D518A"/>
    <w:rsid w:val="3368761D"/>
    <w:rsid w:val="33705E1F"/>
    <w:rsid w:val="33727DEA"/>
    <w:rsid w:val="337551E4"/>
    <w:rsid w:val="33784CD4"/>
    <w:rsid w:val="337949B6"/>
    <w:rsid w:val="337A3BE4"/>
    <w:rsid w:val="337C2A16"/>
    <w:rsid w:val="337E053C"/>
    <w:rsid w:val="33825530"/>
    <w:rsid w:val="33896EE1"/>
    <w:rsid w:val="338F0E0F"/>
    <w:rsid w:val="33913F2D"/>
    <w:rsid w:val="33914A7E"/>
    <w:rsid w:val="33940F2B"/>
    <w:rsid w:val="339E0D7C"/>
    <w:rsid w:val="33A1247D"/>
    <w:rsid w:val="33A740E4"/>
    <w:rsid w:val="33AB783C"/>
    <w:rsid w:val="33AC1DA4"/>
    <w:rsid w:val="33AE1B2B"/>
    <w:rsid w:val="33B026C0"/>
    <w:rsid w:val="33B71CA0"/>
    <w:rsid w:val="33B828B4"/>
    <w:rsid w:val="33BD71B1"/>
    <w:rsid w:val="33C1667B"/>
    <w:rsid w:val="33C323F3"/>
    <w:rsid w:val="33C3411E"/>
    <w:rsid w:val="33C366D6"/>
    <w:rsid w:val="33CA19D4"/>
    <w:rsid w:val="33CB74FA"/>
    <w:rsid w:val="33CE69DA"/>
    <w:rsid w:val="33D068BE"/>
    <w:rsid w:val="33D60378"/>
    <w:rsid w:val="33D75E9F"/>
    <w:rsid w:val="33E00D1E"/>
    <w:rsid w:val="33E02FA5"/>
    <w:rsid w:val="33E06A18"/>
    <w:rsid w:val="33E5680D"/>
    <w:rsid w:val="33E81224"/>
    <w:rsid w:val="33E94762"/>
    <w:rsid w:val="33EA5BD2"/>
    <w:rsid w:val="33ED56C2"/>
    <w:rsid w:val="33EE309F"/>
    <w:rsid w:val="33F16F60"/>
    <w:rsid w:val="33F26834"/>
    <w:rsid w:val="33FA34D6"/>
    <w:rsid w:val="33FB7DDF"/>
    <w:rsid w:val="340071A3"/>
    <w:rsid w:val="3402116D"/>
    <w:rsid w:val="34027112"/>
    <w:rsid w:val="34033F22"/>
    <w:rsid w:val="34052A0C"/>
    <w:rsid w:val="340C5B48"/>
    <w:rsid w:val="340D7B12"/>
    <w:rsid w:val="340F73E6"/>
    <w:rsid w:val="3411315F"/>
    <w:rsid w:val="34117602"/>
    <w:rsid w:val="34120C85"/>
    <w:rsid w:val="341221E4"/>
    <w:rsid w:val="34124E13"/>
    <w:rsid w:val="341964B7"/>
    <w:rsid w:val="3421711A"/>
    <w:rsid w:val="34234570"/>
    <w:rsid w:val="34250159"/>
    <w:rsid w:val="34256C0A"/>
    <w:rsid w:val="342804A8"/>
    <w:rsid w:val="342866FA"/>
    <w:rsid w:val="3431735D"/>
    <w:rsid w:val="34321327"/>
    <w:rsid w:val="343356B6"/>
    <w:rsid w:val="343608D7"/>
    <w:rsid w:val="343926B5"/>
    <w:rsid w:val="343B642D"/>
    <w:rsid w:val="34401C96"/>
    <w:rsid w:val="344057F2"/>
    <w:rsid w:val="3441248F"/>
    <w:rsid w:val="344124B5"/>
    <w:rsid w:val="344828F8"/>
    <w:rsid w:val="345474EF"/>
    <w:rsid w:val="34563267"/>
    <w:rsid w:val="34594B05"/>
    <w:rsid w:val="345D63A4"/>
    <w:rsid w:val="346040E6"/>
    <w:rsid w:val="346C54F2"/>
    <w:rsid w:val="346F3D2D"/>
    <w:rsid w:val="34727975"/>
    <w:rsid w:val="34750FF1"/>
    <w:rsid w:val="34781430"/>
    <w:rsid w:val="347A51A8"/>
    <w:rsid w:val="347B4A7C"/>
    <w:rsid w:val="348222AE"/>
    <w:rsid w:val="34825E0A"/>
    <w:rsid w:val="348502AF"/>
    <w:rsid w:val="3489363D"/>
    <w:rsid w:val="348E2A01"/>
    <w:rsid w:val="3490371B"/>
    <w:rsid w:val="3490711A"/>
    <w:rsid w:val="34951FE2"/>
    <w:rsid w:val="349E42F3"/>
    <w:rsid w:val="34A843EE"/>
    <w:rsid w:val="34AB35B3"/>
    <w:rsid w:val="34AB4277"/>
    <w:rsid w:val="34B0365E"/>
    <w:rsid w:val="34B04027"/>
    <w:rsid w:val="34B34216"/>
    <w:rsid w:val="34B846D8"/>
    <w:rsid w:val="34BA1A48"/>
    <w:rsid w:val="34BE2395"/>
    <w:rsid w:val="34C401D1"/>
    <w:rsid w:val="34C9767B"/>
    <w:rsid w:val="34CB7A84"/>
    <w:rsid w:val="34D16D92"/>
    <w:rsid w:val="34DA0A32"/>
    <w:rsid w:val="34DA3E98"/>
    <w:rsid w:val="34DD74E5"/>
    <w:rsid w:val="34E00500"/>
    <w:rsid w:val="34E271DB"/>
    <w:rsid w:val="34E31ECA"/>
    <w:rsid w:val="34E70363"/>
    <w:rsid w:val="34E8355F"/>
    <w:rsid w:val="34E95E89"/>
    <w:rsid w:val="34EB1C02"/>
    <w:rsid w:val="34ED01F9"/>
    <w:rsid w:val="34F3251A"/>
    <w:rsid w:val="34F767F8"/>
    <w:rsid w:val="34FA3BF3"/>
    <w:rsid w:val="34FB5BBD"/>
    <w:rsid w:val="34FD6632"/>
    <w:rsid w:val="34FF38FF"/>
    <w:rsid w:val="350D6520"/>
    <w:rsid w:val="35102854"/>
    <w:rsid w:val="351153E0"/>
    <w:rsid w:val="35154ED0"/>
    <w:rsid w:val="35170C48"/>
    <w:rsid w:val="351D5B33"/>
    <w:rsid w:val="351D5E50"/>
    <w:rsid w:val="35215623"/>
    <w:rsid w:val="352F4BE2"/>
    <w:rsid w:val="352F6829"/>
    <w:rsid w:val="35303AB8"/>
    <w:rsid w:val="35315C5F"/>
    <w:rsid w:val="353335A8"/>
    <w:rsid w:val="35346E71"/>
    <w:rsid w:val="353C73EE"/>
    <w:rsid w:val="353F3CFB"/>
    <w:rsid w:val="354457B6"/>
    <w:rsid w:val="354A25F1"/>
    <w:rsid w:val="354D6418"/>
    <w:rsid w:val="355552CD"/>
    <w:rsid w:val="3558300F"/>
    <w:rsid w:val="35587945"/>
    <w:rsid w:val="355A46C0"/>
    <w:rsid w:val="355C275C"/>
    <w:rsid w:val="355F7EFA"/>
    <w:rsid w:val="3563766B"/>
    <w:rsid w:val="35690D78"/>
    <w:rsid w:val="356D3B09"/>
    <w:rsid w:val="3575771D"/>
    <w:rsid w:val="35777939"/>
    <w:rsid w:val="3578720D"/>
    <w:rsid w:val="357A21F9"/>
    <w:rsid w:val="357D178E"/>
    <w:rsid w:val="357E1914"/>
    <w:rsid w:val="358636D8"/>
    <w:rsid w:val="358E1692"/>
    <w:rsid w:val="35904557"/>
    <w:rsid w:val="35926DF7"/>
    <w:rsid w:val="35944047"/>
    <w:rsid w:val="359978AF"/>
    <w:rsid w:val="359D0A22"/>
    <w:rsid w:val="35A10512"/>
    <w:rsid w:val="35A41DB0"/>
    <w:rsid w:val="35A528F9"/>
    <w:rsid w:val="35AB313F"/>
    <w:rsid w:val="35B20971"/>
    <w:rsid w:val="35B335B9"/>
    <w:rsid w:val="35B53FBD"/>
    <w:rsid w:val="35BD27BB"/>
    <w:rsid w:val="35CC7DE0"/>
    <w:rsid w:val="35CE4990"/>
    <w:rsid w:val="35CF1523"/>
    <w:rsid w:val="35D5640E"/>
    <w:rsid w:val="35D96160"/>
    <w:rsid w:val="35D97FEB"/>
    <w:rsid w:val="35DC154A"/>
    <w:rsid w:val="35E36D7D"/>
    <w:rsid w:val="35E46651"/>
    <w:rsid w:val="35E72BB1"/>
    <w:rsid w:val="35EF74CF"/>
    <w:rsid w:val="35F02E47"/>
    <w:rsid w:val="35F44AE6"/>
    <w:rsid w:val="35F848D7"/>
    <w:rsid w:val="35F86FC8"/>
    <w:rsid w:val="35F9034E"/>
    <w:rsid w:val="35FA3F8B"/>
    <w:rsid w:val="360016DD"/>
    <w:rsid w:val="36010987"/>
    <w:rsid w:val="36064819"/>
    <w:rsid w:val="361433DA"/>
    <w:rsid w:val="36162CAE"/>
    <w:rsid w:val="361909F0"/>
    <w:rsid w:val="361E27B8"/>
    <w:rsid w:val="36233059"/>
    <w:rsid w:val="3623361D"/>
    <w:rsid w:val="36252EF1"/>
    <w:rsid w:val="36257395"/>
    <w:rsid w:val="362A1092"/>
    <w:rsid w:val="362F0D76"/>
    <w:rsid w:val="362F5B1E"/>
    <w:rsid w:val="36315173"/>
    <w:rsid w:val="36363350"/>
    <w:rsid w:val="363C023B"/>
    <w:rsid w:val="36481A96"/>
    <w:rsid w:val="36496E05"/>
    <w:rsid w:val="364A6DFC"/>
    <w:rsid w:val="364C2B74"/>
    <w:rsid w:val="364C66D0"/>
    <w:rsid w:val="364F61C0"/>
    <w:rsid w:val="36571CEF"/>
    <w:rsid w:val="365D08DD"/>
    <w:rsid w:val="365F78A0"/>
    <w:rsid w:val="36602A8F"/>
    <w:rsid w:val="36622FCC"/>
    <w:rsid w:val="36653C36"/>
    <w:rsid w:val="366859A9"/>
    <w:rsid w:val="366C0B20"/>
    <w:rsid w:val="366F23BE"/>
    <w:rsid w:val="3671381E"/>
    <w:rsid w:val="367C4ADB"/>
    <w:rsid w:val="367E499B"/>
    <w:rsid w:val="368247AC"/>
    <w:rsid w:val="36842573"/>
    <w:rsid w:val="36853990"/>
    <w:rsid w:val="36857E34"/>
    <w:rsid w:val="36897924"/>
    <w:rsid w:val="368A71F8"/>
    <w:rsid w:val="368C2F70"/>
    <w:rsid w:val="368E0826"/>
    <w:rsid w:val="368E7383"/>
    <w:rsid w:val="369D517D"/>
    <w:rsid w:val="36A03C60"/>
    <w:rsid w:val="36A16308"/>
    <w:rsid w:val="36A235FE"/>
    <w:rsid w:val="36A554AB"/>
    <w:rsid w:val="36A5784A"/>
    <w:rsid w:val="36A71B58"/>
    <w:rsid w:val="36AA1648"/>
    <w:rsid w:val="36AA33F6"/>
    <w:rsid w:val="36AC3612"/>
    <w:rsid w:val="36B10C29"/>
    <w:rsid w:val="36B10CBA"/>
    <w:rsid w:val="36B349A1"/>
    <w:rsid w:val="36B44275"/>
    <w:rsid w:val="36B80A1D"/>
    <w:rsid w:val="36C152D7"/>
    <w:rsid w:val="36C82EDB"/>
    <w:rsid w:val="36C901BA"/>
    <w:rsid w:val="36CD6D52"/>
    <w:rsid w:val="36CE17DB"/>
    <w:rsid w:val="36D641EB"/>
    <w:rsid w:val="36DF387C"/>
    <w:rsid w:val="36F37A6F"/>
    <w:rsid w:val="36F6656A"/>
    <w:rsid w:val="36FD3E6E"/>
    <w:rsid w:val="36FF3742"/>
    <w:rsid w:val="37040C72"/>
    <w:rsid w:val="37074103"/>
    <w:rsid w:val="37081A1A"/>
    <w:rsid w:val="37093E8E"/>
    <w:rsid w:val="370F76FD"/>
    <w:rsid w:val="37103BA1"/>
    <w:rsid w:val="371742E0"/>
    <w:rsid w:val="37180825"/>
    <w:rsid w:val="37182A56"/>
    <w:rsid w:val="37197608"/>
    <w:rsid w:val="371B2546"/>
    <w:rsid w:val="371B60A2"/>
    <w:rsid w:val="372E4027"/>
    <w:rsid w:val="37322E09"/>
    <w:rsid w:val="37332C16"/>
    <w:rsid w:val="3733594B"/>
    <w:rsid w:val="37335AE2"/>
    <w:rsid w:val="373553B6"/>
    <w:rsid w:val="373830F8"/>
    <w:rsid w:val="374516ED"/>
    <w:rsid w:val="37500442"/>
    <w:rsid w:val="375211ED"/>
    <w:rsid w:val="375515B4"/>
    <w:rsid w:val="3757357E"/>
    <w:rsid w:val="375872F6"/>
    <w:rsid w:val="375A4E1C"/>
    <w:rsid w:val="37620D40"/>
    <w:rsid w:val="37661A13"/>
    <w:rsid w:val="37677539"/>
    <w:rsid w:val="37686987"/>
    <w:rsid w:val="37702892"/>
    <w:rsid w:val="37732382"/>
    <w:rsid w:val="37737C8C"/>
    <w:rsid w:val="37751C56"/>
    <w:rsid w:val="37757EA8"/>
    <w:rsid w:val="377F2AD5"/>
    <w:rsid w:val="377F5981"/>
    <w:rsid w:val="37887EE9"/>
    <w:rsid w:val="378F142A"/>
    <w:rsid w:val="378F326F"/>
    <w:rsid w:val="3793088B"/>
    <w:rsid w:val="37934D97"/>
    <w:rsid w:val="379B4F0B"/>
    <w:rsid w:val="379C347D"/>
    <w:rsid w:val="379E73FF"/>
    <w:rsid w:val="37AA195A"/>
    <w:rsid w:val="37AB38CA"/>
    <w:rsid w:val="37AB3A24"/>
    <w:rsid w:val="37AB7764"/>
    <w:rsid w:val="37AE38B9"/>
    <w:rsid w:val="37AE6F16"/>
    <w:rsid w:val="37B02C8E"/>
    <w:rsid w:val="37B207B5"/>
    <w:rsid w:val="37BD1237"/>
    <w:rsid w:val="37BE184F"/>
    <w:rsid w:val="37C36E66"/>
    <w:rsid w:val="37D03331"/>
    <w:rsid w:val="37D83F93"/>
    <w:rsid w:val="37DD7501"/>
    <w:rsid w:val="37DF5322"/>
    <w:rsid w:val="37E33064"/>
    <w:rsid w:val="37E44A59"/>
    <w:rsid w:val="37E45D86"/>
    <w:rsid w:val="37EB1F18"/>
    <w:rsid w:val="37ED5C91"/>
    <w:rsid w:val="37EF6902"/>
    <w:rsid w:val="37F251D6"/>
    <w:rsid w:val="37F43748"/>
    <w:rsid w:val="37F52CD7"/>
    <w:rsid w:val="37F54B45"/>
    <w:rsid w:val="37F60FE9"/>
    <w:rsid w:val="37FE6CB6"/>
    <w:rsid w:val="38033706"/>
    <w:rsid w:val="380B6117"/>
    <w:rsid w:val="381A45AC"/>
    <w:rsid w:val="381B3D09"/>
    <w:rsid w:val="381E409C"/>
    <w:rsid w:val="382567CE"/>
    <w:rsid w:val="38262F51"/>
    <w:rsid w:val="382A0C93"/>
    <w:rsid w:val="382D42DF"/>
    <w:rsid w:val="38305B7D"/>
    <w:rsid w:val="38325D99"/>
    <w:rsid w:val="38390ED6"/>
    <w:rsid w:val="38392C84"/>
    <w:rsid w:val="383A0932"/>
    <w:rsid w:val="383C2774"/>
    <w:rsid w:val="383F43B5"/>
    <w:rsid w:val="3842422E"/>
    <w:rsid w:val="384D4981"/>
    <w:rsid w:val="384F06F9"/>
    <w:rsid w:val="384F4255"/>
    <w:rsid w:val="3851621F"/>
    <w:rsid w:val="385363F8"/>
    <w:rsid w:val="385502AF"/>
    <w:rsid w:val="38593326"/>
    <w:rsid w:val="385A45CA"/>
    <w:rsid w:val="385C4BC4"/>
    <w:rsid w:val="385F50DA"/>
    <w:rsid w:val="38602906"/>
    <w:rsid w:val="3869495B"/>
    <w:rsid w:val="386B4E07"/>
    <w:rsid w:val="387243E8"/>
    <w:rsid w:val="38767A34"/>
    <w:rsid w:val="388473AC"/>
    <w:rsid w:val="388859B9"/>
    <w:rsid w:val="388C36FB"/>
    <w:rsid w:val="388D28F1"/>
    <w:rsid w:val="388D2FD0"/>
    <w:rsid w:val="388E7474"/>
    <w:rsid w:val="3890015D"/>
    <w:rsid w:val="389425B0"/>
    <w:rsid w:val="38975BFC"/>
    <w:rsid w:val="38997BC6"/>
    <w:rsid w:val="389A3096"/>
    <w:rsid w:val="38A1094F"/>
    <w:rsid w:val="38A65E3F"/>
    <w:rsid w:val="38A81BB8"/>
    <w:rsid w:val="38AF5ECD"/>
    <w:rsid w:val="38B36EDA"/>
    <w:rsid w:val="38B73FF6"/>
    <w:rsid w:val="38BC0FAC"/>
    <w:rsid w:val="38C06F01"/>
    <w:rsid w:val="38C2711D"/>
    <w:rsid w:val="38C5252E"/>
    <w:rsid w:val="38CD7870"/>
    <w:rsid w:val="38CF5968"/>
    <w:rsid w:val="38D8249D"/>
    <w:rsid w:val="38DB1F8D"/>
    <w:rsid w:val="38DE382B"/>
    <w:rsid w:val="38E075A3"/>
    <w:rsid w:val="38E27111"/>
    <w:rsid w:val="38E93884"/>
    <w:rsid w:val="38EA29C6"/>
    <w:rsid w:val="38EA6674"/>
    <w:rsid w:val="38F36C77"/>
    <w:rsid w:val="38F44DFD"/>
    <w:rsid w:val="38F66DC7"/>
    <w:rsid w:val="38F82B3F"/>
    <w:rsid w:val="38F90665"/>
    <w:rsid w:val="38FB262F"/>
    <w:rsid w:val="390239BE"/>
    <w:rsid w:val="39083EF3"/>
    <w:rsid w:val="390B3941"/>
    <w:rsid w:val="390B7A49"/>
    <w:rsid w:val="390F7E89"/>
    <w:rsid w:val="3911207C"/>
    <w:rsid w:val="391D25A6"/>
    <w:rsid w:val="391F631E"/>
    <w:rsid w:val="3920048F"/>
    <w:rsid w:val="3922196A"/>
    <w:rsid w:val="39233381"/>
    <w:rsid w:val="392C27E9"/>
    <w:rsid w:val="393533BF"/>
    <w:rsid w:val="393618B9"/>
    <w:rsid w:val="393D49F6"/>
    <w:rsid w:val="393F42CA"/>
    <w:rsid w:val="39423DBA"/>
    <w:rsid w:val="39432432"/>
    <w:rsid w:val="39433B79"/>
    <w:rsid w:val="39450A69"/>
    <w:rsid w:val="394E55CB"/>
    <w:rsid w:val="39513FFD"/>
    <w:rsid w:val="39565AB7"/>
    <w:rsid w:val="39576612"/>
    <w:rsid w:val="395A3AA5"/>
    <w:rsid w:val="395D2FD5"/>
    <w:rsid w:val="396106E4"/>
    <w:rsid w:val="39614828"/>
    <w:rsid w:val="39657AA9"/>
    <w:rsid w:val="39693A3D"/>
    <w:rsid w:val="3971469F"/>
    <w:rsid w:val="3971644D"/>
    <w:rsid w:val="39726493"/>
    <w:rsid w:val="397877DC"/>
    <w:rsid w:val="397F1C1B"/>
    <w:rsid w:val="398B2FAA"/>
    <w:rsid w:val="398B750F"/>
    <w:rsid w:val="398C3287"/>
    <w:rsid w:val="398C7A7C"/>
    <w:rsid w:val="39916AF0"/>
    <w:rsid w:val="399D4784"/>
    <w:rsid w:val="399D5494"/>
    <w:rsid w:val="39A44A75"/>
    <w:rsid w:val="39A71E6F"/>
    <w:rsid w:val="39AE1450"/>
    <w:rsid w:val="39B2551A"/>
    <w:rsid w:val="39BF365D"/>
    <w:rsid w:val="39C0280B"/>
    <w:rsid w:val="39C742BF"/>
    <w:rsid w:val="39C8596A"/>
    <w:rsid w:val="39D13674"/>
    <w:rsid w:val="39D37AFF"/>
    <w:rsid w:val="39D47342"/>
    <w:rsid w:val="39D6430C"/>
    <w:rsid w:val="39DE7F87"/>
    <w:rsid w:val="39E4786A"/>
    <w:rsid w:val="39E50915"/>
    <w:rsid w:val="39E62997"/>
    <w:rsid w:val="39F53946"/>
    <w:rsid w:val="39F53F57"/>
    <w:rsid w:val="39FC21BB"/>
    <w:rsid w:val="3A06303A"/>
    <w:rsid w:val="3A080B60"/>
    <w:rsid w:val="3A085004"/>
    <w:rsid w:val="3A086DB2"/>
    <w:rsid w:val="3A2B0CF2"/>
    <w:rsid w:val="3A325BDD"/>
    <w:rsid w:val="3A361B71"/>
    <w:rsid w:val="3A377697"/>
    <w:rsid w:val="3A3E7B24"/>
    <w:rsid w:val="3A4002C6"/>
    <w:rsid w:val="3A43428E"/>
    <w:rsid w:val="3A49101B"/>
    <w:rsid w:val="3A4B3142"/>
    <w:rsid w:val="3A612966"/>
    <w:rsid w:val="3A6473DA"/>
    <w:rsid w:val="3A675E99"/>
    <w:rsid w:val="3A695377"/>
    <w:rsid w:val="3A6B7341"/>
    <w:rsid w:val="3A6C1B9F"/>
    <w:rsid w:val="3A6D50AF"/>
    <w:rsid w:val="3A703F07"/>
    <w:rsid w:val="3A704957"/>
    <w:rsid w:val="3A742699"/>
    <w:rsid w:val="3A8A77C7"/>
    <w:rsid w:val="3A8B1E3B"/>
    <w:rsid w:val="3A8D375B"/>
    <w:rsid w:val="3A92350D"/>
    <w:rsid w:val="3AA0523C"/>
    <w:rsid w:val="3AA60379"/>
    <w:rsid w:val="3AAF547F"/>
    <w:rsid w:val="3AB31DBA"/>
    <w:rsid w:val="3AB57A2D"/>
    <w:rsid w:val="3AB965D6"/>
    <w:rsid w:val="3AC058DE"/>
    <w:rsid w:val="3AC21656"/>
    <w:rsid w:val="3AC30F2B"/>
    <w:rsid w:val="3AC8335E"/>
    <w:rsid w:val="3AD35612"/>
    <w:rsid w:val="3ADC342E"/>
    <w:rsid w:val="3AE01ADD"/>
    <w:rsid w:val="3AE07D71"/>
    <w:rsid w:val="3AE27603"/>
    <w:rsid w:val="3AE83550"/>
    <w:rsid w:val="3AE90A3C"/>
    <w:rsid w:val="3AF57161"/>
    <w:rsid w:val="3AF7527D"/>
    <w:rsid w:val="3AFD268F"/>
    <w:rsid w:val="3B006932"/>
    <w:rsid w:val="3B032748"/>
    <w:rsid w:val="3B037579"/>
    <w:rsid w:val="3B051543"/>
    <w:rsid w:val="3B0B6384"/>
    <w:rsid w:val="3B0C28D2"/>
    <w:rsid w:val="3B111C96"/>
    <w:rsid w:val="3B1335CF"/>
    <w:rsid w:val="3B172116"/>
    <w:rsid w:val="3B181276"/>
    <w:rsid w:val="3B183024"/>
    <w:rsid w:val="3B201ED9"/>
    <w:rsid w:val="3B20637D"/>
    <w:rsid w:val="3B2319C9"/>
    <w:rsid w:val="3B257525"/>
    <w:rsid w:val="3B295232"/>
    <w:rsid w:val="3B2A0FAA"/>
    <w:rsid w:val="3B2B6F3C"/>
    <w:rsid w:val="3B2D3B76"/>
    <w:rsid w:val="3B2F65C0"/>
    <w:rsid w:val="3B3300BB"/>
    <w:rsid w:val="3B3B6D13"/>
    <w:rsid w:val="3B3D2A8B"/>
    <w:rsid w:val="3B430A5C"/>
    <w:rsid w:val="3B443E1A"/>
    <w:rsid w:val="3B464036"/>
    <w:rsid w:val="3B5129DA"/>
    <w:rsid w:val="3B530C77"/>
    <w:rsid w:val="3B547DD5"/>
    <w:rsid w:val="3B553B47"/>
    <w:rsid w:val="3B554279"/>
    <w:rsid w:val="3B5A7D4A"/>
    <w:rsid w:val="3B5B1163"/>
    <w:rsid w:val="3B6049CB"/>
    <w:rsid w:val="3B626996"/>
    <w:rsid w:val="3B63115A"/>
    <w:rsid w:val="3B6444BC"/>
    <w:rsid w:val="3B691AD2"/>
    <w:rsid w:val="3B6F5B39"/>
    <w:rsid w:val="3B7159CE"/>
    <w:rsid w:val="3B7668F3"/>
    <w:rsid w:val="3B7C774B"/>
    <w:rsid w:val="3B8406BA"/>
    <w:rsid w:val="3B890DC1"/>
    <w:rsid w:val="3B895CD0"/>
    <w:rsid w:val="3B8B1C35"/>
    <w:rsid w:val="3B8C3A12"/>
    <w:rsid w:val="3B8C756F"/>
    <w:rsid w:val="3B8F3954"/>
    <w:rsid w:val="3B8F6E8B"/>
    <w:rsid w:val="3B9823B7"/>
    <w:rsid w:val="3B987F28"/>
    <w:rsid w:val="3B9A612F"/>
    <w:rsid w:val="3BB24DE0"/>
    <w:rsid w:val="3BB32D4D"/>
    <w:rsid w:val="3BB37231"/>
    <w:rsid w:val="3BB865B6"/>
    <w:rsid w:val="3BB970C6"/>
    <w:rsid w:val="3BBC42F8"/>
    <w:rsid w:val="3BBC7AEB"/>
    <w:rsid w:val="3BC431AC"/>
    <w:rsid w:val="3BCC2061"/>
    <w:rsid w:val="3BCC3E0F"/>
    <w:rsid w:val="3BCD02B3"/>
    <w:rsid w:val="3BCF6E80"/>
    <w:rsid w:val="3BD31641"/>
    <w:rsid w:val="3BD72EE0"/>
    <w:rsid w:val="3BD80A06"/>
    <w:rsid w:val="3BDD601C"/>
    <w:rsid w:val="3BE13D5E"/>
    <w:rsid w:val="3BE23632"/>
    <w:rsid w:val="3BE455FD"/>
    <w:rsid w:val="3BE462B6"/>
    <w:rsid w:val="3BF05D4F"/>
    <w:rsid w:val="3BF47BA6"/>
    <w:rsid w:val="3BF770DE"/>
    <w:rsid w:val="3BF84C04"/>
    <w:rsid w:val="3BFA097C"/>
    <w:rsid w:val="3BFC2946"/>
    <w:rsid w:val="3C033851"/>
    <w:rsid w:val="3C08263F"/>
    <w:rsid w:val="3C0D6901"/>
    <w:rsid w:val="3C123F18"/>
    <w:rsid w:val="3C157564"/>
    <w:rsid w:val="3C1C4D96"/>
    <w:rsid w:val="3C1F6635"/>
    <w:rsid w:val="3C2123AD"/>
    <w:rsid w:val="3C251365"/>
    <w:rsid w:val="3C277297"/>
    <w:rsid w:val="3C2854E9"/>
    <w:rsid w:val="3C30439E"/>
    <w:rsid w:val="3C315AEE"/>
    <w:rsid w:val="3C3F61E9"/>
    <w:rsid w:val="3C422BD2"/>
    <w:rsid w:val="3C485B8B"/>
    <w:rsid w:val="3C4D13F4"/>
    <w:rsid w:val="3C4F43DD"/>
    <w:rsid w:val="3C5207B8"/>
    <w:rsid w:val="3C5462DE"/>
    <w:rsid w:val="3C5E791A"/>
    <w:rsid w:val="3C687FDC"/>
    <w:rsid w:val="3C77726B"/>
    <w:rsid w:val="3C7B7D0F"/>
    <w:rsid w:val="3C830972"/>
    <w:rsid w:val="3C8342C9"/>
    <w:rsid w:val="3C860462"/>
    <w:rsid w:val="3C8B7826"/>
    <w:rsid w:val="3C8E6369"/>
    <w:rsid w:val="3C904CF1"/>
    <w:rsid w:val="3C920BB5"/>
    <w:rsid w:val="3C9C1A33"/>
    <w:rsid w:val="3C9C5234"/>
    <w:rsid w:val="3CA32DC2"/>
    <w:rsid w:val="3CA370C0"/>
    <w:rsid w:val="3CA37266"/>
    <w:rsid w:val="3CA60B04"/>
    <w:rsid w:val="3CA852B3"/>
    <w:rsid w:val="3CA8662A"/>
    <w:rsid w:val="3CAA2299"/>
    <w:rsid w:val="3CAF5C0A"/>
    <w:rsid w:val="3CAF5E34"/>
    <w:rsid w:val="3CAF79B9"/>
    <w:rsid w:val="3CB274A9"/>
    <w:rsid w:val="3CB55D60"/>
    <w:rsid w:val="3CB609AC"/>
    <w:rsid w:val="3CB7325B"/>
    <w:rsid w:val="3CB801A8"/>
    <w:rsid w:val="3CBC48AB"/>
    <w:rsid w:val="3CC01BC6"/>
    <w:rsid w:val="3CC1149A"/>
    <w:rsid w:val="3CCA47F2"/>
    <w:rsid w:val="3CCB123F"/>
    <w:rsid w:val="3CD31F2C"/>
    <w:rsid w:val="3CDB69FF"/>
    <w:rsid w:val="3CDC62D4"/>
    <w:rsid w:val="3CDC77CD"/>
    <w:rsid w:val="3CDE3DFA"/>
    <w:rsid w:val="3CE1610D"/>
    <w:rsid w:val="3CE37662"/>
    <w:rsid w:val="3CEA46C5"/>
    <w:rsid w:val="3CEF6E1F"/>
    <w:rsid w:val="3CF33D49"/>
    <w:rsid w:val="3CF679A3"/>
    <w:rsid w:val="3CF950D8"/>
    <w:rsid w:val="3CFD208E"/>
    <w:rsid w:val="3D037D04"/>
    <w:rsid w:val="3D073351"/>
    <w:rsid w:val="3D0A1093"/>
    <w:rsid w:val="3D0C4E0B"/>
    <w:rsid w:val="3D0C552C"/>
    <w:rsid w:val="3D135537"/>
    <w:rsid w:val="3D1617E6"/>
    <w:rsid w:val="3D161D55"/>
    <w:rsid w:val="3D16531A"/>
    <w:rsid w:val="3D1964E2"/>
    <w:rsid w:val="3D1D0DC6"/>
    <w:rsid w:val="3D271C45"/>
    <w:rsid w:val="3D29776B"/>
    <w:rsid w:val="3D297E86"/>
    <w:rsid w:val="3D2C27A6"/>
    <w:rsid w:val="3D2D248F"/>
    <w:rsid w:val="3D2E4D81"/>
    <w:rsid w:val="3D324146"/>
    <w:rsid w:val="3D3305EA"/>
    <w:rsid w:val="3D355E3A"/>
    <w:rsid w:val="3D3847F5"/>
    <w:rsid w:val="3D445C28"/>
    <w:rsid w:val="3D483969"/>
    <w:rsid w:val="3D485717"/>
    <w:rsid w:val="3D582B25"/>
    <w:rsid w:val="3D5A3DC8"/>
    <w:rsid w:val="3D5B18EE"/>
    <w:rsid w:val="3D5B3695"/>
    <w:rsid w:val="3D5B544A"/>
    <w:rsid w:val="3D624D01"/>
    <w:rsid w:val="3D6A38DF"/>
    <w:rsid w:val="3D6C58AA"/>
    <w:rsid w:val="3D6D517E"/>
    <w:rsid w:val="3D6E1622"/>
    <w:rsid w:val="3D6E2847"/>
    <w:rsid w:val="3D766728"/>
    <w:rsid w:val="3D793B23"/>
    <w:rsid w:val="3D7C7913"/>
    <w:rsid w:val="3D7D3613"/>
    <w:rsid w:val="3D7E6D0B"/>
    <w:rsid w:val="3D8255C6"/>
    <w:rsid w:val="3D840E45"/>
    <w:rsid w:val="3D862942"/>
    <w:rsid w:val="3D87623F"/>
    <w:rsid w:val="3D8B5883"/>
    <w:rsid w:val="3D915310"/>
    <w:rsid w:val="3D9A41C5"/>
    <w:rsid w:val="3D9F5C7F"/>
    <w:rsid w:val="3DA2751D"/>
    <w:rsid w:val="3DA34E77"/>
    <w:rsid w:val="3DA43295"/>
    <w:rsid w:val="3DA66102"/>
    <w:rsid w:val="3DA70690"/>
    <w:rsid w:val="3DAF5796"/>
    <w:rsid w:val="3DB039E8"/>
    <w:rsid w:val="3DB17760"/>
    <w:rsid w:val="3DB33EBF"/>
    <w:rsid w:val="3DB35286"/>
    <w:rsid w:val="3DB73ABE"/>
    <w:rsid w:val="3DB80AEF"/>
    <w:rsid w:val="3DBC05DF"/>
    <w:rsid w:val="3DC1443D"/>
    <w:rsid w:val="3DC656A4"/>
    <w:rsid w:val="3DC67992"/>
    <w:rsid w:val="3DC70D32"/>
    <w:rsid w:val="3DD0408A"/>
    <w:rsid w:val="3DD82F3F"/>
    <w:rsid w:val="3DDC3E68"/>
    <w:rsid w:val="3DDE35D7"/>
    <w:rsid w:val="3DDF5D66"/>
    <w:rsid w:val="3DEA67CE"/>
    <w:rsid w:val="3DEE4511"/>
    <w:rsid w:val="3DF5589F"/>
    <w:rsid w:val="3DFA2EB5"/>
    <w:rsid w:val="3E014244"/>
    <w:rsid w:val="3E021D6A"/>
    <w:rsid w:val="3E0222B5"/>
    <w:rsid w:val="3E0279E9"/>
    <w:rsid w:val="3E033CA4"/>
    <w:rsid w:val="3E055D7B"/>
    <w:rsid w:val="3E0A3EC6"/>
    <w:rsid w:val="3E0D0E3B"/>
    <w:rsid w:val="3E142A47"/>
    <w:rsid w:val="3E157CEF"/>
    <w:rsid w:val="3E1B69BB"/>
    <w:rsid w:val="3E1C5C81"/>
    <w:rsid w:val="3E1D6BA4"/>
    <w:rsid w:val="3E23065E"/>
    <w:rsid w:val="3E295549"/>
    <w:rsid w:val="3E2B4042"/>
    <w:rsid w:val="3E2E273B"/>
    <w:rsid w:val="3E332B10"/>
    <w:rsid w:val="3E350391"/>
    <w:rsid w:val="3E35213F"/>
    <w:rsid w:val="3E3645F7"/>
    <w:rsid w:val="3E3742CC"/>
    <w:rsid w:val="3E375EB7"/>
    <w:rsid w:val="3E383C0E"/>
    <w:rsid w:val="3E3C527C"/>
    <w:rsid w:val="3E3E7246"/>
    <w:rsid w:val="3E4158C5"/>
    <w:rsid w:val="3E45486A"/>
    <w:rsid w:val="3E4568CA"/>
    <w:rsid w:val="3E463855"/>
    <w:rsid w:val="3E4C75C9"/>
    <w:rsid w:val="3E4D7AFF"/>
    <w:rsid w:val="3E4E1F6A"/>
    <w:rsid w:val="3E4E671D"/>
    <w:rsid w:val="3E52684D"/>
    <w:rsid w:val="3E52720F"/>
    <w:rsid w:val="3E55633E"/>
    <w:rsid w:val="3E580D79"/>
    <w:rsid w:val="3E587BDC"/>
    <w:rsid w:val="3E691DE9"/>
    <w:rsid w:val="3E694CD0"/>
    <w:rsid w:val="3E6B7E62"/>
    <w:rsid w:val="3E6C1A4E"/>
    <w:rsid w:val="3E703177"/>
    <w:rsid w:val="3E737D0A"/>
    <w:rsid w:val="3E74088F"/>
    <w:rsid w:val="3E754BB5"/>
    <w:rsid w:val="3E774506"/>
    <w:rsid w:val="3E7762B4"/>
    <w:rsid w:val="3E80785E"/>
    <w:rsid w:val="3E832EAB"/>
    <w:rsid w:val="3E880C65"/>
    <w:rsid w:val="3E8D1F7B"/>
    <w:rsid w:val="3E8E35FE"/>
    <w:rsid w:val="3E904CD6"/>
    <w:rsid w:val="3E974BA8"/>
    <w:rsid w:val="3EA13299"/>
    <w:rsid w:val="3EA3354D"/>
    <w:rsid w:val="3EA666F7"/>
    <w:rsid w:val="3EAD47D9"/>
    <w:rsid w:val="3EAF3CA0"/>
    <w:rsid w:val="3EB456FB"/>
    <w:rsid w:val="3EBC63BD"/>
    <w:rsid w:val="3EBE059F"/>
    <w:rsid w:val="3EC660F3"/>
    <w:rsid w:val="3EC97748"/>
    <w:rsid w:val="3ECC2AA4"/>
    <w:rsid w:val="3ECF4F15"/>
    <w:rsid w:val="3ECF63C6"/>
    <w:rsid w:val="3ECF7A1F"/>
    <w:rsid w:val="3ED21DC4"/>
    <w:rsid w:val="3ED36B9D"/>
    <w:rsid w:val="3ED656D0"/>
    <w:rsid w:val="3ED963CC"/>
    <w:rsid w:val="3EDD6E36"/>
    <w:rsid w:val="3EE31B9B"/>
    <w:rsid w:val="3EE55913"/>
    <w:rsid w:val="3EE92A88"/>
    <w:rsid w:val="3EEA29DD"/>
    <w:rsid w:val="3EF062C0"/>
    <w:rsid w:val="3EF43DA9"/>
    <w:rsid w:val="3EF62C4A"/>
    <w:rsid w:val="3EFA5515"/>
    <w:rsid w:val="3EFB5137"/>
    <w:rsid w:val="3EFE69D5"/>
    <w:rsid w:val="3F010273"/>
    <w:rsid w:val="3F0264C5"/>
    <w:rsid w:val="3F033FEC"/>
    <w:rsid w:val="3F054835"/>
    <w:rsid w:val="3F060794"/>
    <w:rsid w:val="3F06588A"/>
    <w:rsid w:val="3F0B6307"/>
    <w:rsid w:val="3F0F3364"/>
    <w:rsid w:val="3F11495A"/>
    <w:rsid w:val="3F2006FA"/>
    <w:rsid w:val="3F20694C"/>
    <w:rsid w:val="3F2923DB"/>
    <w:rsid w:val="3F2F4DE1"/>
    <w:rsid w:val="3F2F6B8F"/>
    <w:rsid w:val="3F316DAB"/>
    <w:rsid w:val="3F422D66"/>
    <w:rsid w:val="3F424876"/>
    <w:rsid w:val="3F473E48"/>
    <w:rsid w:val="3F476287"/>
    <w:rsid w:val="3F52287D"/>
    <w:rsid w:val="3F561C5C"/>
    <w:rsid w:val="3F571ED0"/>
    <w:rsid w:val="3F577E93"/>
    <w:rsid w:val="3F585F31"/>
    <w:rsid w:val="3F5860E5"/>
    <w:rsid w:val="3F5900B0"/>
    <w:rsid w:val="3F5B5BD6"/>
    <w:rsid w:val="3F5C54AA"/>
    <w:rsid w:val="3F6820A1"/>
    <w:rsid w:val="3F6A5E19"/>
    <w:rsid w:val="3F6C1B91"/>
    <w:rsid w:val="3F7171A7"/>
    <w:rsid w:val="3F732F1F"/>
    <w:rsid w:val="3F7647BE"/>
    <w:rsid w:val="3F7D78FA"/>
    <w:rsid w:val="3F7E18C4"/>
    <w:rsid w:val="3F7E3672"/>
    <w:rsid w:val="3F7F7B16"/>
    <w:rsid w:val="3F800BA7"/>
    <w:rsid w:val="3F810AF0"/>
    <w:rsid w:val="3F8213B4"/>
    <w:rsid w:val="3F8511D3"/>
    <w:rsid w:val="3F8769CB"/>
    <w:rsid w:val="3F8E7D59"/>
    <w:rsid w:val="3F95733A"/>
    <w:rsid w:val="3F9904AC"/>
    <w:rsid w:val="3F9B1DA2"/>
    <w:rsid w:val="3F9D61EE"/>
    <w:rsid w:val="3F9E5AC2"/>
    <w:rsid w:val="3FAC4ACF"/>
    <w:rsid w:val="3FB11C9A"/>
    <w:rsid w:val="3FB84DD6"/>
    <w:rsid w:val="3FBD419A"/>
    <w:rsid w:val="3FC1012F"/>
    <w:rsid w:val="3FC4377B"/>
    <w:rsid w:val="3FC90D91"/>
    <w:rsid w:val="3FCB2D5B"/>
    <w:rsid w:val="3FD72D63"/>
    <w:rsid w:val="3FD86B49"/>
    <w:rsid w:val="3FDA2F9E"/>
    <w:rsid w:val="3FDD2A8F"/>
    <w:rsid w:val="3FE931E1"/>
    <w:rsid w:val="3FEA0D08"/>
    <w:rsid w:val="3FEB0888"/>
    <w:rsid w:val="3FEB6F5A"/>
    <w:rsid w:val="3FEC4A80"/>
    <w:rsid w:val="3FEC69F0"/>
    <w:rsid w:val="3FEE25A6"/>
    <w:rsid w:val="3FF027C2"/>
    <w:rsid w:val="3FF12096"/>
    <w:rsid w:val="3FF35E0E"/>
    <w:rsid w:val="3FF459B6"/>
    <w:rsid w:val="3FF81EC6"/>
    <w:rsid w:val="40011F17"/>
    <w:rsid w:val="4004001B"/>
    <w:rsid w:val="400718BA"/>
    <w:rsid w:val="40073668"/>
    <w:rsid w:val="40092A29"/>
    <w:rsid w:val="400B13AA"/>
    <w:rsid w:val="400B75FC"/>
    <w:rsid w:val="400D5048"/>
    <w:rsid w:val="4012098A"/>
    <w:rsid w:val="40161AFD"/>
    <w:rsid w:val="401E041B"/>
    <w:rsid w:val="4021297B"/>
    <w:rsid w:val="402C3298"/>
    <w:rsid w:val="40356B95"/>
    <w:rsid w:val="40387CC5"/>
    <w:rsid w:val="403F72A5"/>
    <w:rsid w:val="40460634"/>
    <w:rsid w:val="4050500F"/>
    <w:rsid w:val="40580367"/>
    <w:rsid w:val="40632F94"/>
    <w:rsid w:val="40646D0C"/>
    <w:rsid w:val="406805AA"/>
    <w:rsid w:val="406B3BF6"/>
    <w:rsid w:val="406C7597"/>
    <w:rsid w:val="406E36E7"/>
    <w:rsid w:val="40713094"/>
    <w:rsid w:val="40714F85"/>
    <w:rsid w:val="40774C91"/>
    <w:rsid w:val="407C22A8"/>
    <w:rsid w:val="40800E47"/>
    <w:rsid w:val="40844CB8"/>
    <w:rsid w:val="40867A88"/>
    <w:rsid w:val="409265EE"/>
    <w:rsid w:val="40952AB4"/>
    <w:rsid w:val="409C0254"/>
    <w:rsid w:val="409E58B0"/>
    <w:rsid w:val="409F1AF2"/>
    <w:rsid w:val="40A435AC"/>
    <w:rsid w:val="40A8600D"/>
    <w:rsid w:val="40A9471F"/>
    <w:rsid w:val="40AB0497"/>
    <w:rsid w:val="40AC55B2"/>
    <w:rsid w:val="40AE071E"/>
    <w:rsid w:val="40B03FC1"/>
    <w:rsid w:val="40BB3D04"/>
    <w:rsid w:val="40BC08F6"/>
    <w:rsid w:val="40BC1147"/>
    <w:rsid w:val="40C03437"/>
    <w:rsid w:val="40C41559"/>
    <w:rsid w:val="40C477AB"/>
    <w:rsid w:val="40C8729B"/>
    <w:rsid w:val="40CE3427"/>
    <w:rsid w:val="40CE4185"/>
    <w:rsid w:val="40D21EC7"/>
    <w:rsid w:val="40D27FB7"/>
    <w:rsid w:val="40D75730"/>
    <w:rsid w:val="40D82164"/>
    <w:rsid w:val="40DA601F"/>
    <w:rsid w:val="40E045E4"/>
    <w:rsid w:val="40E340D5"/>
    <w:rsid w:val="40E57E4D"/>
    <w:rsid w:val="40ED5207"/>
    <w:rsid w:val="40EE65D6"/>
    <w:rsid w:val="40EF026F"/>
    <w:rsid w:val="40EF4827"/>
    <w:rsid w:val="40F167F2"/>
    <w:rsid w:val="40F64453"/>
    <w:rsid w:val="40F97454"/>
    <w:rsid w:val="40FA31CC"/>
    <w:rsid w:val="40FF07E3"/>
    <w:rsid w:val="4105404B"/>
    <w:rsid w:val="410712EF"/>
    <w:rsid w:val="4109296D"/>
    <w:rsid w:val="410D4CAE"/>
    <w:rsid w:val="411053AE"/>
    <w:rsid w:val="41120516"/>
    <w:rsid w:val="41130FFA"/>
    <w:rsid w:val="411D31D6"/>
    <w:rsid w:val="411F547B"/>
    <w:rsid w:val="41202C33"/>
    <w:rsid w:val="4124289F"/>
    <w:rsid w:val="412D35A2"/>
    <w:rsid w:val="412E0668"/>
    <w:rsid w:val="41314E40"/>
    <w:rsid w:val="4134048C"/>
    <w:rsid w:val="413955CA"/>
    <w:rsid w:val="413B5CBF"/>
    <w:rsid w:val="413C5593"/>
    <w:rsid w:val="413E7159"/>
    <w:rsid w:val="41403A95"/>
    <w:rsid w:val="4142704D"/>
    <w:rsid w:val="414601C0"/>
    <w:rsid w:val="41497192"/>
    <w:rsid w:val="414D154E"/>
    <w:rsid w:val="414E1F46"/>
    <w:rsid w:val="4151103E"/>
    <w:rsid w:val="41516BEE"/>
    <w:rsid w:val="41524DB6"/>
    <w:rsid w:val="41596145"/>
    <w:rsid w:val="4162324B"/>
    <w:rsid w:val="41630D72"/>
    <w:rsid w:val="41635215"/>
    <w:rsid w:val="41670862"/>
    <w:rsid w:val="416E37F1"/>
    <w:rsid w:val="416F7716"/>
    <w:rsid w:val="417116E0"/>
    <w:rsid w:val="41717792"/>
    <w:rsid w:val="41720FB5"/>
    <w:rsid w:val="41730CBE"/>
    <w:rsid w:val="41735459"/>
    <w:rsid w:val="41764F49"/>
    <w:rsid w:val="417767BF"/>
    <w:rsid w:val="417D478D"/>
    <w:rsid w:val="418074D3"/>
    <w:rsid w:val="41850CE8"/>
    <w:rsid w:val="41867C55"/>
    <w:rsid w:val="418A773C"/>
    <w:rsid w:val="418B33CA"/>
    <w:rsid w:val="418D5899"/>
    <w:rsid w:val="418D5DEE"/>
    <w:rsid w:val="418F7DB9"/>
    <w:rsid w:val="41900008"/>
    <w:rsid w:val="419158DF"/>
    <w:rsid w:val="41984EBF"/>
    <w:rsid w:val="419B675D"/>
    <w:rsid w:val="419C7C83"/>
    <w:rsid w:val="419D24D5"/>
    <w:rsid w:val="419F3D21"/>
    <w:rsid w:val="41A03D74"/>
    <w:rsid w:val="41A27AEC"/>
    <w:rsid w:val="41A35612"/>
    <w:rsid w:val="41AA2E44"/>
    <w:rsid w:val="41AC0E4E"/>
    <w:rsid w:val="41AF6F18"/>
    <w:rsid w:val="41BA3087"/>
    <w:rsid w:val="41BD2B78"/>
    <w:rsid w:val="41BF069E"/>
    <w:rsid w:val="41C2018E"/>
    <w:rsid w:val="41C327F3"/>
    <w:rsid w:val="41C37A62"/>
    <w:rsid w:val="41C757A4"/>
    <w:rsid w:val="41C92567"/>
    <w:rsid w:val="41CA2B9F"/>
    <w:rsid w:val="41CC6917"/>
    <w:rsid w:val="41D34149"/>
    <w:rsid w:val="41D57EC1"/>
    <w:rsid w:val="41D91034"/>
    <w:rsid w:val="41DD0B24"/>
    <w:rsid w:val="41E14187"/>
    <w:rsid w:val="41E2438C"/>
    <w:rsid w:val="41E83650"/>
    <w:rsid w:val="41E915B7"/>
    <w:rsid w:val="41EF2605"/>
    <w:rsid w:val="41F52311"/>
    <w:rsid w:val="41F8595E"/>
    <w:rsid w:val="41FD2F74"/>
    <w:rsid w:val="41FF0A9A"/>
    <w:rsid w:val="42042555"/>
    <w:rsid w:val="420946BA"/>
    <w:rsid w:val="4209542F"/>
    <w:rsid w:val="420F2CA7"/>
    <w:rsid w:val="42166910"/>
    <w:rsid w:val="421D3616"/>
    <w:rsid w:val="421D53C4"/>
    <w:rsid w:val="421D7172"/>
    <w:rsid w:val="42201101"/>
    <w:rsid w:val="42240501"/>
    <w:rsid w:val="42277FF1"/>
    <w:rsid w:val="42293D69"/>
    <w:rsid w:val="422E14C8"/>
    <w:rsid w:val="42334BE8"/>
    <w:rsid w:val="423367EC"/>
    <w:rsid w:val="42341320"/>
    <w:rsid w:val="424010B3"/>
    <w:rsid w:val="42442951"/>
    <w:rsid w:val="424D6428"/>
    <w:rsid w:val="424E15EB"/>
    <w:rsid w:val="424E1A22"/>
    <w:rsid w:val="42587396"/>
    <w:rsid w:val="42590B65"/>
    <w:rsid w:val="425D52D0"/>
    <w:rsid w:val="425F778B"/>
    <w:rsid w:val="42610F23"/>
    <w:rsid w:val="42621029"/>
    <w:rsid w:val="426C1F66"/>
    <w:rsid w:val="4271167E"/>
    <w:rsid w:val="42723962"/>
    <w:rsid w:val="42735119"/>
    <w:rsid w:val="42764AD5"/>
    <w:rsid w:val="42772D26"/>
    <w:rsid w:val="427B240C"/>
    <w:rsid w:val="427C5605"/>
    <w:rsid w:val="4283791D"/>
    <w:rsid w:val="42894808"/>
    <w:rsid w:val="428B152C"/>
    <w:rsid w:val="428C42F8"/>
    <w:rsid w:val="428E0070"/>
    <w:rsid w:val="42903DE8"/>
    <w:rsid w:val="42975177"/>
    <w:rsid w:val="429A07C3"/>
    <w:rsid w:val="429D02B3"/>
    <w:rsid w:val="429F402B"/>
    <w:rsid w:val="42A33E70"/>
    <w:rsid w:val="42AB6E74"/>
    <w:rsid w:val="42AD499A"/>
    <w:rsid w:val="42B21FB1"/>
    <w:rsid w:val="42B45F2A"/>
    <w:rsid w:val="42B60D1B"/>
    <w:rsid w:val="42B90936"/>
    <w:rsid w:val="42B91D72"/>
    <w:rsid w:val="42BC2E2F"/>
    <w:rsid w:val="42BC698B"/>
    <w:rsid w:val="42C13457"/>
    <w:rsid w:val="42CC20F2"/>
    <w:rsid w:val="42CF2F66"/>
    <w:rsid w:val="42D05148"/>
    <w:rsid w:val="42D33CD5"/>
    <w:rsid w:val="42E00BAC"/>
    <w:rsid w:val="42E44134"/>
    <w:rsid w:val="42EF6D61"/>
    <w:rsid w:val="42F56341"/>
    <w:rsid w:val="42FB3958"/>
    <w:rsid w:val="42FC147E"/>
    <w:rsid w:val="42FD18E1"/>
    <w:rsid w:val="430918C9"/>
    <w:rsid w:val="430976F7"/>
    <w:rsid w:val="430C4D69"/>
    <w:rsid w:val="430D3EC1"/>
    <w:rsid w:val="43106CD7"/>
    <w:rsid w:val="431D278F"/>
    <w:rsid w:val="432225BF"/>
    <w:rsid w:val="432307B8"/>
    <w:rsid w:val="43262904"/>
    <w:rsid w:val="432D2A89"/>
    <w:rsid w:val="43365E3D"/>
    <w:rsid w:val="43397FDC"/>
    <w:rsid w:val="43413334"/>
    <w:rsid w:val="43471D05"/>
    <w:rsid w:val="4353328F"/>
    <w:rsid w:val="43542913"/>
    <w:rsid w:val="4355293C"/>
    <w:rsid w:val="4356791A"/>
    <w:rsid w:val="435738BC"/>
    <w:rsid w:val="43574906"/>
    <w:rsid w:val="435A7F52"/>
    <w:rsid w:val="435B61A4"/>
    <w:rsid w:val="435C3CCA"/>
    <w:rsid w:val="43617533"/>
    <w:rsid w:val="436D5ED7"/>
    <w:rsid w:val="437159C8"/>
    <w:rsid w:val="437E6337"/>
    <w:rsid w:val="4383394D"/>
    <w:rsid w:val="43847123"/>
    <w:rsid w:val="43853221"/>
    <w:rsid w:val="43973713"/>
    <w:rsid w:val="43994F1E"/>
    <w:rsid w:val="43996CCD"/>
    <w:rsid w:val="439F6030"/>
    <w:rsid w:val="43A23DD3"/>
    <w:rsid w:val="43A551C4"/>
    <w:rsid w:val="43A833B4"/>
    <w:rsid w:val="43AB3EA3"/>
    <w:rsid w:val="43AB40C5"/>
    <w:rsid w:val="43AF4742"/>
    <w:rsid w:val="43B27D8E"/>
    <w:rsid w:val="43B333B6"/>
    <w:rsid w:val="43B43B06"/>
    <w:rsid w:val="43B6162D"/>
    <w:rsid w:val="43B6548F"/>
    <w:rsid w:val="43B753A5"/>
    <w:rsid w:val="43B81849"/>
    <w:rsid w:val="43C30037"/>
    <w:rsid w:val="43C4525A"/>
    <w:rsid w:val="43C57AC2"/>
    <w:rsid w:val="43C71A8C"/>
    <w:rsid w:val="43CA332A"/>
    <w:rsid w:val="43CF6B92"/>
    <w:rsid w:val="43D250A9"/>
    <w:rsid w:val="43D42ACB"/>
    <w:rsid w:val="43DA5C97"/>
    <w:rsid w:val="43DD46A6"/>
    <w:rsid w:val="43DE2931"/>
    <w:rsid w:val="43E154A7"/>
    <w:rsid w:val="43E22422"/>
    <w:rsid w:val="43E44844"/>
    <w:rsid w:val="43EA5687"/>
    <w:rsid w:val="43EF1957"/>
    <w:rsid w:val="43F14D5A"/>
    <w:rsid w:val="43F32881"/>
    <w:rsid w:val="43F42155"/>
    <w:rsid w:val="43F9776B"/>
    <w:rsid w:val="43FF144C"/>
    <w:rsid w:val="44022AC4"/>
    <w:rsid w:val="44024872"/>
    <w:rsid w:val="4404683C"/>
    <w:rsid w:val="44081A76"/>
    <w:rsid w:val="4409352C"/>
    <w:rsid w:val="44093E52"/>
    <w:rsid w:val="440C2CE3"/>
    <w:rsid w:val="44103433"/>
    <w:rsid w:val="44110F59"/>
    <w:rsid w:val="441A506E"/>
    <w:rsid w:val="4420119C"/>
    <w:rsid w:val="44222C5F"/>
    <w:rsid w:val="442567B2"/>
    <w:rsid w:val="442962A2"/>
    <w:rsid w:val="442D47B8"/>
    <w:rsid w:val="44305883"/>
    <w:rsid w:val="443469F5"/>
    <w:rsid w:val="44354DE8"/>
    <w:rsid w:val="44362DE4"/>
    <w:rsid w:val="44384737"/>
    <w:rsid w:val="44393B5D"/>
    <w:rsid w:val="443B5FD6"/>
    <w:rsid w:val="443F5AC6"/>
    <w:rsid w:val="444529B0"/>
    <w:rsid w:val="44475816"/>
    <w:rsid w:val="444A4EF7"/>
    <w:rsid w:val="444D2D5B"/>
    <w:rsid w:val="444E5D09"/>
    <w:rsid w:val="44522184"/>
    <w:rsid w:val="44526895"/>
    <w:rsid w:val="445720BE"/>
    <w:rsid w:val="44585262"/>
    <w:rsid w:val="445D7CFA"/>
    <w:rsid w:val="445F68CE"/>
    <w:rsid w:val="446077EA"/>
    <w:rsid w:val="44621E6F"/>
    <w:rsid w:val="44652FAD"/>
    <w:rsid w:val="446E4940"/>
    <w:rsid w:val="447119F7"/>
    <w:rsid w:val="44732EF1"/>
    <w:rsid w:val="4476700E"/>
    <w:rsid w:val="44774071"/>
    <w:rsid w:val="44787065"/>
    <w:rsid w:val="44802E0B"/>
    <w:rsid w:val="44815A5A"/>
    <w:rsid w:val="448336FF"/>
    <w:rsid w:val="44867251"/>
    <w:rsid w:val="448E25A9"/>
    <w:rsid w:val="44906321"/>
    <w:rsid w:val="44944B08"/>
    <w:rsid w:val="449556E6"/>
    <w:rsid w:val="449753BF"/>
    <w:rsid w:val="44A1408B"/>
    <w:rsid w:val="44A65B45"/>
    <w:rsid w:val="44AF6F53"/>
    <w:rsid w:val="44B1622C"/>
    <w:rsid w:val="44B66788"/>
    <w:rsid w:val="44B76A8F"/>
    <w:rsid w:val="44C46D4D"/>
    <w:rsid w:val="44C47D79"/>
    <w:rsid w:val="44C73109"/>
    <w:rsid w:val="44CD4E80"/>
    <w:rsid w:val="44D22496"/>
    <w:rsid w:val="44D83825"/>
    <w:rsid w:val="44EF7E95"/>
    <w:rsid w:val="44F05012"/>
    <w:rsid w:val="44F05864"/>
    <w:rsid w:val="44F2509D"/>
    <w:rsid w:val="44F7014F"/>
    <w:rsid w:val="44F92119"/>
    <w:rsid w:val="44FC39B7"/>
    <w:rsid w:val="44FF34A7"/>
    <w:rsid w:val="4502044C"/>
    <w:rsid w:val="45034D45"/>
    <w:rsid w:val="45085EB8"/>
    <w:rsid w:val="450B3BFA"/>
    <w:rsid w:val="450F7FFF"/>
    <w:rsid w:val="4515012D"/>
    <w:rsid w:val="451C1963"/>
    <w:rsid w:val="4521341D"/>
    <w:rsid w:val="45230F44"/>
    <w:rsid w:val="45306005"/>
    <w:rsid w:val="4530624E"/>
    <w:rsid w:val="453077B3"/>
    <w:rsid w:val="45343151"/>
    <w:rsid w:val="45344EFF"/>
    <w:rsid w:val="453B25D8"/>
    <w:rsid w:val="453C3DB3"/>
    <w:rsid w:val="454315E6"/>
    <w:rsid w:val="45435142"/>
    <w:rsid w:val="45482772"/>
    <w:rsid w:val="454841A1"/>
    <w:rsid w:val="454A4722"/>
    <w:rsid w:val="454D5FC1"/>
    <w:rsid w:val="455E3C6C"/>
    <w:rsid w:val="45667082"/>
    <w:rsid w:val="4568104C"/>
    <w:rsid w:val="45690320"/>
    <w:rsid w:val="456D21BF"/>
    <w:rsid w:val="456D77E1"/>
    <w:rsid w:val="45723C79"/>
    <w:rsid w:val="4574179F"/>
    <w:rsid w:val="45767E0E"/>
    <w:rsid w:val="457B7E82"/>
    <w:rsid w:val="45830F57"/>
    <w:rsid w:val="458319E2"/>
    <w:rsid w:val="4584481B"/>
    <w:rsid w:val="458A4B1F"/>
    <w:rsid w:val="458C4D3B"/>
    <w:rsid w:val="458F3906"/>
    <w:rsid w:val="45927E77"/>
    <w:rsid w:val="45965BB9"/>
    <w:rsid w:val="459B7A11"/>
    <w:rsid w:val="459C04E5"/>
    <w:rsid w:val="459C2AA4"/>
    <w:rsid w:val="459E41D7"/>
    <w:rsid w:val="459E4A6E"/>
    <w:rsid w:val="45A007E6"/>
    <w:rsid w:val="45A57BAB"/>
    <w:rsid w:val="45AC718B"/>
    <w:rsid w:val="45B13C90"/>
    <w:rsid w:val="45B15237"/>
    <w:rsid w:val="45B35974"/>
    <w:rsid w:val="45B918A8"/>
    <w:rsid w:val="45BC4EF4"/>
    <w:rsid w:val="45BC5399"/>
    <w:rsid w:val="45BC5999"/>
    <w:rsid w:val="45C2075D"/>
    <w:rsid w:val="45C73FC5"/>
    <w:rsid w:val="45CC5137"/>
    <w:rsid w:val="45D02DE7"/>
    <w:rsid w:val="45D109A0"/>
    <w:rsid w:val="45D40490"/>
    <w:rsid w:val="45DE2391"/>
    <w:rsid w:val="45E83F3B"/>
    <w:rsid w:val="45F20916"/>
    <w:rsid w:val="45F560D2"/>
    <w:rsid w:val="45F91D6E"/>
    <w:rsid w:val="45FA3812"/>
    <w:rsid w:val="45FE6402"/>
    <w:rsid w:val="45FE72BB"/>
    <w:rsid w:val="46001285"/>
    <w:rsid w:val="46050649"/>
    <w:rsid w:val="46054AED"/>
    <w:rsid w:val="46080139"/>
    <w:rsid w:val="460F3276"/>
    <w:rsid w:val="461940F5"/>
    <w:rsid w:val="461E39CB"/>
    <w:rsid w:val="462168D6"/>
    <w:rsid w:val="462B6A0F"/>
    <w:rsid w:val="462C207A"/>
    <w:rsid w:val="462E7BA0"/>
    <w:rsid w:val="46326F64"/>
    <w:rsid w:val="46350429"/>
    <w:rsid w:val="46370A82"/>
    <w:rsid w:val="463F1DAD"/>
    <w:rsid w:val="464253F9"/>
    <w:rsid w:val="46480542"/>
    <w:rsid w:val="46485453"/>
    <w:rsid w:val="46492914"/>
    <w:rsid w:val="46494E1C"/>
    <w:rsid w:val="465211ED"/>
    <w:rsid w:val="465E4ECA"/>
    <w:rsid w:val="46601D24"/>
    <w:rsid w:val="466C6AC4"/>
    <w:rsid w:val="46733805"/>
    <w:rsid w:val="4674189B"/>
    <w:rsid w:val="46780E1B"/>
    <w:rsid w:val="467B090B"/>
    <w:rsid w:val="467B5120"/>
    <w:rsid w:val="467D28D5"/>
    <w:rsid w:val="46804174"/>
    <w:rsid w:val="468477C0"/>
    <w:rsid w:val="4685178A"/>
    <w:rsid w:val="468F72AD"/>
    <w:rsid w:val="46971BE9"/>
    <w:rsid w:val="46983DB1"/>
    <w:rsid w:val="4698770F"/>
    <w:rsid w:val="46A34C24"/>
    <w:rsid w:val="46A47E62"/>
    <w:rsid w:val="46A613B3"/>
    <w:rsid w:val="46AB0E55"/>
    <w:rsid w:val="46AB7B96"/>
    <w:rsid w:val="46AC6D17"/>
    <w:rsid w:val="46B04A59"/>
    <w:rsid w:val="46B06446"/>
    <w:rsid w:val="46B23BBB"/>
    <w:rsid w:val="46B75DE7"/>
    <w:rsid w:val="46B8390E"/>
    <w:rsid w:val="46BB51AC"/>
    <w:rsid w:val="46BF54AC"/>
    <w:rsid w:val="46C146D6"/>
    <w:rsid w:val="46C329DE"/>
    <w:rsid w:val="46CD560B"/>
    <w:rsid w:val="46D30747"/>
    <w:rsid w:val="46DB1BAA"/>
    <w:rsid w:val="46DD22F1"/>
    <w:rsid w:val="46DF6973"/>
    <w:rsid w:val="46E2098A"/>
    <w:rsid w:val="46E34004"/>
    <w:rsid w:val="46E3439F"/>
    <w:rsid w:val="46E94BDF"/>
    <w:rsid w:val="46EB783F"/>
    <w:rsid w:val="46F04E55"/>
    <w:rsid w:val="46F21E2E"/>
    <w:rsid w:val="46FC1A4C"/>
    <w:rsid w:val="47044DA5"/>
    <w:rsid w:val="470A69DC"/>
    <w:rsid w:val="4711754F"/>
    <w:rsid w:val="47126281"/>
    <w:rsid w:val="4714323A"/>
    <w:rsid w:val="47170B35"/>
    <w:rsid w:val="47220CFA"/>
    <w:rsid w:val="472B2331"/>
    <w:rsid w:val="472B23A9"/>
    <w:rsid w:val="4732208F"/>
    <w:rsid w:val="47364A7E"/>
    <w:rsid w:val="47372A84"/>
    <w:rsid w:val="473A3969"/>
    <w:rsid w:val="473F7B8B"/>
    <w:rsid w:val="474829CF"/>
    <w:rsid w:val="474D5F87"/>
    <w:rsid w:val="47503B46"/>
    <w:rsid w:val="4752533F"/>
    <w:rsid w:val="47613FA5"/>
    <w:rsid w:val="47655843"/>
    <w:rsid w:val="47685334"/>
    <w:rsid w:val="47694F7E"/>
    <w:rsid w:val="476D5991"/>
    <w:rsid w:val="476F0F95"/>
    <w:rsid w:val="47723ABC"/>
    <w:rsid w:val="47772CDC"/>
    <w:rsid w:val="47777325"/>
    <w:rsid w:val="4779309D"/>
    <w:rsid w:val="47797541"/>
    <w:rsid w:val="477A6E15"/>
    <w:rsid w:val="47822F4D"/>
    <w:rsid w:val="47881532"/>
    <w:rsid w:val="478D6B48"/>
    <w:rsid w:val="478E5E7C"/>
    <w:rsid w:val="47905CBF"/>
    <w:rsid w:val="4799373F"/>
    <w:rsid w:val="47A10846"/>
    <w:rsid w:val="47A45C40"/>
    <w:rsid w:val="47AC1029"/>
    <w:rsid w:val="47B10A89"/>
    <w:rsid w:val="47B642F1"/>
    <w:rsid w:val="47B70B98"/>
    <w:rsid w:val="47B95736"/>
    <w:rsid w:val="47B95B8F"/>
    <w:rsid w:val="47C00CCC"/>
    <w:rsid w:val="47CA7D9C"/>
    <w:rsid w:val="47D14C87"/>
    <w:rsid w:val="47D6229D"/>
    <w:rsid w:val="47D624AB"/>
    <w:rsid w:val="47D66712"/>
    <w:rsid w:val="47D77DC3"/>
    <w:rsid w:val="47D90180"/>
    <w:rsid w:val="47DC187E"/>
    <w:rsid w:val="47DE5C16"/>
    <w:rsid w:val="47E310A1"/>
    <w:rsid w:val="47E50732"/>
    <w:rsid w:val="47F21AB5"/>
    <w:rsid w:val="47F93EF5"/>
    <w:rsid w:val="480037BE"/>
    <w:rsid w:val="48030BB8"/>
    <w:rsid w:val="48050DD4"/>
    <w:rsid w:val="48074968"/>
    <w:rsid w:val="480768FB"/>
    <w:rsid w:val="48080ED3"/>
    <w:rsid w:val="480C5CBF"/>
    <w:rsid w:val="480D3D8E"/>
    <w:rsid w:val="480F3A01"/>
    <w:rsid w:val="480F755D"/>
    <w:rsid w:val="481A560A"/>
    <w:rsid w:val="481D051D"/>
    <w:rsid w:val="482022CB"/>
    <w:rsid w:val="48221AD4"/>
    <w:rsid w:val="482A083B"/>
    <w:rsid w:val="482F5ED6"/>
    <w:rsid w:val="48314491"/>
    <w:rsid w:val="483416BA"/>
    <w:rsid w:val="48345216"/>
    <w:rsid w:val="48362D3C"/>
    <w:rsid w:val="483D3F5A"/>
    <w:rsid w:val="48435459"/>
    <w:rsid w:val="484849AC"/>
    <w:rsid w:val="484E4529"/>
    <w:rsid w:val="484F4565"/>
    <w:rsid w:val="485609D2"/>
    <w:rsid w:val="485667D0"/>
    <w:rsid w:val="48594C7C"/>
    <w:rsid w:val="485A4756"/>
    <w:rsid w:val="485D651B"/>
    <w:rsid w:val="48623B31"/>
    <w:rsid w:val="48645AFB"/>
    <w:rsid w:val="48657363"/>
    <w:rsid w:val="48657927"/>
    <w:rsid w:val="486F6E03"/>
    <w:rsid w:val="4870324A"/>
    <w:rsid w:val="48710AEC"/>
    <w:rsid w:val="487178CD"/>
    <w:rsid w:val="48743864"/>
    <w:rsid w:val="4876582E"/>
    <w:rsid w:val="487B2E45"/>
    <w:rsid w:val="487B4BF3"/>
    <w:rsid w:val="48895D17"/>
    <w:rsid w:val="488E0DCA"/>
    <w:rsid w:val="48931F3C"/>
    <w:rsid w:val="48943F06"/>
    <w:rsid w:val="489839F7"/>
    <w:rsid w:val="489857A5"/>
    <w:rsid w:val="489932CB"/>
    <w:rsid w:val="489A776F"/>
    <w:rsid w:val="489B34E7"/>
    <w:rsid w:val="489B7043"/>
    <w:rsid w:val="489E012A"/>
    <w:rsid w:val="489F2FD7"/>
    <w:rsid w:val="48A203D1"/>
    <w:rsid w:val="48AB1420"/>
    <w:rsid w:val="48AB372A"/>
    <w:rsid w:val="48AF2AEE"/>
    <w:rsid w:val="48B545A9"/>
    <w:rsid w:val="48BB1493"/>
    <w:rsid w:val="48CB7640"/>
    <w:rsid w:val="48CE7BCB"/>
    <w:rsid w:val="48D20105"/>
    <w:rsid w:val="48D52555"/>
    <w:rsid w:val="48D565E4"/>
    <w:rsid w:val="48D662CD"/>
    <w:rsid w:val="48D9635F"/>
    <w:rsid w:val="48DB1B35"/>
    <w:rsid w:val="48DB38E3"/>
    <w:rsid w:val="48DF33D4"/>
    <w:rsid w:val="48E22EC4"/>
    <w:rsid w:val="48E629B4"/>
    <w:rsid w:val="48EB4A00"/>
    <w:rsid w:val="48F0738F"/>
    <w:rsid w:val="48F23F76"/>
    <w:rsid w:val="48F93E4A"/>
    <w:rsid w:val="490177EE"/>
    <w:rsid w:val="4902635C"/>
    <w:rsid w:val="4904108C"/>
    <w:rsid w:val="490963CD"/>
    <w:rsid w:val="490C1CEF"/>
    <w:rsid w:val="490E73B0"/>
    <w:rsid w:val="4910095B"/>
    <w:rsid w:val="49115557"/>
    <w:rsid w:val="49166762"/>
    <w:rsid w:val="491F1A22"/>
    <w:rsid w:val="49211C3E"/>
    <w:rsid w:val="492434DC"/>
    <w:rsid w:val="49246F86"/>
    <w:rsid w:val="4926535F"/>
    <w:rsid w:val="492D236F"/>
    <w:rsid w:val="492E6109"/>
    <w:rsid w:val="49325BF9"/>
    <w:rsid w:val="493C0826"/>
    <w:rsid w:val="4941408E"/>
    <w:rsid w:val="494616A5"/>
    <w:rsid w:val="49481C62"/>
    <w:rsid w:val="494871CB"/>
    <w:rsid w:val="49491594"/>
    <w:rsid w:val="494E2307"/>
    <w:rsid w:val="49556169"/>
    <w:rsid w:val="49590E2F"/>
    <w:rsid w:val="495A6EFE"/>
    <w:rsid w:val="495F0EC1"/>
    <w:rsid w:val="495F4514"/>
    <w:rsid w:val="496870B2"/>
    <w:rsid w:val="496E6505"/>
    <w:rsid w:val="496F29A9"/>
    <w:rsid w:val="497004D0"/>
    <w:rsid w:val="49766EA1"/>
    <w:rsid w:val="497D39E2"/>
    <w:rsid w:val="49845188"/>
    <w:rsid w:val="4985515D"/>
    <w:rsid w:val="49861AA1"/>
    <w:rsid w:val="498B70B7"/>
    <w:rsid w:val="49982301"/>
    <w:rsid w:val="499A1EF3"/>
    <w:rsid w:val="499C7517"/>
    <w:rsid w:val="499E3C71"/>
    <w:rsid w:val="49A15789"/>
    <w:rsid w:val="49A404F1"/>
    <w:rsid w:val="49A7061B"/>
    <w:rsid w:val="49A81264"/>
    <w:rsid w:val="49A877D0"/>
    <w:rsid w:val="49AB1508"/>
    <w:rsid w:val="49AF549B"/>
    <w:rsid w:val="49B04D70"/>
    <w:rsid w:val="49B24DC8"/>
    <w:rsid w:val="49BB5BEF"/>
    <w:rsid w:val="49BC7F3E"/>
    <w:rsid w:val="49C5081B"/>
    <w:rsid w:val="49CA7BE0"/>
    <w:rsid w:val="49D50857"/>
    <w:rsid w:val="49D77F46"/>
    <w:rsid w:val="49D96075"/>
    <w:rsid w:val="49DB1DED"/>
    <w:rsid w:val="49DC5B65"/>
    <w:rsid w:val="49DE7B2F"/>
    <w:rsid w:val="49E1317B"/>
    <w:rsid w:val="49EA2030"/>
    <w:rsid w:val="49EF3E9A"/>
    <w:rsid w:val="49F17862"/>
    <w:rsid w:val="49F92273"/>
    <w:rsid w:val="49FA7D58"/>
    <w:rsid w:val="49FC1D63"/>
    <w:rsid w:val="4A064990"/>
    <w:rsid w:val="4A0708B1"/>
    <w:rsid w:val="4A080708"/>
    <w:rsid w:val="4A100FFA"/>
    <w:rsid w:val="4A143551"/>
    <w:rsid w:val="4A195EB5"/>
    <w:rsid w:val="4A2117CA"/>
    <w:rsid w:val="4A253068"/>
    <w:rsid w:val="4A282B58"/>
    <w:rsid w:val="4A2B43F6"/>
    <w:rsid w:val="4A2D7AF8"/>
    <w:rsid w:val="4A315EB1"/>
    <w:rsid w:val="4A361719"/>
    <w:rsid w:val="4A366068"/>
    <w:rsid w:val="4A3D2AA8"/>
    <w:rsid w:val="4A3E412A"/>
    <w:rsid w:val="4A431740"/>
    <w:rsid w:val="4A45370A"/>
    <w:rsid w:val="4A472530"/>
    <w:rsid w:val="4A4F6589"/>
    <w:rsid w:val="4A525D1C"/>
    <w:rsid w:val="4A533026"/>
    <w:rsid w:val="4A596C75"/>
    <w:rsid w:val="4A5971B6"/>
    <w:rsid w:val="4A5E2A1E"/>
    <w:rsid w:val="4A606796"/>
    <w:rsid w:val="4A6470C4"/>
    <w:rsid w:val="4A6C6EE9"/>
    <w:rsid w:val="4A6D4A0F"/>
    <w:rsid w:val="4A70041E"/>
    <w:rsid w:val="4A7144FF"/>
    <w:rsid w:val="4A7427CE"/>
    <w:rsid w:val="4A745D9D"/>
    <w:rsid w:val="4A7A7858"/>
    <w:rsid w:val="4A7D347C"/>
    <w:rsid w:val="4A7D4C52"/>
    <w:rsid w:val="4A8204BA"/>
    <w:rsid w:val="4A857FAB"/>
    <w:rsid w:val="4A881849"/>
    <w:rsid w:val="4A915947"/>
    <w:rsid w:val="4A993A56"/>
    <w:rsid w:val="4AA246B9"/>
    <w:rsid w:val="4AA6082B"/>
    <w:rsid w:val="4AAA4E13"/>
    <w:rsid w:val="4AAC5537"/>
    <w:rsid w:val="4AAE12AF"/>
    <w:rsid w:val="4AB03279"/>
    <w:rsid w:val="4AB16FF2"/>
    <w:rsid w:val="4AB50890"/>
    <w:rsid w:val="4AB55462"/>
    <w:rsid w:val="4ABB1C1E"/>
    <w:rsid w:val="4ABB577A"/>
    <w:rsid w:val="4AC00FE3"/>
    <w:rsid w:val="4AC05487"/>
    <w:rsid w:val="4ACF1226"/>
    <w:rsid w:val="4AD11442"/>
    <w:rsid w:val="4AD168DE"/>
    <w:rsid w:val="4AD30D16"/>
    <w:rsid w:val="4AD60806"/>
    <w:rsid w:val="4AD66A58"/>
    <w:rsid w:val="4AD8457E"/>
    <w:rsid w:val="4AE41175"/>
    <w:rsid w:val="4AEB42B2"/>
    <w:rsid w:val="4AEE3DA2"/>
    <w:rsid w:val="4AEE78FE"/>
    <w:rsid w:val="4AF07B1A"/>
    <w:rsid w:val="4AF37758"/>
    <w:rsid w:val="4AF60EA8"/>
    <w:rsid w:val="4AF64492"/>
    <w:rsid w:val="4AFA44F5"/>
    <w:rsid w:val="4AFB201B"/>
    <w:rsid w:val="4AFC5BC7"/>
    <w:rsid w:val="4B0B1F4A"/>
    <w:rsid w:val="4B0E7FA0"/>
    <w:rsid w:val="4B105AC6"/>
    <w:rsid w:val="4B133808"/>
    <w:rsid w:val="4B136457"/>
    <w:rsid w:val="4B162612"/>
    <w:rsid w:val="4B16716D"/>
    <w:rsid w:val="4B1F03FF"/>
    <w:rsid w:val="4B1F3056"/>
    <w:rsid w:val="4B1F3F5B"/>
    <w:rsid w:val="4B201A81"/>
    <w:rsid w:val="4B2A1534"/>
    <w:rsid w:val="4B2C6678"/>
    <w:rsid w:val="4B2E0642"/>
    <w:rsid w:val="4B3774F7"/>
    <w:rsid w:val="4B3A0D95"/>
    <w:rsid w:val="4B3F12D4"/>
    <w:rsid w:val="4B4614E8"/>
    <w:rsid w:val="4B46598C"/>
    <w:rsid w:val="4B4C2876"/>
    <w:rsid w:val="4B4C6A76"/>
    <w:rsid w:val="4B4E1E6E"/>
    <w:rsid w:val="4B4F1A53"/>
    <w:rsid w:val="4B57362B"/>
    <w:rsid w:val="4B5736F5"/>
    <w:rsid w:val="4B5A4F93"/>
    <w:rsid w:val="4B5C0D0B"/>
    <w:rsid w:val="4B5E0F27"/>
    <w:rsid w:val="4B5F07FC"/>
    <w:rsid w:val="4B6202EC"/>
    <w:rsid w:val="4B6422B6"/>
    <w:rsid w:val="4B6834E6"/>
    <w:rsid w:val="4B6978CC"/>
    <w:rsid w:val="4B6F3CB1"/>
    <w:rsid w:val="4B702A09"/>
    <w:rsid w:val="4B736055"/>
    <w:rsid w:val="4B78366B"/>
    <w:rsid w:val="4B79482B"/>
    <w:rsid w:val="4B7B56C4"/>
    <w:rsid w:val="4B7F0E9E"/>
    <w:rsid w:val="4B83273C"/>
    <w:rsid w:val="4B86222C"/>
    <w:rsid w:val="4B897627"/>
    <w:rsid w:val="4B8D35BB"/>
    <w:rsid w:val="4B927AC7"/>
    <w:rsid w:val="4B9A5CD8"/>
    <w:rsid w:val="4B9D30D2"/>
    <w:rsid w:val="4B9F32EE"/>
    <w:rsid w:val="4BA821A3"/>
    <w:rsid w:val="4BAD1567"/>
    <w:rsid w:val="4BB050FB"/>
    <w:rsid w:val="4BB31B6E"/>
    <w:rsid w:val="4BB548C0"/>
    <w:rsid w:val="4BBA1ED6"/>
    <w:rsid w:val="4BBC17AA"/>
    <w:rsid w:val="4BC279EC"/>
    <w:rsid w:val="4BC51B2E"/>
    <w:rsid w:val="4BC845F3"/>
    <w:rsid w:val="4BD2063D"/>
    <w:rsid w:val="4BD75568"/>
    <w:rsid w:val="4BDA71CC"/>
    <w:rsid w:val="4BE1535A"/>
    <w:rsid w:val="4BE15F06"/>
    <w:rsid w:val="4BE53E4C"/>
    <w:rsid w:val="4BE54561"/>
    <w:rsid w:val="4BE85591"/>
    <w:rsid w:val="4BEB02E1"/>
    <w:rsid w:val="4BED22AB"/>
    <w:rsid w:val="4BF011C3"/>
    <w:rsid w:val="4BF03B4A"/>
    <w:rsid w:val="4BF2341E"/>
    <w:rsid w:val="4BF74371"/>
    <w:rsid w:val="4C081679"/>
    <w:rsid w:val="4C0A12EF"/>
    <w:rsid w:val="4C0D0258"/>
    <w:rsid w:val="4C0E1C64"/>
    <w:rsid w:val="4C107D48"/>
    <w:rsid w:val="4C166E79"/>
    <w:rsid w:val="4C1710D6"/>
    <w:rsid w:val="4C1B0BC7"/>
    <w:rsid w:val="4C1C493F"/>
    <w:rsid w:val="4C20442F"/>
    <w:rsid w:val="4C231893"/>
    <w:rsid w:val="4C2C4B82"/>
    <w:rsid w:val="4C2E3272"/>
    <w:rsid w:val="4C2F01CE"/>
    <w:rsid w:val="4C324162"/>
    <w:rsid w:val="4C33502F"/>
    <w:rsid w:val="4C343A36"/>
    <w:rsid w:val="4C35316B"/>
    <w:rsid w:val="4C3677AE"/>
    <w:rsid w:val="4C392E06"/>
    <w:rsid w:val="4C3A6B73"/>
    <w:rsid w:val="4C404189"/>
    <w:rsid w:val="4C4243A5"/>
    <w:rsid w:val="4C431ECB"/>
    <w:rsid w:val="4C460604"/>
    <w:rsid w:val="4C4719BC"/>
    <w:rsid w:val="4C481290"/>
    <w:rsid w:val="4C4A14AC"/>
    <w:rsid w:val="4C516396"/>
    <w:rsid w:val="4C575977"/>
    <w:rsid w:val="4C5B7215"/>
    <w:rsid w:val="4C5B77AA"/>
    <w:rsid w:val="4C702FC4"/>
    <w:rsid w:val="4C70753A"/>
    <w:rsid w:val="4C72455F"/>
    <w:rsid w:val="4C726ACF"/>
    <w:rsid w:val="4C74753D"/>
    <w:rsid w:val="4C787DC7"/>
    <w:rsid w:val="4C7A3B09"/>
    <w:rsid w:val="4C804A38"/>
    <w:rsid w:val="4C885B30"/>
    <w:rsid w:val="4C8C5620"/>
    <w:rsid w:val="4C8D1398"/>
    <w:rsid w:val="4C942727"/>
    <w:rsid w:val="4C945446"/>
    <w:rsid w:val="4C975D73"/>
    <w:rsid w:val="4C9E0F1C"/>
    <w:rsid w:val="4CC001C6"/>
    <w:rsid w:val="4CC9076A"/>
    <w:rsid w:val="4CD64AED"/>
    <w:rsid w:val="4CD945DE"/>
    <w:rsid w:val="4CDC14E3"/>
    <w:rsid w:val="4CDC3A84"/>
    <w:rsid w:val="4CDE39A2"/>
    <w:rsid w:val="4CE0596C"/>
    <w:rsid w:val="4CE11174"/>
    <w:rsid w:val="4CEB7035"/>
    <w:rsid w:val="4CF3569F"/>
    <w:rsid w:val="4CFA74AF"/>
    <w:rsid w:val="4CFB4554"/>
    <w:rsid w:val="4CFC11D3"/>
    <w:rsid w:val="4CFF4044"/>
    <w:rsid w:val="4CFF4CB6"/>
    <w:rsid w:val="4D07739D"/>
    <w:rsid w:val="4D113D78"/>
    <w:rsid w:val="4D1464A0"/>
    <w:rsid w:val="4D1675E0"/>
    <w:rsid w:val="4D176E22"/>
    <w:rsid w:val="4D1E6D46"/>
    <w:rsid w:val="4D1F46E6"/>
    <w:rsid w:val="4D225F85"/>
    <w:rsid w:val="4D241CFD"/>
    <w:rsid w:val="4D297313"/>
    <w:rsid w:val="4D2C0BB1"/>
    <w:rsid w:val="4D2E33A1"/>
    <w:rsid w:val="4D30523F"/>
    <w:rsid w:val="4D31441A"/>
    <w:rsid w:val="4D331F40"/>
    <w:rsid w:val="4D333CEE"/>
    <w:rsid w:val="4D3857A8"/>
    <w:rsid w:val="4D3D6A7C"/>
    <w:rsid w:val="4D40640B"/>
    <w:rsid w:val="4D44414D"/>
    <w:rsid w:val="4D4B7289"/>
    <w:rsid w:val="4D4F00D9"/>
    <w:rsid w:val="4D547286"/>
    <w:rsid w:val="4D5A571F"/>
    <w:rsid w:val="4D6C234B"/>
    <w:rsid w:val="4D73058E"/>
    <w:rsid w:val="4D7607DC"/>
    <w:rsid w:val="4D7762D0"/>
    <w:rsid w:val="4D783DF7"/>
    <w:rsid w:val="4D785BA5"/>
    <w:rsid w:val="4D7B7443"/>
    <w:rsid w:val="4D800832"/>
    <w:rsid w:val="4D810E38"/>
    <w:rsid w:val="4D826A23"/>
    <w:rsid w:val="4D8C33FE"/>
    <w:rsid w:val="4D930C30"/>
    <w:rsid w:val="4D98087B"/>
    <w:rsid w:val="4DA370C6"/>
    <w:rsid w:val="4DAD0732"/>
    <w:rsid w:val="4DAE15C6"/>
    <w:rsid w:val="4DB34E2F"/>
    <w:rsid w:val="4DB647E6"/>
    <w:rsid w:val="4DB7491F"/>
    <w:rsid w:val="4DBC3CE3"/>
    <w:rsid w:val="4DBE165B"/>
    <w:rsid w:val="4DBF37D4"/>
    <w:rsid w:val="4DC21E1F"/>
    <w:rsid w:val="4DC31516"/>
    <w:rsid w:val="4DC82688"/>
    <w:rsid w:val="4DCA4639"/>
    <w:rsid w:val="4DCB6CBE"/>
    <w:rsid w:val="4DD52FF7"/>
    <w:rsid w:val="4DDA23BB"/>
    <w:rsid w:val="4DE4323A"/>
    <w:rsid w:val="4DE84AD8"/>
    <w:rsid w:val="4DE90850"/>
    <w:rsid w:val="4DED20EF"/>
    <w:rsid w:val="4DF66C49"/>
    <w:rsid w:val="4DFA0CB0"/>
    <w:rsid w:val="4DFA2A5E"/>
    <w:rsid w:val="4E017E3F"/>
    <w:rsid w:val="4E035954"/>
    <w:rsid w:val="4E035DB6"/>
    <w:rsid w:val="4E0A3812"/>
    <w:rsid w:val="4E0B3255"/>
    <w:rsid w:val="4E0D67C5"/>
    <w:rsid w:val="4E102A65"/>
    <w:rsid w:val="4E1F24C4"/>
    <w:rsid w:val="4E213D88"/>
    <w:rsid w:val="4E241889"/>
    <w:rsid w:val="4E2B2C17"/>
    <w:rsid w:val="4E322703"/>
    <w:rsid w:val="4E347D1E"/>
    <w:rsid w:val="4E3B72FE"/>
    <w:rsid w:val="4E402B66"/>
    <w:rsid w:val="4E496A3E"/>
    <w:rsid w:val="4E4D0DDF"/>
    <w:rsid w:val="4E537B8C"/>
    <w:rsid w:val="4E546612"/>
    <w:rsid w:val="4E5E123E"/>
    <w:rsid w:val="4E5E38D3"/>
    <w:rsid w:val="4E605060"/>
    <w:rsid w:val="4E6323B1"/>
    <w:rsid w:val="4E661EA1"/>
    <w:rsid w:val="4E685C19"/>
    <w:rsid w:val="4E6C395B"/>
    <w:rsid w:val="4E6D1482"/>
    <w:rsid w:val="4E7209A2"/>
    <w:rsid w:val="4E724CEA"/>
    <w:rsid w:val="4E740A62"/>
    <w:rsid w:val="4E7F5964"/>
    <w:rsid w:val="4E8B1908"/>
    <w:rsid w:val="4E8D5680"/>
    <w:rsid w:val="4E8F13F8"/>
    <w:rsid w:val="4E916F1E"/>
    <w:rsid w:val="4E942CDC"/>
    <w:rsid w:val="4E962786"/>
    <w:rsid w:val="4E9904C8"/>
    <w:rsid w:val="4E9B1B4B"/>
    <w:rsid w:val="4EA01857"/>
    <w:rsid w:val="4EA62201"/>
    <w:rsid w:val="4EAA6232"/>
    <w:rsid w:val="4EAA7FE0"/>
    <w:rsid w:val="4EB40E5E"/>
    <w:rsid w:val="4EBA2F55"/>
    <w:rsid w:val="4EBB45B4"/>
    <w:rsid w:val="4EC310A1"/>
    <w:rsid w:val="4EC72940"/>
    <w:rsid w:val="4EC76DE4"/>
    <w:rsid w:val="4EC87133"/>
    <w:rsid w:val="4ECC0997"/>
    <w:rsid w:val="4ECC75FB"/>
    <w:rsid w:val="4ECF4254"/>
    <w:rsid w:val="4ED212E5"/>
    <w:rsid w:val="4ED41501"/>
    <w:rsid w:val="4ED84B4D"/>
    <w:rsid w:val="4EDB63EB"/>
    <w:rsid w:val="4EE23C1E"/>
    <w:rsid w:val="4EE31744"/>
    <w:rsid w:val="4EE80B08"/>
    <w:rsid w:val="4EEF7A83"/>
    <w:rsid w:val="4EF63225"/>
    <w:rsid w:val="4EF70D4B"/>
    <w:rsid w:val="4EF94AC3"/>
    <w:rsid w:val="4EFB0154"/>
    <w:rsid w:val="4F0A6742"/>
    <w:rsid w:val="4F0F312A"/>
    <w:rsid w:val="4F135B85"/>
    <w:rsid w:val="4F2021E6"/>
    <w:rsid w:val="4F22546A"/>
    <w:rsid w:val="4F2951E3"/>
    <w:rsid w:val="4F2953A8"/>
    <w:rsid w:val="4F2A7373"/>
    <w:rsid w:val="4F2E2C8D"/>
    <w:rsid w:val="4F31425D"/>
    <w:rsid w:val="4F3229F1"/>
    <w:rsid w:val="4F361873"/>
    <w:rsid w:val="4F36432A"/>
    <w:rsid w:val="4F3A5808"/>
    <w:rsid w:val="4F4501D7"/>
    <w:rsid w:val="4F457D08"/>
    <w:rsid w:val="4F473A81"/>
    <w:rsid w:val="4F4E2D21"/>
    <w:rsid w:val="4F50502B"/>
    <w:rsid w:val="4F520447"/>
    <w:rsid w:val="4F5A2DD9"/>
    <w:rsid w:val="4F5C39D0"/>
    <w:rsid w:val="4F5D32A4"/>
    <w:rsid w:val="4F6A04F1"/>
    <w:rsid w:val="4F74239C"/>
    <w:rsid w:val="4F794C26"/>
    <w:rsid w:val="4F797645"/>
    <w:rsid w:val="4F7A5C04"/>
    <w:rsid w:val="4F7A7473"/>
    <w:rsid w:val="4F7E3A09"/>
    <w:rsid w:val="4F7F146C"/>
    <w:rsid w:val="4F813E1A"/>
    <w:rsid w:val="4F8612AD"/>
    <w:rsid w:val="4F8B1BBF"/>
    <w:rsid w:val="4F8C3B89"/>
    <w:rsid w:val="4F920A44"/>
    <w:rsid w:val="4F98034D"/>
    <w:rsid w:val="4F9A042C"/>
    <w:rsid w:val="4F9B5B7A"/>
    <w:rsid w:val="4FA709C3"/>
    <w:rsid w:val="4FA774FA"/>
    <w:rsid w:val="4FAC55CD"/>
    <w:rsid w:val="4FBD3FD3"/>
    <w:rsid w:val="4FBF3D7B"/>
    <w:rsid w:val="4FC21359"/>
    <w:rsid w:val="4FC60E49"/>
    <w:rsid w:val="4FC7696F"/>
    <w:rsid w:val="4FC96F32"/>
    <w:rsid w:val="4FCD042A"/>
    <w:rsid w:val="4FD23C92"/>
    <w:rsid w:val="4FD91CDF"/>
    <w:rsid w:val="4FD92EDB"/>
    <w:rsid w:val="4FE211F9"/>
    <w:rsid w:val="4FE319FB"/>
    <w:rsid w:val="4FE70DC0"/>
    <w:rsid w:val="4FEE65F2"/>
    <w:rsid w:val="4FF0236A"/>
    <w:rsid w:val="4FF04118"/>
    <w:rsid w:val="4FF0426A"/>
    <w:rsid w:val="4FF05EC6"/>
    <w:rsid w:val="4FF122D9"/>
    <w:rsid w:val="4FF76DFD"/>
    <w:rsid w:val="4FF77255"/>
    <w:rsid w:val="4FFA0AF3"/>
    <w:rsid w:val="4FFD49BB"/>
    <w:rsid w:val="4FFD7932"/>
    <w:rsid w:val="50081462"/>
    <w:rsid w:val="500951DA"/>
    <w:rsid w:val="50106568"/>
    <w:rsid w:val="50182D92"/>
    <w:rsid w:val="50193FF8"/>
    <w:rsid w:val="50194E73"/>
    <w:rsid w:val="501A0D73"/>
    <w:rsid w:val="501A2F43"/>
    <w:rsid w:val="501E0C85"/>
    <w:rsid w:val="501F49FD"/>
    <w:rsid w:val="501F4F53"/>
    <w:rsid w:val="50243DC2"/>
    <w:rsid w:val="5025615E"/>
    <w:rsid w:val="502A3867"/>
    <w:rsid w:val="503009B9"/>
    <w:rsid w:val="503A5393"/>
    <w:rsid w:val="503C7AAB"/>
    <w:rsid w:val="50404F75"/>
    <w:rsid w:val="50406E4E"/>
    <w:rsid w:val="50414974"/>
    <w:rsid w:val="504306EC"/>
    <w:rsid w:val="50461F8A"/>
    <w:rsid w:val="504A4FED"/>
    <w:rsid w:val="50526B81"/>
    <w:rsid w:val="50551558"/>
    <w:rsid w:val="50554B75"/>
    <w:rsid w:val="505C684E"/>
    <w:rsid w:val="50677322"/>
    <w:rsid w:val="506E4500"/>
    <w:rsid w:val="507408A5"/>
    <w:rsid w:val="50760AC1"/>
    <w:rsid w:val="50792360"/>
    <w:rsid w:val="507C3BFE"/>
    <w:rsid w:val="507E7976"/>
    <w:rsid w:val="50811214"/>
    <w:rsid w:val="50817855"/>
    <w:rsid w:val="50852AB2"/>
    <w:rsid w:val="5086283A"/>
    <w:rsid w:val="508A631B"/>
    <w:rsid w:val="50942CF5"/>
    <w:rsid w:val="509C7DFC"/>
    <w:rsid w:val="509E1DC6"/>
    <w:rsid w:val="50A70C7B"/>
    <w:rsid w:val="50A75D18"/>
    <w:rsid w:val="50AA2519"/>
    <w:rsid w:val="50AD2009"/>
    <w:rsid w:val="50AF7B2F"/>
    <w:rsid w:val="50B415EA"/>
    <w:rsid w:val="50B71642"/>
    <w:rsid w:val="50B74C36"/>
    <w:rsid w:val="50B86A68"/>
    <w:rsid w:val="50B9275C"/>
    <w:rsid w:val="50BC554C"/>
    <w:rsid w:val="50C01D3C"/>
    <w:rsid w:val="50C64E79"/>
    <w:rsid w:val="50C730CB"/>
    <w:rsid w:val="50C86E43"/>
    <w:rsid w:val="50CE4A5A"/>
    <w:rsid w:val="50D650BC"/>
    <w:rsid w:val="50D94BAC"/>
    <w:rsid w:val="50DD28EE"/>
    <w:rsid w:val="50E83041"/>
    <w:rsid w:val="50E913EE"/>
    <w:rsid w:val="50EA0B67"/>
    <w:rsid w:val="50EC2B32"/>
    <w:rsid w:val="50ED2406"/>
    <w:rsid w:val="50F47C38"/>
    <w:rsid w:val="50F639B0"/>
    <w:rsid w:val="50F65B01"/>
    <w:rsid w:val="50FD6AED"/>
    <w:rsid w:val="51011976"/>
    <w:rsid w:val="5101660C"/>
    <w:rsid w:val="510B63C7"/>
    <w:rsid w:val="510C31D4"/>
    <w:rsid w:val="511107EA"/>
    <w:rsid w:val="51134562"/>
    <w:rsid w:val="51167BAE"/>
    <w:rsid w:val="511C1459"/>
    <w:rsid w:val="511C4887"/>
    <w:rsid w:val="511F0B45"/>
    <w:rsid w:val="511F4A9D"/>
    <w:rsid w:val="512027DB"/>
    <w:rsid w:val="5124669B"/>
    <w:rsid w:val="51281690"/>
    <w:rsid w:val="512D6CA6"/>
    <w:rsid w:val="512E4EF8"/>
    <w:rsid w:val="51312C3A"/>
    <w:rsid w:val="513D338D"/>
    <w:rsid w:val="513E2C61"/>
    <w:rsid w:val="51453FF0"/>
    <w:rsid w:val="514566E6"/>
    <w:rsid w:val="514F4909"/>
    <w:rsid w:val="51542485"/>
    <w:rsid w:val="51556929"/>
    <w:rsid w:val="515801C7"/>
    <w:rsid w:val="51586419"/>
    <w:rsid w:val="515B47F7"/>
    <w:rsid w:val="5160707C"/>
    <w:rsid w:val="51654692"/>
    <w:rsid w:val="51666771"/>
    <w:rsid w:val="5167665C"/>
    <w:rsid w:val="516867E6"/>
    <w:rsid w:val="51752B27"/>
    <w:rsid w:val="51791EEB"/>
    <w:rsid w:val="517F5754"/>
    <w:rsid w:val="518324E1"/>
    <w:rsid w:val="518E5039"/>
    <w:rsid w:val="51907961"/>
    <w:rsid w:val="51937451"/>
    <w:rsid w:val="519660C2"/>
    <w:rsid w:val="519841DA"/>
    <w:rsid w:val="519866CD"/>
    <w:rsid w:val="519B6306"/>
    <w:rsid w:val="519D3E2C"/>
    <w:rsid w:val="519F7BA4"/>
    <w:rsid w:val="51A21442"/>
    <w:rsid w:val="51AD2D4C"/>
    <w:rsid w:val="51B13991"/>
    <w:rsid w:val="51B55619"/>
    <w:rsid w:val="51B6560A"/>
    <w:rsid w:val="51B66C9C"/>
    <w:rsid w:val="51BA49DE"/>
    <w:rsid w:val="51BC69A8"/>
    <w:rsid w:val="51C527A0"/>
    <w:rsid w:val="51C65F07"/>
    <w:rsid w:val="51C71A0C"/>
    <w:rsid w:val="51CC4711"/>
    <w:rsid w:val="51DD06CC"/>
    <w:rsid w:val="51E63A25"/>
    <w:rsid w:val="51E7154B"/>
    <w:rsid w:val="51EA47B1"/>
    <w:rsid w:val="51EE6435"/>
    <w:rsid w:val="51F37EF0"/>
    <w:rsid w:val="51F51E24"/>
    <w:rsid w:val="51F55A16"/>
    <w:rsid w:val="51F83758"/>
    <w:rsid w:val="51F872B4"/>
    <w:rsid w:val="51FA2BA9"/>
    <w:rsid w:val="51FD2B1C"/>
    <w:rsid w:val="52015185"/>
    <w:rsid w:val="52045C59"/>
    <w:rsid w:val="52065863"/>
    <w:rsid w:val="52071F9B"/>
    <w:rsid w:val="520C2D5F"/>
    <w:rsid w:val="520E4D2A"/>
    <w:rsid w:val="520F1E5B"/>
    <w:rsid w:val="5212481A"/>
    <w:rsid w:val="52171E30"/>
    <w:rsid w:val="521F4367"/>
    <w:rsid w:val="52205F7C"/>
    <w:rsid w:val="522105B9"/>
    <w:rsid w:val="52234F0C"/>
    <w:rsid w:val="522832D5"/>
    <w:rsid w:val="52285DEB"/>
    <w:rsid w:val="522955DE"/>
    <w:rsid w:val="522956BF"/>
    <w:rsid w:val="522E717A"/>
    <w:rsid w:val="52320A18"/>
    <w:rsid w:val="52345534"/>
    <w:rsid w:val="523C3645"/>
    <w:rsid w:val="523E560F"/>
    <w:rsid w:val="525703F8"/>
    <w:rsid w:val="525B73CE"/>
    <w:rsid w:val="52635075"/>
    <w:rsid w:val="52664C76"/>
    <w:rsid w:val="5268268C"/>
    <w:rsid w:val="52683A31"/>
    <w:rsid w:val="52781232"/>
    <w:rsid w:val="527B1EA7"/>
    <w:rsid w:val="527C7EE5"/>
    <w:rsid w:val="52860D64"/>
    <w:rsid w:val="528A2221"/>
    <w:rsid w:val="528A2602"/>
    <w:rsid w:val="528D5C4E"/>
    <w:rsid w:val="52961E90"/>
    <w:rsid w:val="52990A97"/>
    <w:rsid w:val="529C40E3"/>
    <w:rsid w:val="52A336C4"/>
    <w:rsid w:val="52A43740"/>
    <w:rsid w:val="52A5743C"/>
    <w:rsid w:val="52A631B4"/>
    <w:rsid w:val="52AF2069"/>
    <w:rsid w:val="52B00EFD"/>
    <w:rsid w:val="52BC6534"/>
    <w:rsid w:val="52C13607"/>
    <w:rsid w:val="52C378C2"/>
    <w:rsid w:val="52D01FDF"/>
    <w:rsid w:val="52D25D57"/>
    <w:rsid w:val="52D6666B"/>
    <w:rsid w:val="52D7511B"/>
    <w:rsid w:val="52D970E6"/>
    <w:rsid w:val="52DE294E"/>
    <w:rsid w:val="52E141EC"/>
    <w:rsid w:val="52E368FA"/>
    <w:rsid w:val="52E579D6"/>
    <w:rsid w:val="52E875D2"/>
    <w:rsid w:val="52EB7DC5"/>
    <w:rsid w:val="52ED493F"/>
    <w:rsid w:val="52EF0D28"/>
    <w:rsid w:val="52EF6909"/>
    <w:rsid w:val="5302663C"/>
    <w:rsid w:val="53051C89"/>
    <w:rsid w:val="53095C1D"/>
    <w:rsid w:val="530C3017"/>
    <w:rsid w:val="530D6D8F"/>
    <w:rsid w:val="530D6F1F"/>
    <w:rsid w:val="530E5FE6"/>
    <w:rsid w:val="530F0D59"/>
    <w:rsid w:val="530F45D0"/>
    <w:rsid w:val="531170EE"/>
    <w:rsid w:val="531225F7"/>
    <w:rsid w:val="531356F0"/>
    <w:rsid w:val="531B76FE"/>
    <w:rsid w:val="531F34FF"/>
    <w:rsid w:val="532218D2"/>
    <w:rsid w:val="53225F6F"/>
    <w:rsid w:val="53236374"/>
    <w:rsid w:val="532365B3"/>
    <w:rsid w:val="532952A4"/>
    <w:rsid w:val="533E33EC"/>
    <w:rsid w:val="533F163E"/>
    <w:rsid w:val="53400F13"/>
    <w:rsid w:val="53430E3E"/>
    <w:rsid w:val="53462743"/>
    <w:rsid w:val="534A1D91"/>
    <w:rsid w:val="534B67E7"/>
    <w:rsid w:val="53511372"/>
    <w:rsid w:val="53580D22"/>
    <w:rsid w:val="53590226"/>
    <w:rsid w:val="535D303B"/>
    <w:rsid w:val="535F3A8F"/>
    <w:rsid w:val="536300CA"/>
    <w:rsid w:val="536368CD"/>
    <w:rsid w:val="53681553"/>
    <w:rsid w:val="536A41E2"/>
    <w:rsid w:val="536D7406"/>
    <w:rsid w:val="536D782E"/>
    <w:rsid w:val="53753348"/>
    <w:rsid w:val="53764934"/>
    <w:rsid w:val="53776561"/>
    <w:rsid w:val="537F4332"/>
    <w:rsid w:val="537F7C8D"/>
    <w:rsid w:val="5382152B"/>
    <w:rsid w:val="538B6881"/>
    <w:rsid w:val="538E1C7E"/>
    <w:rsid w:val="539733DA"/>
    <w:rsid w:val="539D5E7C"/>
    <w:rsid w:val="53A522D0"/>
    <w:rsid w:val="53A72D40"/>
    <w:rsid w:val="53B4545D"/>
    <w:rsid w:val="53B51A02"/>
    <w:rsid w:val="53B67427"/>
    <w:rsid w:val="53BB67EB"/>
    <w:rsid w:val="53BD07B5"/>
    <w:rsid w:val="53BE102D"/>
    <w:rsid w:val="53C47D96"/>
    <w:rsid w:val="53CB2ED2"/>
    <w:rsid w:val="53CE651E"/>
    <w:rsid w:val="53CE6E7F"/>
    <w:rsid w:val="53CF6631"/>
    <w:rsid w:val="53D22156"/>
    <w:rsid w:val="53D61877"/>
    <w:rsid w:val="53D8739D"/>
    <w:rsid w:val="53DD2882"/>
    <w:rsid w:val="53E162A0"/>
    <w:rsid w:val="53E3402E"/>
    <w:rsid w:val="53E76204"/>
    <w:rsid w:val="53E775E0"/>
    <w:rsid w:val="53E8043C"/>
    <w:rsid w:val="53F32429"/>
    <w:rsid w:val="53F561A1"/>
    <w:rsid w:val="53F73CC7"/>
    <w:rsid w:val="53F817ED"/>
    <w:rsid w:val="53FA37B7"/>
    <w:rsid w:val="54014B46"/>
    <w:rsid w:val="540168F4"/>
    <w:rsid w:val="5406215C"/>
    <w:rsid w:val="540B7773"/>
    <w:rsid w:val="54136627"/>
    <w:rsid w:val="54185762"/>
    <w:rsid w:val="5419780A"/>
    <w:rsid w:val="54280325"/>
    <w:rsid w:val="542C6388"/>
    <w:rsid w:val="54360282"/>
    <w:rsid w:val="543D36A4"/>
    <w:rsid w:val="543D5452"/>
    <w:rsid w:val="543E18F6"/>
    <w:rsid w:val="543E7CE1"/>
    <w:rsid w:val="54400401"/>
    <w:rsid w:val="5443063A"/>
    <w:rsid w:val="54462559"/>
    <w:rsid w:val="544B5DC1"/>
    <w:rsid w:val="54505185"/>
    <w:rsid w:val="545253A1"/>
    <w:rsid w:val="54532E69"/>
    <w:rsid w:val="5455494F"/>
    <w:rsid w:val="54560BAB"/>
    <w:rsid w:val="545729B8"/>
    <w:rsid w:val="545C1D7C"/>
    <w:rsid w:val="545F4A77"/>
    <w:rsid w:val="545F7ABE"/>
    <w:rsid w:val="54694499"/>
    <w:rsid w:val="546A11C8"/>
    <w:rsid w:val="546B0211"/>
    <w:rsid w:val="546B1FBF"/>
    <w:rsid w:val="546B2918"/>
    <w:rsid w:val="546D5D37"/>
    <w:rsid w:val="546E1AAF"/>
    <w:rsid w:val="54716D98"/>
    <w:rsid w:val="547370C6"/>
    <w:rsid w:val="54770574"/>
    <w:rsid w:val="547A48F8"/>
    <w:rsid w:val="547A68FE"/>
    <w:rsid w:val="547F1F0F"/>
    <w:rsid w:val="54882B71"/>
    <w:rsid w:val="548968E9"/>
    <w:rsid w:val="549120B9"/>
    <w:rsid w:val="5492579E"/>
    <w:rsid w:val="54971006"/>
    <w:rsid w:val="549E4143"/>
    <w:rsid w:val="54A36FD5"/>
    <w:rsid w:val="54A92AE8"/>
    <w:rsid w:val="54AD6A7C"/>
    <w:rsid w:val="54B27BEE"/>
    <w:rsid w:val="54B576DE"/>
    <w:rsid w:val="54B716A8"/>
    <w:rsid w:val="54B90F7D"/>
    <w:rsid w:val="54B95421"/>
    <w:rsid w:val="54C36822"/>
    <w:rsid w:val="54CC4936"/>
    <w:rsid w:val="54D23DEC"/>
    <w:rsid w:val="54D35A2E"/>
    <w:rsid w:val="54D44008"/>
    <w:rsid w:val="54D7642C"/>
    <w:rsid w:val="54D837BD"/>
    <w:rsid w:val="54D933CD"/>
    <w:rsid w:val="54DA6DE2"/>
    <w:rsid w:val="54E5725F"/>
    <w:rsid w:val="54E655C1"/>
    <w:rsid w:val="54EB118C"/>
    <w:rsid w:val="54EF499E"/>
    <w:rsid w:val="54F2623D"/>
    <w:rsid w:val="54F62BF2"/>
    <w:rsid w:val="54F75F49"/>
    <w:rsid w:val="54F868B9"/>
    <w:rsid w:val="54F93A6F"/>
    <w:rsid w:val="55006D74"/>
    <w:rsid w:val="550541C2"/>
    <w:rsid w:val="55083131"/>
    <w:rsid w:val="55083CB2"/>
    <w:rsid w:val="55085A60"/>
    <w:rsid w:val="550D3CF7"/>
    <w:rsid w:val="550D406A"/>
    <w:rsid w:val="55102B67"/>
    <w:rsid w:val="55115E79"/>
    <w:rsid w:val="55152FCA"/>
    <w:rsid w:val="551C150B"/>
    <w:rsid w:val="551D59AF"/>
    <w:rsid w:val="551E34D6"/>
    <w:rsid w:val="551E5284"/>
    <w:rsid w:val="552F56E3"/>
    <w:rsid w:val="552F73AB"/>
    <w:rsid w:val="55314FB7"/>
    <w:rsid w:val="55342CF9"/>
    <w:rsid w:val="5534548C"/>
    <w:rsid w:val="5537307F"/>
    <w:rsid w:val="553A2741"/>
    <w:rsid w:val="553E1482"/>
    <w:rsid w:val="553E76D4"/>
    <w:rsid w:val="55410F72"/>
    <w:rsid w:val="554A42CB"/>
    <w:rsid w:val="55544351"/>
    <w:rsid w:val="555B2C8B"/>
    <w:rsid w:val="555D5DAC"/>
    <w:rsid w:val="5560764A"/>
    <w:rsid w:val="556709D9"/>
    <w:rsid w:val="556A2277"/>
    <w:rsid w:val="556F3D31"/>
    <w:rsid w:val="556F5A13"/>
    <w:rsid w:val="5579119A"/>
    <w:rsid w:val="5579617C"/>
    <w:rsid w:val="557D644E"/>
    <w:rsid w:val="55853555"/>
    <w:rsid w:val="558C6691"/>
    <w:rsid w:val="558D5FF1"/>
    <w:rsid w:val="55915A56"/>
    <w:rsid w:val="55992DB2"/>
    <w:rsid w:val="559A7000"/>
    <w:rsid w:val="559F5F83"/>
    <w:rsid w:val="55A859D5"/>
    <w:rsid w:val="55B1404F"/>
    <w:rsid w:val="55B15661"/>
    <w:rsid w:val="55B300C2"/>
    <w:rsid w:val="55B451AC"/>
    <w:rsid w:val="55C23E61"/>
    <w:rsid w:val="55C951EF"/>
    <w:rsid w:val="55C95F8F"/>
    <w:rsid w:val="55CB0E5C"/>
    <w:rsid w:val="55D96608"/>
    <w:rsid w:val="55DA38A0"/>
    <w:rsid w:val="55DB3175"/>
    <w:rsid w:val="55DF2C65"/>
    <w:rsid w:val="55E2467B"/>
    <w:rsid w:val="55E55DA1"/>
    <w:rsid w:val="55E60767"/>
    <w:rsid w:val="55E95892"/>
    <w:rsid w:val="55EA3434"/>
    <w:rsid w:val="55F12998"/>
    <w:rsid w:val="5604091D"/>
    <w:rsid w:val="56042BA1"/>
    <w:rsid w:val="560616BB"/>
    <w:rsid w:val="56147403"/>
    <w:rsid w:val="561A3C9D"/>
    <w:rsid w:val="56252250"/>
    <w:rsid w:val="56290707"/>
    <w:rsid w:val="56292132"/>
    <w:rsid w:val="562A1303"/>
    <w:rsid w:val="562B7020"/>
    <w:rsid w:val="562E14F6"/>
    <w:rsid w:val="562F5060"/>
    <w:rsid w:val="56310FE7"/>
    <w:rsid w:val="5637484F"/>
    <w:rsid w:val="56384123"/>
    <w:rsid w:val="563F3703"/>
    <w:rsid w:val="56486A5C"/>
    <w:rsid w:val="5664316A"/>
    <w:rsid w:val="566B0128"/>
    <w:rsid w:val="566B44F9"/>
    <w:rsid w:val="566E6689"/>
    <w:rsid w:val="56723843"/>
    <w:rsid w:val="56737851"/>
    <w:rsid w:val="56794E67"/>
    <w:rsid w:val="567A0BDF"/>
    <w:rsid w:val="567B0955"/>
    <w:rsid w:val="567B68B3"/>
    <w:rsid w:val="567C6706"/>
    <w:rsid w:val="567F3C59"/>
    <w:rsid w:val="56811F6E"/>
    <w:rsid w:val="568870AB"/>
    <w:rsid w:val="568B7456"/>
    <w:rsid w:val="56902520"/>
    <w:rsid w:val="56941CA1"/>
    <w:rsid w:val="56951575"/>
    <w:rsid w:val="56961C81"/>
    <w:rsid w:val="56986E8F"/>
    <w:rsid w:val="569A3030"/>
    <w:rsid w:val="569F23F4"/>
    <w:rsid w:val="569F41A2"/>
    <w:rsid w:val="56A65531"/>
    <w:rsid w:val="56A874FB"/>
    <w:rsid w:val="56AD005E"/>
    <w:rsid w:val="56AD4B11"/>
    <w:rsid w:val="56AE2637"/>
    <w:rsid w:val="56B2713D"/>
    <w:rsid w:val="56C67981"/>
    <w:rsid w:val="56CA56C3"/>
    <w:rsid w:val="56CD51B3"/>
    <w:rsid w:val="56CD6F61"/>
    <w:rsid w:val="56DD1D6E"/>
    <w:rsid w:val="56DE25B3"/>
    <w:rsid w:val="56E43592"/>
    <w:rsid w:val="56E76CA8"/>
    <w:rsid w:val="56E9366F"/>
    <w:rsid w:val="56EB73E7"/>
    <w:rsid w:val="56EE0C86"/>
    <w:rsid w:val="56F24C1A"/>
    <w:rsid w:val="56F50266"/>
    <w:rsid w:val="56FA587C"/>
    <w:rsid w:val="56FB1D20"/>
    <w:rsid w:val="56FC15F5"/>
    <w:rsid w:val="56FC7846"/>
    <w:rsid w:val="56FE536D"/>
    <w:rsid w:val="56FE7643"/>
    <w:rsid w:val="570034B8"/>
    <w:rsid w:val="57064221"/>
    <w:rsid w:val="57073FA4"/>
    <w:rsid w:val="570E6215"/>
    <w:rsid w:val="57117EF0"/>
    <w:rsid w:val="57154464"/>
    <w:rsid w:val="57174680"/>
    <w:rsid w:val="571903F8"/>
    <w:rsid w:val="571921A6"/>
    <w:rsid w:val="57193F55"/>
    <w:rsid w:val="571C3A45"/>
    <w:rsid w:val="572052E3"/>
    <w:rsid w:val="57212E09"/>
    <w:rsid w:val="57217210"/>
    <w:rsid w:val="57274B21"/>
    <w:rsid w:val="572A43B4"/>
    <w:rsid w:val="572F455A"/>
    <w:rsid w:val="5730129E"/>
    <w:rsid w:val="57326CBD"/>
    <w:rsid w:val="57390153"/>
    <w:rsid w:val="57392F09"/>
    <w:rsid w:val="573C40E7"/>
    <w:rsid w:val="573E1C0D"/>
    <w:rsid w:val="57451C8B"/>
    <w:rsid w:val="574A2360"/>
    <w:rsid w:val="574D3BFE"/>
    <w:rsid w:val="57511940"/>
    <w:rsid w:val="57534C90"/>
    <w:rsid w:val="5754172F"/>
    <w:rsid w:val="576378C6"/>
    <w:rsid w:val="57650F48"/>
    <w:rsid w:val="576735BA"/>
    <w:rsid w:val="576F1DC6"/>
    <w:rsid w:val="57717A51"/>
    <w:rsid w:val="577613A7"/>
    <w:rsid w:val="57825F9E"/>
    <w:rsid w:val="578746A1"/>
    <w:rsid w:val="57874C2A"/>
    <w:rsid w:val="578B4873"/>
    <w:rsid w:val="578E43CC"/>
    <w:rsid w:val="57901ACD"/>
    <w:rsid w:val="57946E25"/>
    <w:rsid w:val="579637F7"/>
    <w:rsid w:val="57981AE1"/>
    <w:rsid w:val="579856DB"/>
    <w:rsid w:val="57996E43"/>
    <w:rsid w:val="579B705F"/>
    <w:rsid w:val="579B774A"/>
    <w:rsid w:val="579C6C0B"/>
    <w:rsid w:val="579D6934"/>
    <w:rsid w:val="579E08FE"/>
    <w:rsid w:val="57A31A70"/>
    <w:rsid w:val="57A33790"/>
    <w:rsid w:val="57A53A3A"/>
    <w:rsid w:val="57A75A04"/>
    <w:rsid w:val="57A777B2"/>
    <w:rsid w:val="57A852D8"/>
    <w:rsid w:val="57A94CA2"/>
    <w:rsid w:val="57B43C7D"/>
    <w:rsid w:val="57BB500C"/>
    <w:rsid w:val="57BD5D4B"/>
    <w:rsid w:val="57C06AC6"/>
    <w:rsid w:val="57C57C38"/>
    <w:rsid w:val="57C93BCD"/>
    <w:rsid w:val="57CA4627"/>
    <w:rsid w:val="57CC0FC7"/>
    <w:rsid w:val="57CD4D3F"/>
    <w:rsid w:val="57D52195"/>
    <w:rsid w:val="57D84237"/>
    <w:rsid w:val="57D91936"/>
    <w:rsid w:val="57D93DEE"/>
    <w:rsid w:val="57DC3459"/>
    <w:rsid w:val="57E26A3C"/>
    <w:rsid w:val="57E63126"/>
    <w:rsid w:val="57E744B6"/>
    <w:rsid w:val="57E857A3"/>
    <w:rsid w:val="57E9281C"/>
    <w:rsid w:val="57ED72D4"/>
    <w:rsid w:val="57F10A2D"/>
    <w:rsid w:val="57F64296"/>
    <w:rsid w:val="57F83252"/>
    <w:rsid w:val="57FB18AC"/>
    <w:rsid w:val="580469B3"/>
    <w:rsid w:val="58046C54"/>
    <w:rsid w:val="58052727"/>
    <w:rsid w:val="580746F5"/>
    <w:rsid w:val="580D67C4"/>
    <w:rsid w:val="580F5357"/>
    <w:rsid w:val="580F7106"/>
    <w:rsid w:val="5813777B"/>
    <w:rsid w:val="581806B0"/>
    <w:rsid w:val="581A52BC"/>
    <w:rsid w:val="581E5EF6"/>
    <w:rsid w:val="582249A1"/>
    <w:rsid w:val="5822508B"/>
    <w:rsid w:val="58247055"/>
    <w:rsid w:val="58313520"/>
    <w:rsid w:val="58426D7F"/>
    <w:rsid w:val="58474AF1"/>
    <w:rsid w:val="58490869"/>
    <w:rsid w:val="584B5DDC"/>
    <w:rsid w:val="584D65C5"/>
    <w:rsid w:val="584E40D2"/>
    <w:rsid w:val="584E5E80"/>
    <w:rsid w:val="584E7C2E"/>
    <w:rsid w:val="585A2A77"/>
    <w:rsid w:val="585A65D3"/>
    <w:rsid w:val="585B5C1B"/>
    <w:rsid w:val="585F1E3B"/>
    <w:rsid w:val="586B5A3B"/>
    <w:rsid w:val="586E6522"/>
    <w:rsid w:val="58705DF6"/>
    <w:rsid w:val="58772D76"/>
    <w:rsid w:val="58783EE0"/>
    <w:rsid w:val="58831FCD"/>
    <w:rsid w:val="588B70D4"/>
    <w:rsid w:val="58913FBE"/>
    <w:rsid w:val="58922210"/>
    <w:rsid w:val="58935F89"/>
    <w:rsid w:val="5898534D"/>
    <w:rsid w:val="589B45FE"/>
    <w:rsid w:val="589B7C31"/>
    <w:rsid w:val="589C08EA"/>
    <w:rsid w:val="589C4E3D"/>
    <w:rsid w:val="58A106A5"/>
    <w:rsid w:val="58A2687E"/>
    <w:rsid w:val="58A706B3"/>
    <w:rsid w:val="58B54151"/>
    <w:rsid w:val="58B77EC9"/>
    <w:rsid w:val="58BA1767"/>
    <w:rsid w:val="58BE1257"/>
    <w:rsid w:val="58BF28DA"/>
    <w:rsid w:val="58BF6D7E"/>
    <w:rsid w:val="58C12AF6"/>
    <w:rsid w:val="58C223CA"/>
    <w:rsid w:val="58C9181F"/>
    <w:rsid w:val="58C919AA"/>
    <w:rsid w:val="58CD149A"/>
    <w:rsid w:val="58CF3EB9"/>
    <w:rsid w:val="58D171FD"/>
    <w:rsid w:val="58D643B7"/>
    <w:rsid w:val="58D72319"/>
    <w:rsid w:val="58D7398A"/>
    <w:rsid w:val="58E9459E"/>
    <w:rsid w:val="58EE6BF5"/>
    <w:rsid w:val="58EF1411"/>
    <w:rsid w:val="58F033DB"/>
    <w:rsid w:val="58F05189"/>
    <w:rsid w:val="58F12A5D"/>
    <w:rsid w:val="58F307D5"/>
    <w:rsid w:val="58F76517"/>
    <w:rsid w:val="58F92290"/>
    <w:rsid w:val="58FE78A6"/>
    <w:rsid w:val="59041CB3"/>
    <w:rsid w:val="590843C1"/>
    <w:rsid w:val="590D53E3"/>
    <w:rsid w:val="590D7AE9"/>
    <w:rsid w:val="590F0AB8"/>
    <w:rsid w:val="591250FF"/>
    <w:rsid w:val="591D4BCC"/>
    <w:rsid w:val="59213594"/>
    <w:rsid w:val="59291830"/>
    <w:rsid w:val="592F7A5F"/>
    <w:rsid w:val="593037D7"/>
    <w:rsid w:val="5932754F"/>
    <w:rsid w:val="59396B30"/>
    <w:rsid w:val="593C2FD0"/>
    <w:rsid w:val="593C3F2A"/>
    <w:rsid w:val="593E5EF4"/>
    <w:rsid w:val="59412FB3"/>
    <w:rsid w:val="59413C36"/>
    <w:rsid w:val="594159E5"/>
    <w:rsid w:val="5943350B"/>
    <w:rsid w:val="59462FFB"/>
    <w:rsid w:val="5947124D"/>
    <w:rsid w:val="59487BDA"/>
    <w:rsid w:val="594C496D"/>
    <w:rsid w:val="594F3F6E"/>
    <w:rsid w:val="595B0A91"/>
    <w:rsid w:val="595B2A02"/>
    <w:rsid w:val="5963595B"/>
    <w:rsid w:val="5968582D"/>
    <w:rsid w:val="596C0CB3"/>
    <w:rsid w:val="596C2A61"/>
    <w:rsid w:val="596D0284"/>
    <w:rsid w:val="596D67DA"/>
    <w:rsid w:val="596F4300"/>
    <w:rsid w:val="59715246"/>
    <w:rsid w:val="597162CA"/>
    <w:rsid w:val="59747B68"/>
    <w:rsid w:val="597B0EF6"/>
    <w:rsid w:val="597D54F1"/>
    <w:rsid w:val="59814033"/>
    <w:rsid w:val="59875AED"/>
    <w:rsid w:val="5987789B"/>
    <w:rsid w:val="59885802"/>
    <w:rsid w:val="598D0C2A"/>
    <w:rsid w:val="59962E6C"/>
    <w:rsid w:val="599A624A"/>
    <w:rsid w:val="599E352A"/>
    <w:rsid w:val="59A55F73"/>
    <w:rsid w:val="59A8176B"/>
    <w:rsid w:val="59A91988"/>
    <w:rsid w:val="59AD3497"/>
    <w:rsid w:val="59B461B6"/>
    <w:rsid w:val="59BF0F6B"/>
    <w:rsid w:val="59C571EB"/>
    <w:rsid w:val="59C7413C"/>
    <w:rsid w:val="59C75501"/>
    <w:rsid w:val="59C77C98"/>
    <w:rsid w:val="59CD7278"/>
    <w:rsid w:val="59CE54CA"/>
    <w:rsid w:val="59D10B16"/>
    <w:rsid w:val="59D26E44"/>
    <w:rsid w:val="59D6437F"/>
    <w:rsid w:val="59D90879"/>
    <w:rsid w:val="59DF76D7"/>
    <w:rsid w:val="59E22D24"/>
    <w:rsid w:val="59E77422"/>
    <w:rsid w:val="59EF7598"/>
    <w:rsid w:val="59F51775"/>
    <w:rsid w:val="59FF03FF"/>
    <w:rsid w:val="5A0013FC"/>
    <w:rsid w:val="5A0122D6"/>
    <w:rsid w:val="5A074538"/>
    <w:rsid w:val="5A0B3A87"/>
    <w:rsid w:val="5A0E3B19"/>
    <w:rsid w:val="5A110F4E"/>
    <w:rsid w:val="5A1153B7"/>
    <w:rsid w:val="5A117165"/>
    <w:rsid w:val="5A144EA7"/>
    <w:rsid w:val="5A1F5D26"/>
    <w:rsid w:val="5A221372"/>
    <w:rsid w:val="5A2C21F1"/>
    <w:rsid w:val="5A2E5F69"/>
    <w:rsid w:val="5A2F3A8F"/>
    <w:rsid w:val="5A321746"/>
    <w:rsid w:val="5A33357F"/>
    <w:rsid w:val="5A341D42"/>
    <w:rsid w:val="5A3A490E"/>
    <w:rsid w:val="5A3B0686"/>
    <w:rsid w:val="5A3C1E42"/>
    <w:rsid w:val="5A440D18"/>
    <w:rsid w:val="5A44355E"/>
    <w:rsid w:val="5A4440FC"/>
    <w:rsid w:val="5A44519F"/>
    <w:rsid w:val="5A490FF5"/>
    <w:rsid w:val="5A4C4641"/>
    <w:rsid w:val="5A4C5509"/>
    <w:rsid w:val="5A507EDB"/>
    <w:rsid w:val="5A551748"/>
    <w:rsid w:val="5A552FA2"/>
    <w:rsid w:val="5A56101C"/>
    <w:rsid w:val="5A56726E"/>
    <w:rsid w:val="5A5A0B0C"/>
    <w:rsid w:val="5A5F25C6"/>
    <w:rsid w:val="5A6574B1"/>
    <w:rsid w:val="5A680D03"/>
    <w:rsid w:val="5A6B0F6B"/>
    <w:rsid w:val="5A734C84"/>
    <w:rsid w:val="5A753BEA"/>
    <w:rsid w:val="5A7D2A4C"/>
    <w:rsid w:val="5A8341C0"/>
    <w:rsid w:val="5A875679"/>
    <w:rsid w:val="5A8B6F17"/>
    <w:rsid w:val="5A93401E"/>
    <w:rsid w:val="5A971D60"/>
    <w:rsid w:val="5A9A53AC"/>
    <w:rsid w:val="5A9B2163"/>
    <w:rsid w:val="5AA5119C"/>
    <w:rsid w:val="5AA955EF"/>
    <w:rsid w:val="5AB02E22"/>
    <w:rsid w:val="5AB15FDF"/>
    <w:rsid w:val="5AB26B9A"/>
    <w:rsid w:val="5AB67D0C"/>
    <w:rsid w:val="5ABB7080"/>
    <w:rsid w:val="5ABD109B"/>
    <w:rsid w:val="5ABF78ED"/>
    <w:rsid w:val="5AC10B8B"/>
    <w:rsid w:val="5AC4067B"/>
    <w:rsid w:val="5AC84908"/>
    <w:rsid w:val="5AC86513"/>
    <w:rsid w:val="5ACA41B1"/>
    <w:rsid w:val="5AD66E02"/>
    <w:rsid w:val="5ADB7F1D"/>
    <w:rsid w:val="5AE42ACB"/>
    <w:rsid w:val="5AEB5C08"/>
    <w:rsid w:val="5AFB2C10"/>
    <w:rsid w:val="5AFF7905"/>
    <w:rsid w:val="5B062A42"/>
    <w:rsid w:val="5B067E27"/>
    <w:rsid w:val="5B0D5B7E"/>
    <w:rsid w:val="5B117BCA"/>
    <w:rsid w:val="5B1769FD"/>
    <w:rsid w:val="5B1E5FDD"/>
    <w:rsid w:val="5B21787C"/>
    <w:rsid w:val="5B230C85"/>
    <w:rsid w:val="5B2353A2"/>
    <w:rsid w:val="5B266C40"/>
    <w:rsid w:val="5B292CDF"/>
    <w:rsid w:val="5B294982"/>
    <w:rsid w:val="5B2D4472"/>
    <w:rsid w:val="5B2D7FCE"/>
    <w:rsid w:val="5B35153F"/>
    <w:rsid w:val="5B370E4D"/>
    <w:rsid w:val="5B3752F1"/>
    <w:rsid w:val="5B3C6463"/>
    <w:rsid w:val="5B3E6390"/>
    <w:rsid w:val="5B40328B"/>
    <w:rsid w:val="5B4876F8"/>
    <w:rsid w:val="5B4F0949"/>
    <w:rsid w:val="5B500161"/>
    <w:rsid w:val="5B551D6D"/>
    <w:rsid w:val="5B5654C5"/>
    <w:rsid w:val="5B57329D"/>
    <w:rsid w:val="5B584A68"/>
    <w:rsid w:val="5B653C0C"/>
    <w:rsid w:val="5B657A79"/>
    <w:rsid w:val="5B6634E0"/>
    <w:rsid w:val="5B665FDC"/>
    <w:rsid w:val="5B7018B6"/>
    <w:rsid w:val="5B726329"/>
    <w:rsid w:val="5B7377AF"/>
    <w:rsid w:val="5B7756EE"/>
    <w:rsid w:val="5B825744"/>
    <w:rsid w:val="5B857E0A"/>
    <w:rsid w:val="5B88429C"/>
    <w:rsid w:val="5B8A3673"/>
    <w:rsid w:val="5B8C3B8D"/>
    <w:rsid w:val="5B8F6122"/>
    <w:rsid w:val="5B955B74"/>
    <w:rsid w:val="5BA069F2"/>
    <w:rsid w:val="5BA1276A"/>
    <w:rsid w:val="5BA13276"/>
    <w:rsid w:val="5BA83103"/>
    <w:rsid w:val="5BAA01D6"/>
    <w:rsid w:val="5BAE68A6"/>
    <w:rsid w:val="5BAF6C35"/>
    <w:rsid w:val="5BB31443"/>
    <w:rsid w:val="5BB46942"/>
    <w:rsid w:val="5BB97AB4"/>
    <w:rsid w:val="5BBA55DA"/>
    <w:rsid w:val="5BBC75A4"/>
    <w:rsid w:val="5BC528FD"/>
    <w:rsid w:val="5BC55FF9"/>
    <w:rsid w:val="5BC76E35"/>
    <w:rsid w:val="5BC872EC"/>
    <w:rsid w:val="5BCA1CC1"/>
    <w:rsid w:val="5BCB77E7"/>
    <w:rsid w:val="5BD007B0"/>
    <w:rsid w:val="5BD20B76"/>
    <w:rsid w:val="5BD23CD1"/>
    <w:rsid w:val="5BD306EC"/>
    <w:rsid w:val="5BE2525D"/>
    <w:rsid w:val="5BE663CF"/>
    <w:rsid w:val="5BED3C02"/>
    <w:rsid w:val="5BF31218"/>
    <w:rsid w:val="5BF62AB6"/>
    <w:rsid w:val="5BF64864"/>
    <w:rsid w:val="5BF75E4A"/>
    <w:rsid w:val="5BF77D62"/>
    <w:rsid w:val="5BFB631F"/>
    <w:rsid w:val="5BFE5E0F"/>
    <w:rsid w:val="5C015C64"/>
    <w:rsid w:val="5C0A182E"/>
    <w:rsid w:val="5C0A6A5D"/>
    <w:rsid w:val="5C0B0692"/>
    <w:rsid w:val="5C0E48C9"/>
    <w:rsid w:val="5C1176D6"/>
    <w:rsid w:val="5C13332E"/>
    <w:rsid w:val="5C1B251D"/>
    <w:rsid w:val="5C1F025F"/>
    <w:rsid w:val="5C255642"/>
    <w:rsid w:val="5C256DE0"/>
    <w:rsid w:val="5C283EC9"/>
    <w:rsid w:val="5C294C3A"/>
    <w:rsid w:val="5C317F92"/>
    <w:rsid w:val="5C3655A9"/>
    <w:rsid w:val="5C381321"/>
    <w:rsid w:val="5C3B223B"/>
    <w:rsid w:val="5C403D31"/>
    <w:rsid w:val="5C4336A2"/>
    <w:rsid w:val="5C467D58"/>
    <w:rsid w:val="5C4B1CF3"/>
    <w:rsid w:val="5C4E46A0"/>
    <w:rsid w:val="5C5123E2"/>
    <w:rsid w:val="5C593045"/>
    <w:rsid w:val="5C5B6DBD"/>
    <w:rsid w:val="5C5F68AD"/>
    <w:rsid w:val="5C645C72"/>
    <w:rsid w:val="5C675762"/>
    <w:rsid w:val="5C6914DA"/>
    <w:rsid w:val="5C693288"/>
    <w:rsid w:val="5C6E4D42"/>
    <w:rsid w:val="5C732359"/>
    <w:rsid w:val="5C761E49"/>
    <w:rsid w:val="5C766912"/>
    <w:rsid w:val="5C78303A"/>
    <w:rsid w:val="5C844566"/>
    <w:rsid w:val="5C871960"/>
    <w:rsid w:val="5C871D15"/>
    <w:rsid w:val="5C875E04"/>
    <w:rsid w:val="5C88413B"/>
    <w:rsid w:val="5C8A3266"/>
    <w:rsid w:val="5C904CB9"/>
    <w:rsid w:val="5C930305"/>
    <w:rsid w:val="5C9347A9"/>
    <w:rsid w:val="5C955735"/>
    <w:rsid w:val="5C98591B"/>
    <w:rsid w:val="5C9A78E6"/>
    <w:rsid w:val="5C9B540C"/>
    <w:rsid w:val="5C9C18B0"/>
    <w:rsid w:val="5CA97B29"/>
    <w:rsid w:val="5CAB34ED"/>
    <w:rsid w:val="5CAC1F18"/>
    <w:rsid w:val="5CAC7619"/>
    <w:rsid w:val="5CAE76F5"/>
    <w:rsid w:val="5CBC305F"/>
    <w:rsid w:val="5CBF559E"/>
    <w:rsid w:val="5CC11316"/>
    <w:rsid w:val="5CC5726B"/>
    <w:rsid w:val="5CC74949"/>
    <w:rsid w:val="5CC93999"/>
    <w:rsid w:val="5CCD7CBB"/>
    <w:rsid w:val="5CD821BC"/>
    <w:rsid w:val="5CD96403"/>
    <w:rsid w:val="5CD97708"/>
    <w:rsid w:val="5CDA4186"/>
    <w:rsid w:val="5CDD35A4"/>
    <w:rsid w:val="5CE46DB3"/>
    <w:rsid w:val="5CE95E07"/>
    <w:rsid w:val="5CEB1EEF"/>
    <w:rsid w:val="5CEE2CA5"/>
    <w:rsid w:val="5CEE3EA5"/>
    <w:rsid w:val="5CEF3C88"/>
    <w:rsid w:val="5CF05758"/>
    <w:rsid w:val="5CF16475"/>
    <w:rsid w:val="5CF31AB8"/>
    <w:rsid w:val="5CFC40FC"/>
    <w:rsid w:val="5CFE06F1"/>
    <w:rsid w:val="5CFE60C6"/>
    <w:rsid w:val="5D017965"/>
    <w:rsid w:val="5D041203"/>
    <w:rsid w:val="5D0714FF"/>
    <w:rsid w:val="5D0B2591"/>
    <w:rsid w:val="5D0C49FD"/>
    <w:rsid w:val="5D0D02F8"/>
    <w:rsid w:val="5D0D455B"/>
    <w:rsid w:val="5D0E5BDE"/>
    <w:rsid w:val="5D0F673A"/>
    <w:rsid w:val="5D1551BE"/>
    <w:rsid w:val="5D184EC9"/>
    <w:rsid w:val="5D186A5C"/>
    <w:rsid w:val="5D192F00"/>
    <w:rsid w:val="5D1A6C78"/>
    <w:rsid w:val="5D1E7479"/>
    <w:rsid w:val="5D212E02"/>
    <w:rsid w:val="5D2A43A9"/>
    <w:rsid w:val="5D2B1822"/>
    <w:rsid w:val="5D2D2508"/>
    <w:rsid w:val="5D2D69AC"/>
    <w:rsid w:val="5D301FF8"/>
    <w:rsid w:val="5D315192"/>
    <w:rsid w:val="5D373812"/>
    <w:rsid w:val="5D3F048D"/>
    <w:rsid w:val="5D3F66DF"/>
    <w:rsid w:val="5D424B0B"/>
    <w:rsid w:val="5D467A6D"/>
    <w:rsid w:val="5D470AA3"/>
    <w:rsid w:val="5D4E06D0"/>
    <w:rsid w:val="5D5201C0"/>
    <w:rsid w:val="5D535CE6"/>
    <w:rsid w:val="5D543F38"/>
    <w:rsid w:val="5D57419D"/>
    <w:rsid w:val="5D5757D7"/>
    <w:rsid w:val="5D5A0E23"/>
    <w:rsid w:val="5D5A52C7"/>
    <w:rsid w:val="5D5A7075"/>
    <w:rsid w:val="5D5F6598"/>
    <w:rsid w:val="5D641CA2"/>
    <w:rsid w:val="5D665A1A"/>
    <w:rsid w:val="5D6677C8"/>
    <w:rsid w:val="5D6D0B56"/>
    <w:rsid w:val="5D6D4FFA"/>
    <w:rsid w:val="5D6E5040"/>
    <w:rsid w:val="5D704D3A"/>
    <w:rsid w:val="5D740137"/>
    <w:rsid w:val="5D7719D5"/>
    <w:rsid w:val="5D7C1EF6"/>
    <w:rsid w:val="5D7E7207"/>
    <w:rsid w:val="5D7F6ADB"/>
    <w:rsid w:val="5D850596"/>
    <w:rsid w:val="5D867E6A"/>
    <w:rsid w:val="5D881E34"/>
    <w:rsid w:val="5D9A4357"/>
    <w:rsid w:val="5D9E7499"/>
    <w:rsid w:val="5DA30A1C"/>
    <w:rsid w:val="5DA36C6E"/>
    <w:rsid w:val="5DA6050C"/>
    <w:rsid w:val="5DA86032"/>
    <w:rsid w:val="5DA87DE0"/>
    <w:rsid w:val="5DB03139"/>
    <w:rsid w:val="5DBA7B13"/>
    <w:rsid w:val="5DC0337C"/>
    <w:rsid w:val="5DC236D1"/>
    <w:rsid w:val="5DC82230"/>
    <w:rsid w:val="5DCC1F1C"/>
    <w:rsid w:val="5DCE2800"/>
    <w:rsid w:val="5DCF1811"/>
    <w:rsid w:val="5DD30ADE"/>
    <w:rsid w:val="5DD76917"/>
    <w:rsid w:val="5DDE339D"/>
    <w:rsid w:val="5DE132F2"/>
    <w:rsid w:val="5DE52DE2"/>
    <w:rsid w:val="5DEA664B"/>
    <w:rsid w:val="5E016D68"/>
    <w:rsid w:val="5E021DDE"/>
    <w:rsid w:val="5E0517A5"/>
    <w:rsid w:val="5E0D2339"/>
    <w:rsid w:val="5E0D2C98"/>
    <w:rsid w:val="5E0E058B"/>
    <w:rsid w:val="5E111E29"/>
    <w:rsid w:val="5E135BA1"/>
    <w:rsid w:val="5E162F9C"/>
    <w:rsid w:val="5E167440"/>
    <w:rsid w:val="5E2002BE"/>
    <w:rsid w:val="5E282CCF"/>
    <w:rsid w:val="5E2B6C87"/>
    <w:rsid w:val="5E2F405E"/>
    <w:rsid w:val="5E323B4E"/>
    <w:rsid w:val="5E33012D"/>
    <w:rsid w:val="5E3653EC"/>
    <w:rsid w:val="5E3E02F1"/>
    <w:rsid w:val="5E43078D"/>
    <w:rsid w:val="5E437FD7"/>
    <w:rsid w:val="5E457D25"/>
    <w:rsid w:val="5E4D2736"/>
    <w:rsid w:val="5E4D6BEB"/>
    <w:rsid w:val="5E5166CA"/>
    <w:rsid w:val="5E5341F0"/>
    <w:rsid w:val="5E543AC4"/>
    <w:rsid w:val="5E5F16B0"/>
    <w:rsid w:val="5E656BEB"/>
    <w:rsid w:val="5E7B2ECB"/>
    <w:rsid w:val="5E7B3747"/>
    <w:rsid w:val="5E7D74BF"/>
    <w:rsid w:val="5E7E2EFC"/>
    <w:rsid w:val="5E914EC2"/>
    <w:rsid w:val="5E92744D"/>
    <w:rsid w:val="5E960738"/>
    <w:rsid w:val="5E986A32"/>
    <w:rsid w:val="5EA04F5B"/>
    <w:rsid w:val="5EA22A81"/>
    <w:rsid w:val="5EA5318E"/>
    <w:rsid w:val="5EA70098"/>
    <w:rsid w:val="5EAC3900"/>
    <w:rsid w:val="5EAE1426"/>
    <w:rsid w:val="5EB01642"/>
    <w:rsid w:val="5EBF005A"/>
    <w:rsid w:val="5EC073AC"/>
    <w:rsid w:val="5EC63234"/>
    <w:rsid w:val="5EC80EA1"/>
    <w:rsid w:val="5EC923F3"/>
    <w:rsid w:val="5ECF75EF"/>
    <w:rsid w:val="5ED004CA"/>
    <w:rsid w:val="5ED370DF"/>
    <w:rsid w:val="5ED6097D"/>
    <w:rsid w:val="5ED864A3"/>
    <w:rsid w:val="5EDA221B"/>
    <w:rsid w:val="5EDB45CE"/>
    <w:rsid w:val="5EDF7832"/>
    <w:rsid w:val="5EE017FC"/>
    <w:rsid w:val="5EE708A8"/>
    <w:rsid w:val="5EE72B8A"/>
    <w:rsid w:val="5EEC63F2"/>
    <w:rsid w:val="5EEE216B"/>
    <w:rsid w:val="5EF16CE6"/>
    <w:rsid w:val="5EF32E58"/>
    <w:rsid w:val="5EF57055"/>
    <w:rsid w:val="5EF939CC"/>
    <w:rsid w:val="5F070F35"/>
    <w:rsid w:val="5F0F5EE5"/>
    <w:rsid w:val="5F0F74DD"/>
    <w:rsid w:val="5F1437C9"/>
    <w:rsid w:val="5F152F27"/>
    <w:rsid w:val="5F225970"/>
    <w:rsid w:val="5F2C6992"/>
    <w:rsid w:val="5F3202A9"/>
    <w:rsid w:val="5F322057"/>
    <w:rsid w:val="5F3278B9"/>
    <w:rsid w:val="5F351B48"/>
    <w:rsid w:val="5F3538F6"/>
    <w:rsid w:val="5F426012"/>
    <w:rsid w:val="5F487ACD"/>
    <w:rsid w:val="5F491058"/>
    <w:rsid w:val="5F5024DD"/>
    <w:rsid w:val="5F506981"/>
    <w:rsid w:val="5F517EDB"/>
    <w:rsid w:val="5F553F98"/>
    <w:rsid w:val="5F577D10"/>
    <w:rsid w:val="5F5F0972"/>
    <w:rsid w:val="5F62734D"/>
    <w:rsid w:val="5F661D01"/>
    <w:rsid w:val="5F667F53"/>
    <w:rsid w:val="5F6A2DB6"/>
    <w:rsid w:val="5F700DD2"/>
    <w:rsid w:val="5F754ED5"/>
    <w:rsid w:val="5F796DF2"/>
    <w:rsid w:val="5F7E7211"/>
    <w:rsid w:val="5F817317"/>
    <w:rsid w:val="5F830B05"/>
    <w:rsid w:val="5F8463D6"/>
    <w:rsid w:val="5F881C77"/>
    <w:rsid w:val="5F904001"/>
    <w:rsid w:val="5F920D48"/>
    <w:rsid w:val="5F93686E"/>
    <w:rsid w:val="5F9527DC"/>
    <w:rsid w:val="5F9550E1"/>
    <w:rsid w:val="5FA6034F"/>
    <w:rsid w:val="5FA665A1"/>
    <w:rsid w:val="5FAB5103"/>
    <w:rsid w:val="5FB011CE"/>
    <w:rsid w:val="5FB138A6"/>
    <w:rsid w:val="5FB50596"/>
    <w:rsid w:val="5FB53202"/>
    <w:rsid w:val="5FBF1411"/>
    <w:rsid w:val="5FC44C79"/>
    <w:rsid w:val="5FCA6734"/>
    <w:rsid w:val="5FD749AD"/>
    <w:rsid w:val="5FDE29CC"/>
    <w:rsid w:val="5FE84E0C"/>
    <w:rsid w:val="5FF217E7"/>
    <w:rsid w:val="5FF35DF4"/>
    <w:rsid w:val="5FF55D06"/>
    <w:rsid w:val="5FF666EA"/>
    <w:rsid w:val="5FF91C7A"/>
    <w:rsid w:val="5FFF5CB2"/>
    <w:rsid w:val="60040858"/>
    <w:rsid w:val="60091ED1"/>
    <w:rsid w:val="600E387B"/>
    <w:rsid w:val="601172CB"/>
    <w:rsid w:val="601232AB"/>
    <w:rsid w:val="601816C4"/>
    <w:rsid w:val="60221DB4"/>
    <w:rsid w:val="602816AC"/>
    <w:rsid w:val="602B6AA7"/>
    <w:rsid w:val="603040BD"/>
    <w:rsid w:val="60326087"/>
    <w:rsid w:val="603348A0"/>
    <w:rsid w:val="603475D9"/>
    <w:rsid w:val="603C0CB4"/>
    <w:rsid w:val="604638E0"/>
    <w:rsid w:val="604858AA"/>
    <w:rsid w:val="604A33D1"/>
    <w:rsid w:val="604C7AC2"/>
    <w:rsid w:val="604E1D2F"/>
    <w:rsid w:val="60504485"/>
    <w:rsid w:val="60575AEE"/>
    <w:rsid w:val="605D3104"/>
    <w:rsid w:val="606454D7"/>
    <w:rsid w:val="60673F83"/>
    <w:rsid w:val="606A57E2"/>
    <w:rsid w:val="606A75CF"/>
    <w:rsid w:val="60716BAF"/>
    <w:rsid w:val="607377AF"/>
    <w:rsid w:val="6074165C"/>
    <w:rsid w:val="607448F1"/>
    <w:rsid w:val="60786190"/>
    <w:rsid w:val="607B17DC"/>
    <w:rsid w:val="607B7A2E"/>
    <w:rsid w:val="607D37A6"/>
    <w:rsid w:val="607E307A"/>
    <w:rsid w:val="60806DF2"/>
    <w:rsid w:val="60850FFD"/>
    <w:rsid w:val="60936B26"/>
    <w:rsid w:val="60984306"/>
    <w:rsid w:val="60986A98"/>
    <w:rsid w:val="609A4358"/>
    <w:rsid w:val="609D1752"/>
    <w:rsid w:val="60A2320D"/>
    <w:rsid w:val="60A9459B"/>
    <w:rsid w:val="60AC45DE"/>
    <w:rsid w:val="60AC5E39"/>
    <w:rsid w:val="60AE7E03"/>
    <w:rsid w:val="60B33EF9"/>
    <w:rsid w:val="60B66CB8"/>
    <w:rsid w:val="60BB26AF"/>
    <w:rsid w:val="60BB26D1"/>
    <w:rsid w:val="60C018E5"/>
    <w:rsid w:val="60C72C73"/>
    <w:rsid w:val="60C82547"/>
    <w:rsid w:val="60CE5DB0"/>
    <w:rsid w:val="60D31618"/>
    <w:rsid w:val="60D32A86"/>
    <w:rsid w:val="60D4713E"/>
    <w:rsid w:val="60DA0D54"/>
    <w:rsid w:val="60DB227B"/>
    <w:rsid w:val="60DB671F"/>
    <w:rsid w:val="60DD74A0"/>
    <w:rsid w:val="60E4448C"/>
    <w:rsid w:val="60E76E71"/>
    <w:rsid w:val="60EE1FAE"/>
    <w:rsid w:val="60F35816"/>
    <w:rsid w:val="60F670B5"/>
    <w:rsid w:val="60FB3852"/>
    <w:rsid w:val="61016185"/>
    <w:rsid w:val="610E7D0F"/>
    <w:rsid w:val="610F7448"/>
    <w:rsid w:val="612105D5"/>
    <w:rsid w:val="61212F96"/>
    <w:rsid w:val="612401DE"/>
    <w:rsid w:val="612A76A4"/>
    <w:rsid w:val="612D474E"/>
    <w:rsid w:val="61330309"/>
    <w:rsid w:val="61341414"/>
    <w:rsid w:val="613A38C7"/>
    <w:rsid w:val="613A7664"/>
    <w:rsid w:val="613C71BD"/>
    <w:rsid w:val="613E693B"/>
    <w:rsid w:val="613F6CAD"/>
    <w:rsid w:val="61504A17"/>
    <w:rsid w:val="6151253D"/>
    <w:rsid w:val="61554B1B"/>
    <w:rsid w:val="61571006"/>
    <w:rsid w:val="615F4C5A"/>
    <w:rsid w:val="616404C2"/>
    <w:rsid w:val="61695AD8"/>
    <w:rsid w:val="617050B9"/>
    <w:rsid w:val="617821BF"/>
    <w:rsid w:val="61782A37"/>
    <w:rsid w:val="617A7CE6"/>
    <w:rsid w:val="617E34AB"/>
    <w:rsid w:val="617F354E"/>
    <w:rsid w:val="618446C0"/>
    <w:rsid w:val="6185675A"/>
    <w:rsid w:val="6189617B"/>
    <w:rsid w:val="618F19E3"/>
    <w:rsid w:val="618F7E29"/>
    <w:rsid w:val="6192502F"/>
    <w:rsid w:val="61972646"/>
    <w:rsid w:val="6198016C"/>
    <w:rsid w:val="61996D6A"/>
    <w:rsid w:val="619D5782"/>
    <w:rsid w:val="619E1C26"/>
    <w:rsid w:val="619F150D"/>
    <w:rsid w:val="619F7DC1"/>
    <w:rsid w:val="61AE19EB"/>
    <w:rsid w:val="61B65D83"/>
    <w:rsid w:val="61B66431"/>
    <w:rsid w:val="61BB70A8"/>
    <w:rsid w:val="61BC02FE"/>
    <w:rsid w:val="61BE5E24"/>
    <w:rsid w:val="61BF7DEE"/>
    <w:rsid w:val="61C176C2"/>
    <w:rsid w:val="61C40F61"/>
    <w:rsid w:val="61CD4743"/>
    <w:rsid w:val="61CD5BC3"/>
    <w:rsid w:val="61CF3CD4"/>
    <w:rsid w:val="61D05B58"/>
    <w:rsid w:val="61D17E40"/>
    <w:rsid w:val="61D2367E"/>
    <w:rsid w:val="61D338E4"/>
    <w:rsid w:val="61D45648"/>
    <w:rsid w:val="61D90EB0"/>
    <w:rsid w:val="61DC62AA"/>
    <w:rsid w:val="61EE49A3"/>
    <w:rsid w:val="61EF6752"/>
    <w:rsid w:val="61F01D56"/>
    <w:rsid w:val="61F10EEB"/>
    <w:rsid w:val="61F34CC3"/>
    <w:rsid w:val="61F730E4"/>
    <w:rsid w:val="61F950AE"/>
    <w:rsid w:val="61FC06FB"/>
    <w:rsid w:val="61FE0917"/>
    <w:rsid w:val="620121B5"/>
    <w:rsid w:val="62050267"/>
    <w:rsid w:val="620677CB"/>
    <w:rsid w:val="620D2908"/>
    <w:rsid w:val="62141EE8"/>
    <w:rsid w:val="62195750"/>
    <w:rsid w:val="621B73F8"/>
    <w:rsid w:val="621C0D9D"/>
    <w:rsid w:val="621C2B4B"/>
    <w:rsid w:val="622814F0"/>
    <w:rsid w:val="622E2086"/>
    <w:rsid w:val="6230634C"/>
    <w:rsid w:val="623205C0"/>
    <w:rsid w:val="62340166"/>
    <w:rsid w:val="6247406C"/>
    <w:rsid w:val="62540537"/>
    <w:rsid w:val="625642AF"/>
    <w:rsid w:val="625E13B5"/>
    <w:rsid w:val="62657681"/>
    <w:rsid w:val="626D784A"/>
    <w:rsid w:val="626E2A06"/>
    <w:rsid w:val="62760EA2"/>
    <w:rsid w:val="627E0573"/>
    <w:rsid w:val="628250A4"/>
    <w:rsid w:val="62852150"/>
    <w:rsid w:val="62856ABA"/>
    <w:rsid w:val="62875B58"/>
    <w:rsid w:val="628F156F"/>
    <w:rsid w:val="629D3C8C"/>
    <w:rsid w:val="62A0552A"/>
    <w:rsid w:val="62A25746"/>
    <w:rsid w:val="62A354A9"/>
    <w:rsid w:val="62A4228A"/>
    <w:rsid w:val="62A462B4"/>
    <w:rsid w:val="62A50D92"/>
    <w:rsid w:val="62A5619D"/>
    <w:rsid w:val="62A82630"/>
    <w:rsid w:val="62A96AD4"/>
    <w:rsid w:val="62B114E5"/>
    <w:rsid w:val="62B17737"/>
    <w:rsid w:val="62B24DD3"/>
    <w:rsid w:val="62B36FE1"/>
    <w:rsid w:val="62BB05B6"/>
    <w:rsid w:val="62CC27C3"/>
    <w:rsid w:val="62D43425"/>
    <w:rsid w:val="62D93D13"/>
    <w:rsid w:val="62DD14A5"/>
    <w:rsid w:val="62DE6AE7"/>
    <w:rsid w:val="62E53885"/>
    <w:rsid w:val="62EA5482"/>
    <w:rsid w:val="62ED0065"/>
    <w:rsid w:val="62EE2739"/>
    <w:rsid w:val="62F53AC8"/>
    <w:rsid w:val="62FB116F"/>
    <w:rsid w:val="62FC26C4"/>
    <w:rsid w:val="63021F4D"/>
    <w:rsid w:val="63051831"/>
    <w:rsid w:val="63052F76"/>
    <w:rsid w:val="63107308"/>
    <w:rsid w:val="63141A74"/>
    <w:rsid w:val="63142CE4"/>
    <w:rsid w:val="631657EC"/>
    <w:rsid w:val="63181564"/>
    <w:rsid w:val="631B1054"/>
    <w:rsid w:val="632048BD"/>
    <w:rsid w:val="632F295A"/>
    <w:rsid w:val="63304B00"/>
    <w:rsid w:val="63312626"/>
    <w:rsid w:val="633867C7"/>
    <w:rsid w:val="63387E58"/>
    <w:rsid w:val="63392FDC"/>
    <w:rsid w:val="633B162F"/>
    <w:rsid w:val="633B34A5"/>
    <w:rsid w:val="633F1C36"/>
    <w:rsid w:val="633F7682"/>
    <w:rsid w:val="63414F5F"/>
    <w:rsid w:val="63416D0D"/>
    <w:rsid w:val="63424833"/>
    <w:rsid w:val="63462575"/>
    <w:rsid w:val="634E31D8"/>
    <w:rsid w:val="635260E5"/>
    <w:rsid w:val="635446E0"/>
    <w:rsid w:val="63584057"/>
    <w:rsid w:val="635A1602"/>
    <w:rsid w:val="635D78BF"/>
    <w:rsid w:val="63657B08"/>
    <w:rsid w:val="63676048"/>
    <w:rsid w:val="636C048B"/>
    <w:rsid w:val="636E5B17"/>
    <w:rsid w:val="63722436"/>
    <w:rsid w:val="637349EC"/>
    <w:rsid w:val="637B1AF3"/>
    <w:rsid w:val="637E06AE"/>
    <w:rsid w:val="638210D3"/>
    <w:rsid w:val="638257FD"/>
    <w:rsid w:val="6388493C"/>
    <w:rsid w:val="638C6C71"/>
    <w:rsid w:val="63901A42"/>
    <w:rsid w:val="639317F7"/>
    <w:rsid w:val="63980EF1"/>
    <w:rsid w:val="6399324E"/>
    <w:rsid w:val="639D7EB8"/>
    <w:rsid w:val="639F1C85"/>
    <w:rsid w:val="63A06753"/>
    <w:rsid w:val="63A23524"/>
    <w:rsid w:val="63A36368"/>
    <w:rsid w:val="63AC7EFE"/>
    <w:rsid w:val="63B079EF"/>
    <w:rsid w:val="63C811DC"/>
    <w:rsid w:val="63D556A7"/>
    <w:rsid w:val="63D57455"/>
    <w:rsid w:val="63E853DA"/>
    <w:rsid w:val="63EA3D72"/>
    <w:rsid w:val="63F30DFC"/>
    <w:rsid w:val="63F91396"/>
    <w:rsid w:val="640204AC"/>
    <w:rsid w:val="640328FE"/>
    <w:rsid w:val="64061D04"/>
    <w:rsid w:val="640A0C82"/>
    <w:rsid w:val="640E7EF8"/>
    <w:rsid w:val="640F014D"/>
    <w:rsid w:val="64137F7D"/>
    <w:rsid w:val="641461CF"/>
    <w:rsid w:val="6417181C"/>
    <w:rsid w:val="64202DC6"/>
    <w:rsid w:val="64206B14"/>
    <w:rsid w:val="64216B3E"/>
    <w:rsid w:val="64267CB1"/>
    <w:rsid w:val="64283A29"/>
    <w:rsid w:val="642B4E06"/>
    <w:rsid w:val="64306D81"/>
    <w:rsid w:val="64384AB3"/>
    <w:rsid w:val="6439020E"/>
    <w:rsid w:val="643B31CD"/>
    <w:rsid w:val="644055A0"/>
    <w:rsid w:val="64406FC4"/>
    <w:rsid w:val="64414AEB"/>
    <w:rsid w:val="6446548B"/>
    <w:rsid w:val="644665A5"/>
    <w:rsid w:val="64587ED2"/>
    <w:rsid w:val="645962D8"/>
    <w:rsid w:val="64601415"/>
    <w:rsid w:val="64630F05"/>
    <w:rsid w:val="64634D2A"/>
    <w:rsid w:val="646B27D7"/>
    <w:rsid w:val="646B7DB9"/>
    <w:rsid w:val="64721683"/>
    <w:rsid w:val="647A43A8"/>
    <w:rsid w:val="647E23F9"/>
    <w:rsid w:val="647F283D"/>
    <w:rsid w:val="64850E7B"/>
    <w:rsid w:val="64856D4B"/>
    <w:rsid w:val="6486098F"/>
    <w:rsid w:val="64886F3B"/>
    <w:rsid w:val="648A6492"/>
    <w:rsid w:val="64923598"/>
    <w:rsid w:val="64927FD7"/>
    <w:rsid w:val="64947310"/>
    <w:rsid w:val="64A01811"/>
    <w:rsid w:val="64A10EA3"/>
    <w:rsid w:val="64A62BA0"/>
    <w:rsid w:val="64A84E4C"/>
    <w:rsid w:val="64AC6408"/>
    <w:rsid w:val="64AD100A"/>
    <w:rsid w:val="64B27796"/>
    <w:rsid w:val="64B452BD"/>
    <w:rsid w:val="64B74DAD"/>
    <w:rsid w:val="64B81251"/>
    <w:rsid w:val="64B90B25"/>
    <w:rsid w:val="64B94BD5"/>
    <w:rsid w:val="64BD0615"/>
    <w:rsid w:val="64BE25DF"/>
    <w:rsid w:val="64C10293"/>
    <w:rsid w:val="64C37BF6"/>
    <w:rsid w:val="64CA0F84"/>
    <w:rsid w:val="64CD4A1B"/>
    <w:rsid w:val="64D10970"/>
    <w:rsid w:val="64D12F24"/>
    <w:rsid w:val="64D140C0"/>
    <w:rsid w:val="64E9111A"/>
    <w:rsid w:val="64F102BF"/>
    <w:rsid w:val="64F74416"/>
    <w:rsid w:val="64F8164D"/>
    <w:rsid w:val="64F953C5"/>
    <w:rsid w:val="64FB113D"/>
    <w:rsid w:val="64FB2EEB"/>
    <w:rsid w:val="65006754"/>
    <w:rsid w:val="6502071E"/>
    <w:rsid w:val="65055B18"/>
    <w:rsid w:val="65075D34"/>
    <w:rsid w:val="65080845"/>
    <w:rsid w:val="6508170D"/>
    <w:rsid w:val="65087EDB"/>
    <w:rsid w:val="6509385A"/>
    <w:rsid w:val="65093EA2"/>
    <w:rsid w:val="650C50F9"/>
    <w:rsid w:val="65103C97"/>
    <w:rsid w:val="651A0B4E"/>
    <w:rsid w:val="651E5F9E"/>
    <w:rsid w:val="651E6BDA"/>
    <w:rsid w:val="651F214B"/>
    <w:rsid w:val="651F307E"/>
    <w:rsid w:val="65205F54"/>
    <w:rsid w:val="65297A59"/>
    <w:rsid w:val="652F0DE7"/>
    <w:rsid w:val="65365D4D"/>
    <w:rsid w:val="65372C0E"/>
    <w:rsid w:val="65374B33"/>
    <w:rsid w:val="65387C9C"/>
    <w:rsid w:val="653A7EB8"/>
    <w:rsid w:val="65424FBE"/>
    <w:rsid w:val="65432D75"/>
    <w:rsid w:val="65483971"/>
    <w:rsid w:val="65501489"/>
    <w:rsid w:val="65530F79"/>
    <w:rsid w:val="65586590"/>
    <w:rsid w:val="655A40B6"/>
    <w:rsid w:val="65605444"/>
    <w:rsid w:val="6562740E"/>
    <w:rsid w:val="65646CE3"/>
    <w:rsid w:val="65652A5B"/>
    <w:rsid w:val="65653CBD"/>
    <w:rsid w:val="656904A4"/>
    <w:rsid w:val="656942F9"/>
    <w:rsid w:val="656C5B97"/>
    <w:rsid w:val="656E190F"/>
    <w:rsid w:val="6570090F"/>
    <w:rsid w:val="65726E5F"/>
    <w:rsid w:val="65735178"/>
    <w:rsid w:val="65736F26"/>
    <w:rsid w:val="657703F0"/>
    <w:rsid w:val="65795F18"/>
    <w:rsid w:val="657D218D"/>
    <w:rsid w:val="657D5FF6"/>
    <w:rsid w:val="65827169"/>
    <w:rsid w:val="658D448B"/>
    <w:rsid w:val="65905D2A"/>
    <w:rsid w:val="65941240"/>
    <w:rsid w:val="659550EE"/>
    <w:rsid w:val="65984BDE"/>
    <w:rsid w:val="659A2704"/>
    <w:rsid w:val="659B710B"/>
    <w:rsid w:val="659D21F5"/>
    <w:rsid w:val="659D3FA3"/>
    <w:rsid w:val="65A062B5"/>
    <w:rsid w:val="65AE7F5E"/>
    <w:rsid w:val="65BA2DA7"/>
    <w:rsid w:val="65C15EE3"/>
    <w:rsid w:val="65C43C25"/>
    <w:rsid w:val="65C9123C"/>
    <w:rsid w:val="65CB6D62"/>
    <w:rsid w:val="65D5198E"/>
    <w:rsid w:val="65E676F8"/>
    <w:rsid w:val="65E87914"/>
    <w:rsid w:val="65EB64A0"/>
    <w:rsid w:val="65EB7404"/>
    <w:rsid w:val="65ED6CD8"/>
    <w:rsid w:val="65F03939"/>
    <w:rsid w:val="65FA3B38"/>
    <w:rsid w:val="660364FC"/>
    <w:rsid w:val="660378CF"/>
    <w:rsid w:val="66065FEC"/>
    <w:rsid w:val="66081D64"/>
    <w:rsid w:val="660833E1"/>
    <w:rsid w:val="66090981"/>
    <w:rsid w:val="660F4853"/>
    <w:rsid w:val="66133630"/>
    <w:rsid w:val="66150DED"/>
    <w:rsid w:val="661A3845"/>
    <w:rsid w:val="66225FFB"/>
    <w:rsid w:val="662621EA"/>
    <w:rsid w:val="66287972"/>
    <w:rsid w:val="66295856"/>
    <w:rsid w:val="662C209E"/>
    <w:rsid w:val="662D1E0E"/>
    <w:rsid w:val="662D3578"/>
    <w:rsid w:val="662E109F"/>
    <w:rsid w:val="663C37BC"/>
    <w:rsid w:val="663F67A7"/>
    <w:rsid w:val="66482160"/>
    <w:rsid w:val="664839B0"/>
    <w:rsid w:val="66486604"/>
    <w:rsid w:val="66497331"/>
    <w:rsid w:val="664A62D0"/>
    <w:rsid w:val="66540B05"/>
    <w:rsid w:val="66550DA9"/>
    <w:rsid w:val="6655487D"/>
    <w:rsid w:val="665B6338"/>
    <w:rsid w:val="665F3501"/>
    <w:rsid w:val="666168D9"/>
    <w:rsid w:val="66652D12"/>
    <w:rsid w:val="66667550"/>
    <w:rsid w:val="6668344C"/>
    <w:rsid w:val="666A657B"/>
    <w:rsid w:val="66721EAE"/>
    <w:rsid w:val="667473F9"/>
    <w:rsid w:val="6677281C"/>
    <w:rsid w:val="66785AB1"/>
    <w:rsid w:val="66794A10"/>
    <w:rsid w:val="667A3A13"/>
    <w:rsid w:val="667B2536"/>
    <w:rsid w:val="667C62AE"/>
    <w:rsid w:val="66846F11"/>
    <w:rsid w:val="6689498C"/>
    <w:rsid w:val="668C4743"/>
    <w:rsid w:val="668F7D8F"/>
    <w:rsid w:val="66916B74"/>
    <w:rsid w:val="66953C51"/>
    <w:rsid w:val="66996E60"/>
    <w:rsid w:val="669C06FE"/>
    <w:rsid w:val="669D134A"/>
    <w:rsid w:val="66AF44F9"/>
    <w:rsid w:val="66B143D8"/>
    <w:rsid w:val="66B43C9A"/>
    <w:rsid w:val="66B6356E"/>
    <w:rsid w:val="66B67BAE"/>
    <w:rsid w:val="66BC48FC"/>
    <w:rsid w:val="66BD7C6C"/>
    <w:rsid w:val="66BE2423"/>
    <w:rsid w:val="66C13CC1"/>
    <w:rsid w:val="66C5471D"/>
    <w:rsid w:val="66C81968"/>
    <w:rsid w:val="66C96726"/>
    <w:rsid w:val="66CB6D83"/>
    <w:rsid w:val="66CC0FE3"/>
    <w:rsid w:val="66CD2666"/>
    <w:rsid w:val="66CE2DDD"/>
    <w:rsid w:val="66D165FA"/>
    <w:rsid w:val="66D507B6"/>
    <w:rsid w:val="66D527B3"/>
    <w:rsid w:val="66D659BE"/>
    <w:rsid w:val="66D6776C"/>
    <w:rsid w:val="66DC0AFB"/>
    <w:rsid w:val="66DC7853"/>
    <w:rsid w:val="66E31E89"/>
    <w:rsid w:val="66E63727"/>
    <w:rsid w:val="66E856F1"/>
    <w:rsid w:val="66E8749F"/>
    <w:rsid w:val="66E9A7CB"/>
    <w:rsid w:val="66F163F4"/>
    <w:rsid w:val="66F347C2"/>
    <w:rsid w:val="66F40D3F"/>
    <w:rsid w:val="66FE4F15"/>
    <w:rsid w:val="670955AD"/>
    <w:rsid w:val="670C7632"/>
    <w:rsid w:val="6723497B"/>
    <w:rsid w:val="672B23A6"/>
    <w:rsid w:val="672B6A08"/>
    <w:rsid w:val="6730115F"/>
    <w:rsid w:val="67362901"/>
    <w:rsid w:val="6736645D"/>
    <w:rsid w:val="67392596"/>
    <w:rsid w:val="673D3C8F"/>
    <w:rsid w:val="673D77EB"/>
    <w:rsid w:val="673F17B5"/>
    <w:rsid w:val="67492634"/>
    <w:rsid w:val="674F751F"/>
    <w:rsid w:val="67513297"/>
    <w:rsid w:val="67521CAD"/>
    <w:rsid w:val="6759214B"/>
    <w:rsid w:val="67622081"/>
    <w:rsid w:val="67656D42"/>
    <w:rsid w:val="67695A94"/>
    <w:rsid w:val="6769784B"/>
    <w:rsid w:val="67740DF2"/>
    <w:rsid w:val="677A4672"/>
    <w:rsid w:val="677B0314"/>
    <w:rsid w:val="677D5E3A"/>
    <w:rsid w:val="67825B46"/>
    <w:rsid w:val="6786119B"/>
    <w:rsid w:val="678673E4"/>
    <w:rsid w:val="67892A30"/>
    <w:rsid w:val="678E6299"/>
    <w:rsid w:val="67942400"/>
    <w:rsid w:val="67A36FC6"/>
    <w:rsid w:val="67A4562D"/>
    <w:rsid w:val="67AC3FCD"/>
    <w:rsid w:val="67B26072"/>
    <w:rsid w:val="67BF4B68"/>
    <w:rsid w:val="67BFFC4A"/>
    <w:rsid w:val="67C14928"/>
    <w:rsid w:val="67C36770"/>
    <w:rsid w:val="67C779FD"/>
    <w:rsid w:val="67CA1AA5"/>
    <w:rsid w:val="67CE0D8B"/>
    <w:rsid w:val="67D143D7"/>
    <w:rsid w:val="67D63CD4"/>
    <w:rsid w:val="67E91721"/>
    <w:rsid w:val="67EB36EB"/>
    <w:rsid w:val="67EE2CFC"/>
    <w:rsid w:val="67F00D02"/>
    <w:rsid w:val="67F56318"/>
    <w:rsid w:val="67F81964"/>
    <w:rsid w:val="67FB3202"/>
    <w:rsid w:val="68060525"/>
    <w:rsid w:val="68071BA7"/>
    <w:rsid w:val="68077DF9"/>
    <w:rsid w:val="680A693C"/>
    <w:rsid w:val="680D3662"/>
    <w:rsid w:val="680E1188"/>
    <w:rsid w:val="6811269B"/>
    <w:rsid w:val="682D3D04"/>
    <w:rsid w:val="682E182A"/>
    <w:rsid w:val="683926A8"/>
    <w:rsid w:val="68394457"/>
    <w:rsid w:val="683D70BD"/>
    <w:rsid w:val="68455B2B"/>
    <w:rsid w:val="684B23DC"/>
    <w:rsid w:val="684E77D6"/>
    <w:rsid w:val="68504261"/>
    <w:rsid w:val="685B53D9"/>
    <w:rsid w:val="68646FFA"/>
    <w:rsid w:val="686B0388"/>
    <w:rsid w:val="686F60CA"/>
    <w:rsid w:val="68701E42"/>
    <w:rsid w:val="68784853"/>
    <w:rsid w:val="687A681D"/>
    <w:rsid w:val="687C07E7"/>
    <w:rsid w:val="687E455F"/>
    <w:rsid w:val="68813956"/>
    <w:rsid w:val="68863414"/>
    <w:rsid w:val="688A2F04"/>
    <w:rsid w:val="688E4077"/>
    <w:rsid w:val="68935F9E"/>
    <w:rsid w:val="689773CF"/>
    <w:rsid w:val="68A33FC6"/>
    <w:rsid w:val="68A5389A"/>
    <w:rsid w:val="68AC37F1"/>
    <w:rsid w:val="68B735CD"/>
    <w:rsid w:val="68BA4E6C"/>
    <w:rsid w:val="68BC6E36"/>
    <w:rsid w:val="68BD2B6A"/>
    <w:rsid w:val="68BE495C"/>
    <w:rsid w:val="68BF5BD7"/>
    <w:rsid w:val="68C31F72"/>
    <w:rsid w:val="68C41F0A"/>
    <w:rsid w:val="68C53DC8"/>
    <w:rsid w:val="68C656C1"/>
    <w:rsid w:val="68CD14B1"/>
    <w:rsid w:val="68CD4B9F"/>
    <w:rsid w:val="68D522CA"/>
    <w:rsid w:val="68D91796"/>
    <w:rsid w:val="68E1064A"/>
    <w:rsid w:val="68E72104"/>
    <w:rsid w:val="68E85E7D"/>
    <w:rsid w:val="68EA5751"/>
    <w:rsid w:val="68ED6FEF"/>
    <w:rsid w:val="68F000CD"/>
    <w:rsid w:val="68F24605"/>
    <w:rsid w:val="68F760C0"/>
    <w:rsid w:val="68FC7232"/>
    <w:rsid w:val="68FE11FC"/>
    <w:rsid w:val="68FE6B1D"/>
    <w:rsid w:val="68FE744E"/>
    <w:rsid w:val="69052023"/>
    <w:rsid w:val="690C28BC"/>
    <w:rsid w:val="6912430C"/>
    <w:rsid w:val="69194288"/>
    <w:rsid w:val="6924742D"/>
    <w:rsid w:val="69280027"/>
    <w:rsid w:val="692C7B17"/>
    <w:rsid w:val="69313380"/>
    <w:rsid w:val="693255A0"/>
    <w:rsid w:val="69342E70"/>
    <w:rsid w:val="69366BE8"/>
    <w:rsid w:val="693D73E5"/>
    <w:rsid w:val="69407A67"/>
    <w:rsid w:val="69431305"/>
    <w:rsid w:val="694D189B"/>
    <w:rsid w:val="694D51B6"/>
    <w:rsid w:val="69512ECC"/>
    <w:rsid w:val="69513A22"/>
    <w:rsid w:val="695168DC"/>
    <w:rsid w:val="69564B94"/>
    <w:rsid w:val="695A0B28"/>
    <w:rsid w:val="695B664F"/>
    <w:rsid w:val="69601EB7"/>
    <w:rsid w:val="69614EB7"/>
    <w:rsid w:val="69676DA1"/>
    <w:rsid w:val="69687C0D"/>
    <w:rsid w:val="696C43B8"/>
    <w:rsid w:val="696D1EDE"/>
    <w:rsid w:val="69796AD5"/>
    <w:rsid w:val="697D0373"/>
    <w:rsid w:val="698060B5"/>
    <w:rsid w:val="698268C4"/>
    <w:rsid w:val="6985191D"/>
    <w:rsid w:val="698A0CE2"/>
    <w:rsid w:val="69921136"/>
    <w:rsid w:val="69961435"/>
    <w:rsid w:val="69967687"/>
    <w:rsid w:val="699713B5"/>
    <w:rsid w:val="6997142E"/>
    <w:rsid w:val="699851AD"/>
    <w:rsid w:val="699B6A4B"/>
    <w:rsid w:val="699F29DF"/>
    <w:rsid w:val="69A41DA4"/>
    <w:rsid w:val="69A43B52"/>
    <w:rsid w:val="69A877A1"/>
    <w:rsid w:val="69AE49D0"/>
    <w:rsid w:val="69B17340"/>
    <w:rsid w:val="69B30284"/>
    <w:rsid w:val="69B47B0D"/>
    <w:rsid w:val="69B875FD"/>
    <w:rsid w:val="69B907B4"/>
    <w:rsid w:val="69BA3375"/>
    <w:rsid w:val="69CA10DE"/>
    <w:rsid w:val="69CA7330"/>
    <w:rsid w:val="69CE0992"/>
    <w:rsid w:val="69CF39B0"/>
    <w:rsid w:val="69D50822"/>
    <w:rsid w:val="69D72179"/>
    <w:rsid w:val="69DA7573"/>
    <w:rsid w:val="69EE1271"/>
    <w:rsid w:val="69EE301F"/>
    <w:rsid w:val="69F25EF5"/>
    <w:rsid w:val="69F43C2A"/>
    <w:rsid w:val="69F525FF"/>
    <w:rsid w:val="69F66377"/>
    <w:rsid w:val="69FB1E3B"/>
    <w:rsid w:val="69FD3262"/>
    <w:rsid w:val="6A03035A"/>
    <w:rsid w:val="6A097E59"/>
    <w:rsid w:val="6A10568B"/>
    <w:rsid w:val="6A162576"/>
    <w:rsid w:val="6A170BA1"/>
    <w:rsid w:val="6A193C9B"/>
    <w:rsid w:val="6A1A02B8"/>
    <w:rsid w:val="6A1A3E14"/>
    <w:rsid w:val="6A1D3904"/>
    <w:rsid w:val="6A1F4A78"/>
    <w:rsid w:val="6A1F6F1B"/>
    <w:rsid w:val="6A220F1A"/>
    <w:rsid w:val="6A226DB8"/>
    <w:rsid w:val="6A2E6D00"/>
    <w:rsid w:val="6A3273AF"/>
    <w:rsid w:val="6A3824EC"/>
    <w:rsid w:val="6A4964A7"/>
    <w:rsid w:val="6A4B3326"/>
    <w:rsid w:val="6A500ECA"/>
    <w:rsid w:val="6A505627"/>
    <w:rsid w:val="6A58493C"/>
    <w:rsid w:val="6A5A6906"/>
    <w:rsid w:val="6A600735"/>
    <w:rsid w:val="6A6652AB"/>
    <w:rsid w:val="6A666AAA"/>
    <w:rsid w:val="6A667059"/>
    <w:rsid w:val="6A6C489D"/>
    <w:rsid w:val="6A6D3445"/>
    <w:rsid w:val="6A6E4160"/>
    <w:rsid w:val="6A7C1D67"/>
    <w:rsid w:val="6A8103B0"/>
    <w:rsid w:val="6A813E93"/>
    <w:rsid w:val="6A82548E"/>
    <w:rsid w:val="6A835E5D"/>
    <w:rsid w:val="6A837AC4"/>
    <w:rsid w:val="6A837C0B"/>
    <w:rsid w:val="6A845E57"/>
    <w:rsid w:val="6A957AFF"/>
    <w:rsid w:val="6A964BB6"/>
    <w:rsid w:val="6AA14535"/>
    <w:rsid w:val="6AAB68A3"/>
    <w:rsid w:val="6AAF5D4D"/>
    <w:rsid w:val="6AB0474F"/>
    <w:rsid w:val="6AB75B07"/>
    <w:rsid w:val="6ABC5A03"/>
    <w:rsid w:val="6AC12236"/>
    <w:rsid w:val="6AC23CCD"/>
    <w:rsid w:val="6AC50223"/>
    <w:rsid w:val="6ACD532A"/>
    <w:rsid w:val="6AD9782B"/>
    <w:rsid w:val="6ADE12E5"/>
    <w:rsid w:val="6ADF6E0B"/>
    <w:rsid w:val="6AE14931"/>
    <w:rsid w:val="6AE34B4E"/>
    <w:rsid w:val="6AE52674"/>
    <w:rsid w:val="6AE545B8"/>
    <w:rsid w:val="6AEF704E"/>
    <w:rsid w:val="6AF01018"/>
    <w:rsid w:val="6AF02DC7"/>
    <w:rsid w:val="6AF3036F"/>
    <w:rsid w:val="6AF503DD"/>
    <w:rsid w:val="6AF724BD"/>
    <w:rsid w:val="6AFC176B"/>
    <w:rsid w:val="6B0A36D8"/>
    <w:rsid w:val="6B170353"/>
    <w:rsid w:val="6B1C73DE"/>
    <w:rsid w:val="6B2036AC"/>
    <w:rsid w:val="6B2667E8"/>
    <w:rsid w:val="6B266D5B"/>
    <w:rsid w:val="6B2B3CE9"/>
    <w:rsid w:val="6B2F2231"/>
    <w:rsid w:val="6B301415"/>
    <w:rsid w:val="6B322090"/>
    <w:rsid w:val="6B3453A9"/>
    <w:rsid w:val="6B360F09"/>
    <w:rsid w:val="6B361121"/>
    <w:rsid w:val="6B376C47"/>
    <w:rsid w:val="6B3D5B12"/>
    <w:rsid w:val="6B3D754F"/>
    <w:rsid w:val="6B4078AA"/>
    <w:rsid w:val="6B46117C"/>
    <w:rsid w:val="6B4E1A39"/>
    <w:rsid w:val="6B517D09"/>
    <w:rsid w:val="6B540559"/>
    <w:rsid w:val="6B552F7E"/>
    <w:rsid w:val="6B55498D"/>
    <w:rsid w:val="6B5670CE"/>
    <w:rsid w:val="6B5E35D0"/>
    <w:rsid w:val="6B625A72"/>
    <w:rsid w:val="6B637FDF"/>
    <w:rsid w:val="6B7A68E6"/>
    <w:rsid w:val="6B7B6B34"/>
    <w:rsid w:val="6B7D6019"/>
    <w:rsid w:val="6B7E4876"/>
    <w:rsid w:val="6B8359E9"/>
    <w:rsid w:val="6B855157"/>
    <w:rsid w:val="6B8949AE"/>
    <w:rsid w:val="6B8A4FC9"/>
    <w:rsid w:val="6B9A00B8"/>
    <w:rsid w:val="6BA039EB"/>
    <w:rsid w:val="6BA31452"/>
    <w:rsid w:val="6BA53BB1"/>
    <w:rsid w:val="6BA8544F"/>
    <w:rsid w:val="6BA92994"/>
    <w:rsid w:val="6BAB0B17"/>
    <w:rsid w:val="6BAC4F3F"/>
    <w:rsid w:val="6BAC75D4"/>
    <w:rsid w:val="6BB31849"/>
    <w:rsid w:val="6BB65280"/>
    <w:rsid w:val="6BB73D19"/>
    <w:rsid w:val="6BBD0EFB"/>
    <w:rsid w:val="6BC25F67"/>
    <w:rsid w:val="6BCA3618"/>
    <w:rsid w:val="6BDE3257"/>
    <w:rsid w:val="6BE20961"/>
    <w:rsid w:val="6BE653D7"/>
    <w:rsid w:val="6BE8387E"/>
    <w:rsid w:val="6BE97F42"/>
    <w:rsid w:val="6BF012D0"/>
    <w:rsid w:val="6BF41C3E"/>
    <w:rsid w:val="6BF617A5"/>
    <w:rsid w:val="6C011F7A"/>
    <w:rsid w:val="6C094CBD"/>
    <w:rsid w:val="6C0A7EB8"/>
    <w:rsid w:val="6C0E11EB"/>
    <w:rsid w:val="6C0F54CE"/>
    <w:rsid w:val="6C111246"/>
    <w:rsid w:val="6C132CAA"/>
    <w:rsid w:val="6C180827"/>
    <w:rsid w:val="6C1D7BEB"/>
    <w:rsid w:val="6C296590"/>
    <w:rsid w:val="6C2B055A"/>
    <w:rsid w:val="6C2C0856"/>
    <w:rsid w:val="6C310410"/>
    <w:rsid w:val="6C313697"/>
    <w:rsid w:val="6C360CAD"/>
    <w:rsid w:val="6C384A25"/>
    <w:rsid w:val="6C3B30A4"/>
    <w:rsid w:val="6C3B3B42"/>
    <w:rsid w:val="6C417D7E"/>
    <w:rsid w:val="6C4E5FF7"/>
    <w:rsid w:val="6C515AE7"/>
    <w:rsid w:val="6C517895"/>
    <w:rsid w:val="6C5268E5"/>
    <w:rsid w:val="6C532952"/>
    <w:rsid w:val="6C5C46D7"/>
    <w:rsid w:val="6C5E5AB6"/>
    <w:rsid w:val="6C614068"/>
    <w:rsid w:val="6C705F6D"/>
    <w:rsid w:val="6C727F37"/>
    <w:rsid w:val="6C757A27"/>
    <w:rsid w:val="6C7F08A6"/>
    <w:rsid w:val="6C81017A"/>
    <w:rsid w:val="6C81683B"/>
    <w:rsid w:val="6C823EF2"/>
    <w:rsid w:val="6C8C6B1F"/>
    <w:rsid w:val="6C905899"/>
    <w:rsid w:val="6C9302AB"/>
    <w:rsid w:val="6C9360FF"/>
    <w:rsid w:val="6CA16A6E"/>
    <w:rsid w:val="6CA87DFD"/>
    <w:rsid w:val="6CB31985"/>
    <w:rsid w:val="6CB71DEE"/>
    <w:rsid w:val="6CB73B9C"/>
    <w:rsid w:val="6CBC5656"/>
    <w:rsid w:val="6CC22541"/>
    <w:rsid w:val="6CC35FD1"/>
    <w:rsid w:val="6CC462B9"/>
    <w:rsid w:val="6CC664D5"/>
    <w:rsid w:val="6CCE0EE6"/>
    <w:rsid w:val="6CCE7137"/>
    <w:rsid w:val="6CD3474E"/>
    <w:rsid w:val="6CD9461F"/>
    <w:rsid w:val="6CDC3602"/>
    <w:rsid w:val="6CDC68A8"/>
    <w:rsid w:val="6CDD1263"/>
    <w:rsid w:val="6CDF30F3"/>
    <w:rsid w:val="6CE150BD"/>
    <w:rsid w:val="6CE63606"/>
    <w:rsid w:val="6CE71499"/>
    <w:rsid w:val="6CF44DF0"/>
    <w:rsid w:val="6CF92406"/>
    <w:rsid w:val="6CF941B4"/>
    <w:rsid w:val="6D00733F"/>
    <w:rsid w:val="6D06067F"/>
    <w:rsid w:val="6D0A6532"/>
    <w:rsid w:val="6D0B577B"/>
    <w:rsid w:val="6D0F1C2A"/>
    <w:rsid w:val="6D1159A2"/>
    <w:rsid w:val="6D1376A5"/>
    <w:rsid w:val="6D156B14"/>
    <w:rsid w:val="6D162FB8"/>
    <w:rsid w:val="6D170ADE"/>
    <w:rsid w:val="6D1B0596"/>
    <w:rsid w:val="6D1D7B1F"/>
    <w:rsid w:val="6D2D3E5E"/>
    <w:rsid w:val="6D361187"/>
    <w:rsid w:val="6D3B7FF5"/>
    <w:rsid w:val="6D41273C"/>
    <w:rsid w:val="6D437B25"/>
    <w:rsid w:val="6D4573FA"/>
    <w:rsid w:val="6D4816F1"/>
    <w:rsid w:val="6D4A117C"/>
    <w:rsid w:val="6D4A2C62"/>
    <w:rsid w:val="6D4D3F32"/>
    <w:rsid w:val="6D527835"/>
    <w:rsid w:val="6D543AE1"/>
    <w:rsid w:val="6D57249B"/>
    <w:rsid w:val="6D633D24"/>
    <w:rsid w:val="6D6A0A5D"/>
    <w:rsid w:val="6D6C2BD8"/>
    <w:rsid w:val="6D6E5FA3"/>
    <w:rsid w:val="6D725D15"/>
    <w:rsid w:val="6D765805"/>
    <w:rsid w:val="6D790A48"/>
    <w:rsid w:val="6D7B582F"/>
    <w:rsid w:val="6D8343C6"/>
    <w:rsid w:val="6D8C5028"/>
    <w:rsid w:val="6D8E77CA"/>
    <w:rsid w:val="6D901BC6"/>
    <w:rsid w:val="6DA46721"/>
    <w:rsid w:val="6DAA3701"/>
    <w:rsid w:val="6DAA54AF"/>
    <w:rsid w:val="6DB01D12"/>
    <w:rsid w:val="6DB620A5"/>
    <w:rsid w:val="6DBB590E"/>
    <w:rsid w:val="6DC26C9C"/>
    <w:rsid w:val="6DCA3DA3"/>
    <w:rsid w:val="6DD715C9"/>
    <w:rsid w:val="6DD74A74"/>
    <w:rsid w:val="6DD938ED"/>
    <w:rsid w:val="6DD93FE6"/>
    <w:rsid w:val="6DDB216F"/>
    <w:rsid w:val="6DE22E9A"/>
    <w:rsid w:val="6DE72678"/>
    <w:rsid w:val="6DE76703"/>
    <w:rsid w:val="6DE831EE"/>
    <w:rsid w:val="6DE94229"/>
    <w:rsid w:val="6DE94C45"/>
    <w:rsid w:val="6DEA61F3"/>
    <w:rsid w:val="6DEB6FB6"/>
    <w:rsid w:val="6DEC1F6B"/>
    <w:rsid w:val="6DF332FA"/>
    <w:rsid w:val="6DFC5FDF"/>
    <w:rsid w:val="6E070B53"/>
    <w:rsid w:val="6E094B9D"/>
    <w:rsid w:val="6E0A419F"/>
    <w:rsid w:val="6E0B0643"/>
    <w:rsid w:val="6E116B14"/>
    <w:rsid w:val="6E1707A3"/>
    <w:rsid w:val="6E184B0E"/>
    <w:rsid w:val="6E1A189A"/>
    <w:rsid w:val="6E1A349B"/>
    <w:rsid w:val="6E1F40EF"/>
    <w:rsid w:val="6E252475"/>
    <w:rsid w:val="6E3000AA"/>
    <w:rsid w:val="6E313E22"/>
    <w:rsid w:val="6E395B05"/>
    <w:rsid w:val="6E3B7C51"/>
    <w:rsid w:val="6E44155B"/>
    <w:rsid w:val="6E4711FB"/>
    <w:rsid w:val="6E4771A1"/>
    <w:rsid w:val="6E49116B"/>
    <w:rsid w:val="6E4B6C92"/>
    <w:rsid w:val="6E5673E4"/>
    <w:rsid w:val="6E5C0E9F"/>
    <w:rsid w:val="6E5F098F"/>
    <w:rsid w:val="6E6C1411"/>
    <w:rsid w:val="6E7004A6"/>
    <w:rsid w:val="6E751F61"/>
    <w:rsid w:val="6E7942B1"/>
    <w:rsid w:val="6E7B182B"/>
    <w:rsid w:val="6E7B3BFD"/>
    <w:rsid w:val="6E7D7067"/>
    <w:rsid w:val="6E8653F3"/>
    <w:rsid w:val="6E881C94"/>
    <w:rsid w:val="6E8B3532"/>
    <w:rsid w:val="6E8C25B0"/>
    <w:rsid w:val="6E970129"/>
    <w:rsid w:val="6E9C129B"/>
    <w:rsid w:val="6EA14A8D"/>
    <w:rsid w:val="6EA97E5C"/>
    <w:rsid w:val="6EAD34A8"/>
    <w:rsid w:val="6EAE7221"/>
    <w:rsid w:val="6EB04D47"/>
    <w:rsid w:val="6EB403FF"/>
    <w:rsid w:val="6EB42F47"/>
    <w:rsid w:val="6EB74327"/>
    <w:rsid w:val="6EBA3E17"/>
    <w:rsid w:val="6EBD56FB"/>
    <w:rsid w:val="6EBD74B2"/>
    <w:rsid w:val="6EBE56B6"/>
    <w:rsid w:val="6EBF4F8A"/>
    <w:rsid w:val="6ECB392F"/>
    <w:rsid w:val="6ED0363B"/>
    <w:rsid w:val="6ED07EFC"/>
    <w:rsid w:val="6EDC3D8E"/>
    <w:rsid w:val="6EDF73DA"/>
    <w:rsid w:val="6EDF77A7"/>
    <w:rsid w:val="6EE36ECA"/>
    <w:rsid w:val="6EEA46FD"/>
    <w:rsid w:val="6EEB3FD1"/>
    <w:rsid w:val="6EED1AF7"/>
    <w:rsid w:val="6EF32E85"/>
    <w:rsid w:val="6F052DEB"/>
    <w:rsid w:val="6F082DD5"/>
    <w:rsid w:val="6F116144"/>
    <w:rsid w:val="6F1572A0"/>
    <w:rsid w:val="6F15791B"/>
    <w:rsid w:val="6F161142"/>
    <w:rsid w:val="6F174DC6"/>
    <w:rsid w:val="6F20011E"/>
    <w:rsid w:val="6F20592F"/>
    <w:rsid w:val="6F23376B"/>
    <w:rsid w:val="6F234BFA"/>
    <w:rsid w:val="6F2614AD"/>
    <w:rsid w:val="6F2F0361"/>
    <w:rsid w:val="6F334B2E"/>
    <w:rsid w:val="6F35672D"/>
    <w:rsid w:val="6F3B409C"/>
    <w:rsid w:val="6F3B6D58"/>
    <w:rsid w:val="6F3E67F6"/>
    <w:rsid w:val="6F3F2BC6"/>
    <w:rsid w:val="6F41311A"/>
    <w:rsid w:val="6F4544EC"/>
    <w:rsid w:val="6F4831D1"/>
    <w:rsid w:val="6F4B2CC1"/>
    <w:rsid w:val="6F4F27B2"/>
    <w:rsid w:val="6F51262A"/>
    <w:rsid w:val="6F525DFE"/>
    <w:rsid w:val="6F593630"/>
    <w:rsid w:val="6F59718C"/>
    <w:rsid w:val="6F5E2E88"/>
    <w:rsid w:val="6F60051B"/>
    <w:rsid w:val="6F6408A2"/>
    <w:rsid w:val="6F6A75EB"/>
    <w:rsid w:val="6F71097A"/>
    <w:rsid w:val="6F751AEC"/>
    <w:rsid w:val="6F767D3E"/>
    <w:rsid w:val="6F7B5355"/>
    <w:rsid w:val="6F7C314E"/>
    <w:rsid w:val="6F7F68A5"/>
    <w:rsid w:val="6F80136B"/>
    <w:rsid w:val="6F814935"/>
    <w:rsid w:val="6F8A37EA"/>
    <w:rsid w:val="6F8C57B4"/>
    <w:rsid w:val="6F8F6EFC"/>
    <w:rsid w:val="6F9208F0"/>
    <w:rsid w:val="6F9A6EB1"/>
    <w:rsid w:val="6F9C52CB"/>
    <w:rsid w:val="6F9E1043"/>
    <w:rsid w:val="6FA348AB"/>
    <w:rsid w:val="6FA4155F"/>
    <w:rsid w:val="6FAA2324"/>
    <w:rsid w:val="6FB1521A"/>
    <w:rsid w:val="6FB34BE2"/>
    <w:rsid w:val="6FB97C2B"/>
    <w:rsid w:val="6FBB39A3"/>
    <w:rsid w:val="6FBE3493"/>
    <w:rsid w:val="6FBE7937"/>
    <w:rsid w:val="6FC84312"/>
    <w:rsid w:val="6FCA008A"/>
    <w:rsid w:val="6FCE7B7A"/>
    <w:rsid w:val="6FCF4BBA"/>
    <w:rsid w:val="6FD248BA"/>
    <w:rsid w:val="6FD35191"/>
    <w:rsid w:val="6FD46012"/>
    <w:rsid w:val="6FD76303"/>
    <w:rsid w:val="6FD902CD"/>
    <w:rsid w:val="6FD9651F"/>
    <w:rsid w:val="6FDC1B6B"/>
    <w:rsid w:val="6FDC595C"/>
    <w:rsid w:val="6FE078AE"/>
    <w:rsid w:val="6FE84395"/>
    <w:rsid w:val="6FEA24DA"/>
    <w:rsid w:val="6FEC0000"/>
    <w:rsid w:val="6FEC240C"/>
    <w:rsid w:val="6FEE1FCA"/>
    <w:rsid w:val="6FF11ABB"/>
    <w:rsid w:val="6FF43359"/>
    <w:rsid w:val="6FF45107"/>
    <w:rsid w:val="6FF83789"/>
    <w:rsid w:val="6FFD220E"/>
    <w:rsid w:val="70001486"/>
    <w:rsid w:val="70003AAC"/>
    <w:rsid w:val="700510C2"/>
    <w:rsid w:val="70052E70"/>
    <w:rsid w:val="70057314"/>
    <w:rsid w:val="70076BE8"/>
    <w:rsid w:val="7008779F"/>
    <w:rsid w:val="700B49B0"/>
    <w:rsid w:val="700C48A5"/>
    <w:rsid w:val="700D5685"/>
    <w:rsid w:val="700D6F6E"/>
    <w:rsid w:val="7011596D"/>
    <w:rsid w:val="701337DF"/>
    <w:rsid w:val="701778DC"/>
    <w:rsid w:val="701C3816"/>
    <w:rsid w:val="701F3FB3"/>
    <w:rsid w:val="70227EC6"/>
    <w:rsid w:val="702A0B29"/>
    <w:rsid w:val="702A2886"/>
    <w:rsid w:val="702C2AF3"/>
    <w:rsid w:val="702E686B"/>
    <w:rsid w:val="702F613F"/>
    <w:rsid w:val="703419A7"/>
    <w:rsid w:val="70343AA0"/>
    <w:rsid w:val="703457D6"/>
    <w:rsid w:val="70450816"/>
    <w:rsid w:val="704A2F79"/>
    <w:rsid w:val="704B624B"/>
    <w:rsid w:val="704E7A49"/>
    <w:rsid w:val="70567B70"/>
    <w:rsid w:val="70577ED2"/>
    <w:rsid w:val="705A7660"/>
    <w:rsid w:val="7060279C"/>
    <w:rsid w:val="7067740C"/>
    <w:rsid w:val="70691651"/>
    <w:rsid w:val="706B6771"/>
    <w:rsid w:val="70700C31"/>
    <w:rsid w:val="70701E77"/>
    <w:rsid w:val="70763D6E"/>
    <w:rsid w:val="70773178"/>
    <w:rsid w:val="70790078"/>
    <w:rsid w:val="707B3132"/>
    <w:rsid w:val="707D334E"/>
    <w:rsid w:val="708458A9"/>
    <w:rsid w:val="7084648B"/>
    <w:rsid w:val="7093268A"/>
    <w:rsid w:val="70932B72"/>
    <w:rsid w:val="70983CE4"/>
    <w:rsid w:val="709A7A5C"/>
    <w:rsid w:val="70A11939"/>
    <w:rsid w:val="70A46B2D"/>
    <w:rsid w:val="70A50D8C"/>
    <w:rsid w:val="70A72179"/>
    <w:rsid w:val="70AB1C6A"/>
    <w:rsid w:val="70AC59E2"/>
    <w:rsid w:val="70B311DB"/>
    <w:rsid w:val="70B52487"/>
    <w:rsid w:val="70BA3C5B"/>
    <w:rsid w:val="70BF1590"/>
    <w:rsid w:val="70BF5715"/>
    <w:rsid w:val="70C26FB3"/>
    <w:rsid w:val="70C573B0"/>
    <w:rsid w:val="70C66AA3"/>
    <w:rsid w:val="70CE5958"/>
    <w:rsid w:val="70D34D1C"/>
    <w:rsid w:val="70D867D7"/>
    <w:rsid w:val="70DA1A43"/>
    <w:rsid w:val="70DA42FD"/>
    <w:rsid w:val="70DD5B9B"/>
    <w:rsid w:val="70DE0646"/>
    <w:rsid w:val="70E30BEB"/>
    <w:rsid w:val="70E349F0"/>
    <w:rsid w:val="70F058CE"/>
    <w:rsid w:val="70F80C27"/>
    <w:rsid w:val="70F91D2D"/>
    <w:rsid w:val="70FB425D"/>
    <w:rsid w:val="71030372"/>
    <w:rsid w:val="710650F2"/>
    <w:rsid w:val="710A1DA0"/>
    <w:rsid w:val="710B095A"/>
    <w:rsid w:val="711041C2"/>
    <w:rsid w:val="71186BD3"/>
    <w:rsid w:val="711E15FC"/>
    <w:rsid w:val="711F4406"/>
    <w:rsid w:val="71224806"/>
    <w:rsid w:val="71285068"/>
    <w:rsid w:val="712A70BD"/>
    <w:rsid w:val="713368B7"/>
    <w:rsid w:val="7137627E"/>
    <w:rsid w:val="713A123F"/>
    <w:rsid w:val="713C4FB8"/>
    <w:rsid w:val="713E05C7"/>
    <w:rsid w:val="714479C8"/>
    <w:rsid w:val="71453E6C"/>
    <w:rsid w:val="71463740"/>
    <w:rsid w:val="714874B8"/>
    <w:rsid w:val="714E3663"/>
    <w:rsid w:val="714F6A99"/>
    <w:rsid w:val="71520337"/>
    <w:rsid w:val="71544AC9"/>
    <w:rsid w:val="71571FBA"/>
    <w:rsid w:val="716F0EE9"/>
    <w:rsid w:val="717E737E"/>
    <w:rsid w:val="717F5A62"/>
    <w:rsid w:val="718030F6"/>
    <w:rsid w:val="7181573E"/>
    <w:rsid w:val="718260FC"/>
    <w:rsid w:val="71856FBB"/>
    <w:rsid w:val="718837BE"/>
    <w:rsid w:val="7189205F"/>
    <w:rsid w:val="718A1112"/>
    <w:rsid w:val="718E4ABD"/>
    <w:rsid w:val="718F3339"/>
    <w:rsid w:val="71902F66"/>
    <w:rsid w:val="719808DD"/>
    <w:rsid w:val="719C7804"/>
    <w:rsid w:val="71A14E1B"/>
    <w:rsid w:val="71A52B5D"/>
    <w:rsid w:val="71B20DD6"/>
    <w:rsid w:val="71B763EC"/>
    <w:rsid w:val="71B96608"/>
    <w:rsid w:val="71C22BD1"/>
    <w:rsid w:val="71C31235"/>
    <w:rsid w:val="71C5588B"/>
    <w:rsid w:val="71D21478"/>
    <w:rsid w:val="71D60F68"/>
    <w:rsid w:val="71D908E9"/>
    <w:rsid w:val="71DC10FC"/>
    <w:rsid w:val="71E03B95"/>
    <w:rsid w:val="71E05943"/>
    <w:rsid w:val="71E47E5B"/>
    <w:rsid w:val="71E92A2E"/>
    <w:rsid w:val="71ED1E0E"/>
    <w:rsid w:val="71ED62B2"/>
    <w:rsid w:val="71F238C8"/>
    <w:rsid w:val="71F251F3"/>
    <w:rsid w:val="71F42838"/>
    <w:rsid w:val="71F623A4"/>
    <w:rsid w:val="71F633B8"/>
    <w:rsid w:val="71FB277D"/>
    <w:rsid w:val="71FD6A9E"/>
    <w:rsid w:val="72031631"/>
    <w:rsid w:val="720D24B0"/>
    <w:rsid w:val="720F7FD6"/>
    <w:rsid w:val="72141A90"/>
    <w:rsid w:val="721455EC"/>
    <w:rsid w:val="72190E55"/>
    <w:rsid w:val="721D397B"/>
    <w:rsid w:val="721E1E64"/>
    <w:rsid w:val="72237433"/>
    <w:rsid w:val="722577FA"/>
    <w:rsid w:val="722A7138"/>
    <w:rsid w:val="722C6CAE"/>
    <w:rsid w:val="722F0678"/>
    <w:rsid w:val="722F68CA"/>
    <w:rsid w:val="72323CC5"/>
    <w:rsid w:val="72395053"/>
    <w:rsid w:val="723A3C1D"/>
    <w:rsid w:val="723B701D"/>
    <w:rsid w:val="723D0FE7"/>
    <w:rsid w:val="724265FE"/>
    <w:rsid w:val="724A0CD6"/>
    <w:rsid w:val="724C1323"/>
    <w:rsid w:val="72511039"/>
    <w:rsid w:val="725945F5"/>
    <w:rsid w:val="725B321B"/>
    <w:rsid w:val="72604CD8"/>
    <w:rsid w:val="72606A84"/>
    <w:rsid w:val="72612976"/>
    <w:rsid w:val="7264244E"/>
    <w:rsid w:val="72646574"/>
    <w:rsid w:val="726C685A"/>
    <w:rsid w:val="72724CF5"/>
    <w:rsid w:val="72774578"/>
    <w:rsid w:val="727918F3"/>
    <w:rsid w:val="728748EC"/>
    <w:rsid w:val="728A3B01"/>
    <w:rsid w:val="728E539F"/>
    <w:rsid w:val="728F1117"/>
    <w:rsid w:val="72914480"/>
    <w:rsid w:val="72964253"/>
    <w:rsid w:val="7298446F"/>
    <w:rsid w:val="72A03324"/>
    <w:rsid w:val="72A2709C"/>
    <w:rsid w:val="72AC7F1B"/>
    <w:rsid w:val="72AF080C"/>
    <w:rsid w:val="72B62B48"/>
    <w:rsid w:val="72B8066E"/>
    <w:rsid w:val="72B82D9A"/>
    <w:rsid w:val="72B868C0"/>
    <w:rsid w:val="72BC63B0"/>
    <w:rsid w:val="72C1186F"/>
    <w:rsid w:val="72C16959"/>
    <w:rsid w:val="72C47013"/>
    <w:rsid w:val="72C62D8B"/>
    <w:rsid w:val="72C74D55"/>
    <w:rsid w:val="72CB422A"/>
    <w:rsid w:val="72D27981"/>
    <w:rsid w:val="72D41A69"/>
    <w:rsid w:val="72D47748"/>
    <w:rsid w:val="72D51220"/>
    <w:rsid w:val="72D57472"/>
    <w:rsid w:val="72D81BBC"/>
    <w:rsid w:val="72DF209E"/>
    <w:rsid w:val="72E2393D"/>
    <w:rsid w:val="72F50648"/>
    <w:rsid w:val="72F71196"/>
    <w:rsid w:val="72F84F0E"/>
    <w:rsid w:val="72F86CBC"/>
    <w:rsid w:val="72F97E3B"/>
    <w:rsid w:val="730438B3"/>
    <w:rsid w:val="73045986"/>
    <w:rsid w:val="73060D7D"/>
    <w:rsid w:val="73081A59"/>
    <w:rsid w:val="730F0B9A"/>
    <w:rsid w:val="73130454"/>
    <w:rsid w:val="7315661F"/>
    <w:rsid w:val="73226233"/>
    <w:rsid w:val="73247AB1"/>
    <w:rsid w:val="73267CCD"/>
    <w:rsid w:val="732857F3"/>
    <w:rsid w:val="732D4BB8"/>
    <w:rsid w:val="732E0930"/>
    <w:rsid w:val="73353469"/>
    <w:rsid w:val="73357F10"/>
    <w:rsid w:val="73402BBB"/>
    <w:rsid w:val="73436A9F"/>
    <w:rsid w:val="73504D4A"/>
    <w:rsid w:val="7355410F"/>
    <w:rsid w:val="735C2E4B"/>
    <w:rsid w:val="735F0AE9"/>
    <w:rsid w:val="73631126"/>
    <w:rsid w:val="73642196"/>
    <w:rsid w:val="736524E8"/>
    <w:rsid w:val="73661E78"/>
    <w:rsid w:val="736926FC"/>
    <w:rsid w:val="736A3A81"/>
    <w:rsid w:val="736B748E"/>
    <w:rsid w:val="736D1458"/>
    <w:rsid w:val="737427E7"/>
    <w:rsid w:val="73781BAB"/>
    <w:rsid w:val="73797DFD"/>
    <w:rsid w:val="73851FD6"/>
    <w:rsid w:val="738642C8"/>
    <w:rsid w:val="7388400D"/>
    <w:rsid w:val="738A200A"/>
    <w:rsid w:val="738D1AFA"/>
    <w:rsid w:val="738D38A8"/>
    <w:rsid w:val="738F2F06"/>
    <w:rsid w:val="73941849"/>
    <w:rsid w:val="7399049F"/>
    <w:rsid w:val="739A6E47"/>
    <w:rsid w:val="739E5AB6"/>
    <w:rsid w:val="73A155A6"/>
    <w:rsid w:val="73A330CC"/>
    <w:rsid w:val="73A40BF2"/>
    <w:rsid w:val="73A62BBC"/>
    <w:rsid w:val="73A82490"/>
    <w:rsid w:val="73A86B00"/>
    <w:rsid w:val="73A96F5A"/>
    <w:rsid w:val="73AB00C5"/>
    <w:rsid w:val="73AE23C8"/>
    <w:rsid w:val="73B07597"/>
    <w:rsid w:val="73B13A3B"/>
    <w:rsid w:val="73B250BD"/>
    <w:rsid w:val="73B47087"/>
    <w:rsid w:val="73B76B77"/>
    <w:rsid w:val="73B854CD"/>
    <w:rsid w:val="73BB68CA"/>
    <w:rsid w:val="73BF7200"/>
    <w:rsid w:val="73C05A2C"/>
    <w:rsid w:val="73C117A4"/>
    <w:rsid w:val="73C13552"/>
    <w:rsid w:val="73C83C2F"/>
    <w:rsid w:val="73CD1EF7"/>
    <w:rsid w:val="73CF3EC1"/>
    <w:rsid w:val="73D2667F"/>
    <w:rsid w:val="73D2750D"/>
    <w:rsid w:val="73D634A1"/>
    <w:rsid w:val="73E159A2"/>
    <w:rsid w:val="73EA4857"/>
    <w:rsid w:val="73F50B29"/>
    <w:rsid w:val="73FC458A"/>
    <w:rsid w:val="73FF0F7B"/>
    <w:rsid w:val="7400051E"/>
    <w:rsid w:val="74033223"/>
    <w:rsid w:val="7404270E"/>
    <w:rsid w:val="74055B35"/>
    <w:rsid w:val="74070402"/>
    <w:rsid w:val="7408658E"/>
    <w:rsid w:val="740873D3"/>
    <w:rsid w:val="740B4F73"/>
    <w:rsid w:val="74147B26"/>
    <w:rsid w:val="741741E3"/>
    <w:rsid w:val="74193AA5"/>
    <w:rsid w:val="7420471D"/>
    <w:rsid w:val="74253AE1"/>
    <w:rsid w:val="7428537F"/>
    <w:rsid w:val="742C4E6F"/>
    <w:rsid w:val="742F4960"/>
    <w:rsid w:val="743106C7"/>
    <w:rsid w:val="74313ECE"/>
    <w:rsid w:val="743261FE"/>
    <w:rsid w:val="74341F76"/>
    <w:rsid w:val="743C3EDE"/>
    <w:rsid w:val="743E2DF5"/>
    <w:rsid w:val="74426FEE"/>
    <w:rsid w:val="7443040B"/>
    <w:rsid w:val="74561EEC"/>
    <w:rsid w:val="745B7503"/>
    <w:rsid w:val="745D327B"/>
    <w:rsid w:val="745E5245"/>
    <w:rsid w:val="74601607"/>
    <w:rsid w:val="7464261B"/>
    <w:rsid w:val="746464FE"/>
    <w:rsid w:val="74671076"/>
    <w:rsid w:val="746740F9"/>
    <w:rsid w:val="746A7310"/>
    <w:rsid w:val="746C1710"/>
    <w:rsid w:val="746F1ED0"/>
    <w:rsid w:val="746F5F76"/>
    <w:rsid w:val="74712EDA"/>
    <w:rsid w:val="74714F78"/>
    <w:rsid w:val="7471529B"/>
    <w:rsid w:val="74716D26"/>
    <w:rsid w:val="747D4F1D"/>
    <w:rsid w:val="74844CAB"/>
    <w:rsid w:val="74857F88"/>
    <w:rsid w:val="748A428C"/>
    <w:rsid w:val="748C7A8E"/>
    <w:rsid w:val="748E155B"/>
    <w:rsid w:val="74947E50"/>
    <w:rsid w:val="749913BC"/>
    <w:rsid w:val="74A013B9"/>
    <w:rsid w:val="74A215D5"/>
    <w:rsid w:val="74A56941"/>
    <w:rsid w:val="74AB183D"/>
    <w:rsid w:val="74C01A5C"/>
    <w:rsid w:val="74C15925"/>
    <w:rsid w:val="74CA4688"/>
    <w:rsid w:val="74CC21AE"/>
    <w:rsid w:val="74CF1C9F"/>
    <w:rsid w:val="74D02CEF"/>
    <w:rsid w:val="74D07DDD"/>
    <w:rsid w:val="74D87AEB"/>
    <w:rsid w:val="74DA2B1D"/>
    <w:rsid w:val="74DC4AE7"/>
    <w:rsid w:val="74E7523A"/>
    <w:rsid w:val="74EA0887"/>
    <w:rsid w:val="74EB6AD9"/>
    <w:rsid w:val="74F00593"/>
    <w:rsid w:val="74F25C4A"/>
    <w:rsid w:val="74F32329"/>
    <w:rsid w:val="74F57957"/>
    <w:rsid w:val="74F57A43"/>
    <w:rsid w:val="74F6722B"/>
    <w:rsid w:val="74F87447"/>
    <w:rsid w:val="74FC4464"/>
    <w:rsid w:val="74FC6F38"/>
    <w:rsid w:val="74FD680C"/>
    <w:rsid w:val="74FF2584"/>
    <w:rsid w:val="75023E22"/>
    <w:rsid w:val="75024427"/>
    <w:rsid w:val="75120509"/>
    <w:rsid w:val="75175B20"/>
    <w:rsid w:val="751F2C26"/>
    <w:rsid w:val="75241FEA"/>
    <w:rsid w:val="75254D7B"/>
    <w:rsid w:val="752A00F7"/>
    <w:rsid w:val="752C0040"/>
    <w:rsid w:val="752C7A2E"/>
    <w:rsid w:val="752F03A8"/>
    <w:rsid w:val="75301A19"/>
    <w:rsid w:val="7533222E"/>
    <w:rsid w:val="75371D1E"/>
    <w:rsid w:val="753A7A60"/>
    <w:rsid w:val="753D4E5A"/>
    <w:rsid w:val="75436915"/>
    <w:rsid w:val="75446B7D"/>
    <w:rsid w:val="75461F61"/>
    <w:rsid w:val="7546457C"/>
    <w:rsid w:val="7553467E"/>
    <w:rsid w:val="75556648"/>
    <w:rsid w:val="75592BCB"/>
    <w:rsid w:val="7564688B"/>
    <w:rsid w:val="756B19C7"/>
    <w:rsid w:val="756D3991"/>
    <w:rsid w:val="75703098"/>
    <w:rsid w:val="75703482"/>
    <w:rsid w:val="75706FDE"/>
    <w:rsid w:val="757545F4"/>
    <w:rsid w:val="757840E4"/>
    <w:rsid w:val="757C1E26"/>
    <w:rsid w:val="757C5983"/>
    <w:rsid w:val="757E5B9F"/>
    <w:rsid w:val="75846F2D"/>
    <w:rsid w:val="758C60D2"/>
    <w:rsid w:val="758D7B90"/>
    <w:rsid w:val="758E56B6"/>
    <w:rsid w:val="759224F8"/>
    <w:rsid w:val="759233F8"/>
    <w:rsid w:val="75986535"/>
    <w:rsid w:val="759E3B4B"/>
    <w:rsid w:val="75A30611"/>
    <w:rsid w:val="75A4312B"/>
    <w:rsid w:val="75A9713E"/>
    <w:rsid w:val="75AA40AE"/>
    <w:rsid w:val="75AA4D74"/>
    <w:rsid w:val="75B109B5"/>
    <w:rsid w:val="75B5389C"/>
    <w:rsid w:val="75B710B1"/>
    <w:rsid w:val="75B86DA1"/>
    <w:rsid w:val="75B90985"/>
    <w:rsid w:val="75C17839"/>
    <w:rsid w:val="75CA7FD0"/>
    <w:rsid w:val="75D7071D"/>
    <w:rsid w:val="75DE488F"/>
    <w:rsid w:val="75E023B5"/>
    <w:rsid w:val="75E35A02"/>
    <w:rsid w:val="75E47778"/>
    <w:rsid w:val="75E654F2"/>
    <w:rsid w:val="75E672A0"/>
    <w:rsid w:val="75EA6D90"/>
    <w:rsid w:val="75F0011F"/>
    <w:rsid w:val="75FA2D4B"/>
    <w:rsid w:val="76065B94"/>
    <w:rsid w:val="76070D73"/>
    <w:rsid w:val="760A7432"/>
    <w:rsid w:val="760D0CD1"/>
    <w:rsid w:val="760D4778"/>
    <w:rsid w:val="761402B1"/>
    <w:rsid w:val="7618759B"/>
    <w:rsid w:val="761B33ED"/>
    <w:rsid w:val="762027B2"/>
    <w:rsid w:val="762304F4"/>
    <w:rsid w:val="762668DD"/>
    <w:rsid w:val="76285B0A"/>
    <w:rsid w:val="762B5982"/>
    <w:rsid w:val="76360227"/>
    <w:rsid w:val="76361FD5"/>
    <w:rsid w:val="76383A0B"/>
    <w:rsid w:val="763B3A90"/>
    <w:rsid w:val="763E5A74"/>
    <w:rsid w:val="76407E59"/>
    <w:rsid w:val="76410019"/>
    <w:rsid w:val="7645046A"/>
    <w:rsid w:val="764A782F"/>
    <w:rsid w:val="764C17F9"/>
    <w:rsid w:val="764D37C3"/>
    <w:rsid w:val="764D3877"/>
    <w:rsid w:val="764F37F8"/>
    <w:rsid w:val="76505A4D"/>
    <w:rsid w:val="76530DD9"/>
    <w:rsid w:val="765831DB"/>
    <w:rsid w:val="765A2984"/>
    <w:rsid w:val="76656DDD"/>
    <w:rsid w:val="766A0BDC"/>
    <w:rsid w:val="766F54E7"/>
    <w:rsid w:val="766F626F"/>
    <w:rsid w:val="767174B1"/>
    <w:rsid w:val="76724FD8"/>
    <w:rsid w:val="7676378C"/>
    <w:rsid w:val="76796366"/>
    <w:rsid w:val="767A6174"/>
    <w:rsid w:val="767B20DE"/>
    <w:rsid w:val="767B3E8C"/>
    <w:rsid w:val="767D5E56"/>
    <w:rsid w:val="7687438C"/>
    <w:rsid w:val="76880357"/>
    <w:rsid w:val="768E6C53"/>
    <w:rsid w:val="768F3680"/>
    <w:rsid w:val="768F7938"/>
    <w:rsid w:val="769E073B"/>
    <w:rsid w:val="76A21419"/>
    <w:rsid w:val="76A3670D"/>
    <w:rsid w:val="76AC2297"/>
    <w:rsid w:val="76B03A0B"/>
    <w:rsid w:val="76B1198F"/>
    <w:rsid w:val="76B15B00"/>
    <w:rsid w:val="76BD26F7"/>
    <w:rsid w:val="76BD44A5"/>
    <w:rsid w:val="76C9109B"/>
    <w:rsid w:val="76CC46E8"/>
    <w:rsid w:val="76CE0460"/>
    <w:rsid w:val="76CE50D2"/>
    <w:rsid w:val="76DD06A3"/>
    <w:rsid w:val="76E00193"/>
    <w:rsid w:val="76E77774"/>
    <w:rsid w:val="76E97048"/>
    <w:rsid w:val="76EF03D6"/>
    <w:rsid w:val="76F105F2"/>
    <w:rsid w:val="76FA74A7"/>
    <w:rsid w:val="770B3462"/>
    <w:rsid w:val="770C71DA"/>
    <w:rsid w:val="770E1578"/>
    <w:rsid w:val="77184E5E"/>
    <w:rsid w:val="771F6E17"/>
    <w:rsid w:val="77314CBC"/>
    <w:rsid w:val="77352070"/>
    <w:rsid w:val="773C186D"/>
    <w:rsid w:val="77462362"/>
    <w:rsid w:val="77471FC0"/>
    <w:rsid w:val="774B7D02"/>
    <w:rsid w:val="774C5829"/>
    <w:rsid w:val="77505319"/>
    <w:rsid w:val="775121C4"/>
    <w:rsid w:val="77514BED"/>
    <w:rsid w:val="775242CD"/>
    <w:rsid w:val="77536BB7"/>
    <w:rsid w:val="775766A7"/>
    <w:rsid w:val="77626DFA"/>
    <w:rsid w:val="776668EA"/>
    <w:rsid w:val="77687E2B"/>
    <w:rsid w:val="776B2153"/>
    <w:rsid w:val="777059BB"/>
    <w:rsid w:val="77707769"/>
    <w:rsid w:val="77732DB5"/>
    <w:rsid w:val="777D5166"/>
    <w:rsid w:val="778200FD"/>
    <w:rsid w:val="77822FF8"/>
    <w:rsid w:val="77836AB2"/>
    <w:rsid w:val="7784540E"/>
    <w:rsid w:val="778508AB"/>
    <w:rsid w:val="778B0B94"/>
    <w:rsid w:val="778C3E77"/>
    <w:rsid w:val="779571D0"/>
    <w:rsid w:val="77980A6E"/>
    <w:rsid w:val="77A2369A"/>
    <w:rsid w:val="77A411C1"/>
    <w:rsid w:val="77A967D7"/>
    <w:rsid w:val="77AF4615"/>
    <w:rsid w:val="77B5517C"/>
    <w:rsid w:val="77BE063E"/>
    <w:rsid w:val="77C16289"/>
    <w:rsid w:val="77C655DB"/>
    <w:rsid w:val="77C80759"/>
    <w:rsid w:val="77CB4F1B"/>
    <w:rsid w:val="77CD65B0"/>
    <w:rsid w:val="77CE623E"/>
    <w:rsid w:val="77D25D2E"/>
    <w:rsid w:val="77D622D9"/>
    <w:rsid w:val="77E141C3"/>
    <w:rsid w:val="77E37F3B"/>
    <w:rsid w:val="77E67A2B"/>
    <w:rsid w:val="77EE2084"/>
    <w:rsid w:val="77F263D0"/>
    <w:rsid w:val="77F51A1C"/>
    <w:rsid w:val="77F55EC0"/>
    <w:rsid w:val="77FC0212"/>
    <w:rsid w:val="77FE5EC5"/>
    <w:rsid w:val="78000AED"/>
    <w:rsid w:val="780103C1"/>
    <w:rsid w:val="780D320A"/>
    <w:rsid w:val="78104AA8"/>
    <w:rsid w:val="78174088"/>
    <w:rsid w:val="7818561C"/>
    <w:rsid w:val="781B5927"/>
    <w:rsid w:val="78216CB5"/>
    <w:rsid w:val="78222F1C"/>
    <w:rsid w:val="782347DB"/>
    <w:rsid w:val="7826607A"/>
    <w:rsid w:val="782A3DBC"/>
    <w:rsid w:val="782D7408"/>
    <w:rsid w:val="782F13D2"/>
    <w:rsid w:val="78360700"/>
    <w:rsid w:val="78370287"/>
    <w:rsid w:val="783B2D77"/>
    <w:rsid w:val="783E2B16"/>
    <w:rsid w:val="78411105"/>
    <w:rsid w:val="7847671C"/>
    <w:rsid w:val="784E4B18"/>
    <w:rsid w:val="78502123"/>
    <w:rsid w:val="78532E5B"/>
    <w:rsid w:val="7857374C"/>
    <w:rsid w:val="78585136"/>
    <w:rsid w:val="785C7CED"/>
    <w:rsid w:val="7866291A"/>
    <w:rsid w:val="786D1EFA"/>
    <w:rsid w:val="786D3CA8"/>
    <w:rsid w:val="786F7E6B"/>
    <w:rsid w:val="787119EB"/>
    <w:rsid w:val="78774B27"/>
    <w:rsid w:val="787768D5"/>
    <w:rsid w:val="7879264D"/>
    <w:rsid w:val="787943FB"/>
    <w:rsid w:val="78811502"/>
    <w:rsid w:val="78856ECF"/>
    <w:rsid w:val="788671CB"/>
    <w:rsid w:val="78905FD8"/>
    <w:rsid w:val="789324D9"/>
    <w:rsid w:val="78945094"/>
    <w:rsid w:val="78970D25"/>
    <w:rsid w:val="78A31478"/>
    <w:rsid w:val="78A40CFE"/>
    <w:rsid w:val="78A70559"/>
    <w:rsid w:val="78A70F68"/>
    <w:rsid w:val="78A7540C"/>
    <w:rsid w:val="78B062FB"/>
    <w:rsid w:val="78B10039"/>
    <w:rsid w:val="78B22CAC"/>
    <w:rsid w:val="78B60B19"/>
    <w:rsid w:val="78B611AB"/>
    <w:rsid w:val="78B74F24"/>
    <w:rsid w:val="78BB2C66"/>
    <w:rsid w:val="78C343A5"/>
    <w:rsid w:val="78C95383"/>
    <w:rsid w:val="78C966FA"/>
    <w:rsid w:val="78CA4C57"/>
    <w:rsid w:val="78D601A2"/>
    <w:rsid w:val="78DD498A"/>
    <w:rsid w:val="78E201F2"/>
    <w:rsid w:val="78E4030F"/>
    <w:rsid w:val="78E81581"/>
    <w:rsid w:val="78E8332F"/>
    <w:rsid w:val="78EA354B"/>
    <w:rsid w:val="78EB6238"/>
    <w:rsid w:val="78EC72C3"/>
    <w:rsid w:val="78EF290F"/>
    <w:rsid w:val="78F63854"/>
    <w:rsid w:val="78F817C4"/>
    <w:rsid w:val="79000B05"/>
    <w:rsid w:val="79002D6F"/>
    <w:rsid w:val="79014A6C"/>
    <w:rsid w:val="7902048F"/>
    <w:rsid w:val="79022C15"/>
    <w:rsid w:val="790B0ACA"/>
    <w:rsid w:val="790E548B"/>
    <w:rsid w:val="79112790"/>
    <w:rsid w:val="791736B1"/>
    <w:rsid w:val="791B3704"/>
    <w:rsid w:val="79226841"/>
    <w:rsid w:val="792628E1"/>
    <w:rsid w:val="79273F03"/>
    <w:rsid w:val="7927654D"/>
    <w:rsid w:val="79294073"/>
    <w:rsid w:val="792C5912"/>
    <w:rsid w:val="792C76C0"/>
    <w:rsid w:val="7931117A"/>
    <w:rsid w:val="793509FB"/>
    <w:rsid w:val="793A002E"/>
    <w:rsid w:val="793D7B1F"/>
    <w:rsid w:val="793F7B02"/>
    <w:rsid w:val="795073E0"/>
    <w:rsid w:val="79534C4C"/>
    <w:rsid w:val="7956473D"/>
    <w:rsid w:val="795D3D1D"/>
    <w:rsid w:val="7960544D"/>
    <w:rsid w:val="796055BB"/>
    <w:rsid w:val="79654980"/>
    <w:rsid w:val="79660EEE"/>
    <w:rsid w:val="7967694A"/>
    <w:rsid w:val="796B643A"/>
    <w:rsid w:val="796C5D0E"/>
    <w:rsid w:val="797057FE"/>
    <w:rsid w:val="797A667D"/>
    <w:rsid w:val="797C090C"/>
    <w:rsid w:val="797C23F5"/>
    <w:rsid w:val="797D43BF"/>
    <w:rsid w:val="798017B9"/>
    <w:rsid w:val="79825532"/>
    <w:rsid w:val="798A3615"/>
    <w:rsid w:val="79967706"/>
    <w:rsid w:val="79997DD2"/>
    <w:rsid w:val="799A6D1F"/>
    <w:rsid w:val="799B65F3"/>
    <w:rsid w:val="799F60E4"/>
    <w:rsid w:val="79A2402E"/>
    <w:rsid w:val="79A27982"/>
    <w:rsid w:val="79A404FF"/>
    <w:rsid w:val="79AA3928"/>
    <w:rsid w:val="79B10C2A"/>
    <w:rsid w:val="79B23D4A"/>
    <w:rsid w:val="79B24069"/>
    <w:rsid w:val="79B25E17"/>
    <w:rsid w:val="79B853F7"/>
    <w:rsid w:val="79BA109E"/>
    <w:rsid w:val="79C039F3"/>
    <w:rsid w:val="79C24075"/>
    <w:rsid w:val="79C803D7"/>
    <w:rsid w:val="79C964A8"/>
    <w:rsid w:val="79CB0C87"/>
    <w:rsid w:val="79CE4C1B"/>
    <w:rsid w:val="79D833A4"/>
    <w:rsid w:val="79DA711C"/>
    <w:rsid w:val="79DF2984"/>
    <w:rsid w:val="79E955B1"/>
    <w:rsid w:val="79F0693F"/>
    <w:rsid w:val="79F11630"/>
    <w:rsid w:val="79F535B9"/>
    <w:rsid w:val="79F553B9"/>
    <w:rsid w:val="79F75F20"/>
    <w:rsid w:val="79FE58CF"/>
    <w:rsid w:val="7A0348C4"/>
    <w:rsid w:val="7A044199"/>
    <w:rsid w:val="7A055BA1"/>
    <w:rsid w:val="7A067F11"/>
    <w:rsid w:val="7A082FAC"/>
    <w:rsid w:val="7A0835A5"/>
    <w:rsid w:val="7A0A5C53"/>
    <w:rsid w:val="7A13515F"/>
    <w:rsid w:val="7A135402"/>
    <w:rsid w:val="7A1B0BBE"/>
    <w:rsid w:val="7A1B248F"/>
    <w:rsid w:val="7A1D06DF"/>
    <w:rsid w:val="7A1F4E82"/>
    <w:rsid w:val="7A214D4A"/>
    <w:rsid w:val="7A2217E7"/>
    <w:rsid w:val="7A2860D9"/>
    <w:rsid w:val="7A291E51"/>
    <w:rsid w:val="7A2B7420"/>
    <w:rsid w:val="7A304EF1"/>
    <w:rsid w:val="7A320101"/>
    <w:rsid w:val="7A321E0F"/>
    <w:rsid w:val="7A331483"/>
    <w:rsid w:val="7A340F22"/>
    <w:rsid w:val="7A3507F6"/>
    <w:rsid w:val="7A3750AC"/>
    <w:rsid w:val="7A460C55"/>
    <w:rsid w:val="7A4831F0"/>
    <w:rsid w:val="7A496A87"/>
    <w:rsid w:val="7A505630"/>
    <w:rsid w:val="7A5073DE"/>
    <w:rsid w:val="7A56622C"/>
    <w:rsid w:val="7A575D27"/>
    <w:rsid w:val="7A682979"/>
    <w:rsid w:val="7A684727"/>
    <w:rsid w:val="7A6A66F1"/>
    <w:rsid w:val="7A7237F8"/>
    <w:rsid w:val="7A756E44"/>
    <w:rsid w:val="7A7574D4"/>
    <w:rsid w:val="7A772BBC"/>
    <w:rsid w:val="7A794B87"/>
    <w:rsid w:val="7A7A0E68"/>
    <w:rsid w:val="7A7C44FB"/>
    <w:rsid w:val="7A8377B3"/>
    <w:rsid w:val="7A87592E"/>
    <w:rsid w:val="7A89450C"/>
    <w:rsid w:val="7A8A28F0"/>
    <w:rsid w:val="7A8C2B0C"/>
    <w:rsid w:val="7A910122"/>
    <w:rsid w:val="7A996FD7"/>
    <w:rsid w:val="7A997EDE"/>
    <w:rsid w:val="7A9A3DA4"/>
    <w:rsid w:val="7AA511E0"/>
    <w:rsid w:val="7AA5772A"/>
    <w:rsid w:val="7AB21FA1"/>
    <w:rsid w:val="7AB931D5"/>
    <w:rsid w:val="7ABD3E42"/>
    <w:rsid w:val="7AC027B5"/>
    <w:rsid w:val="7AC322A6"/>
    <w:rsid w:val="7AC46ACD"/>
    <w:rsid w:val="7AC51FBB"/>
    <w:rsid w:val="7AC7547F"/>
    <w:rsid w:val="7AC878BC"/>
    <w:rsid w:val="7ACA759E"/>
    <w:rsid w:val="7ACB4CB6"/>
    <w:rsid w:val="7ACC2B18"/>
    <w:rsid w:val="7AD9265C"/>
    <w:rsid w:val="7ADD0951"/>
    <w:rsid w:val="7AE55D78"/>
    <w:rsid w:val="7AE83ABA"/>
    <w:rsid w:val="7AE85868"/>
    <w:rsid w:val="7AEA15E0"/>
    <w:rsid w:val="7AEA5CA5"/>
    <w:rsid w:val="7AEC5358"/>
    <w:rsid w:val="7AED10D1"/>
    <w:rsid w:val="7AF4420D"/>
    <w:rsid w:val="7AF5699A"/>
    <w:rsid w:val="7AF67F85"/>
    <w:rsid w:val="7AFB3DA0"/>
    <w:rsid w:val="7AFF5E5A"/>
    <w:rsid w:val="7B046B46"/>
    <w:rsid w:val="7B0501C8"/>
    <w:rsid w:val="7B070D36"/>
    <w:rsid w:val="7B0C6726"/>
    <w:rsid w:val="7B0E1773"/>
    <w:rsid w:val="7B1448AF"/>
    <w:rsid w:val="7B170752"/>
    <w:rsid w:val="7B18065B"/>
    <w:rsid w:val="7B1E128A"/>
    <w:rsid w:val="7B25086A"/>
    <w:rsid w:val="7B2954AF"/>
    <w:rsid w:val="7B303674"/>
    <w:rsid w:val="7B3116C6"/>
    <w:rsid w:val="7B4219EC"/>
    <w:rsid w:val="7B4E7DC1"/>
    <w:rsid w:val="7B4F38F4"/>
    <w:rsid w:val="7B51165F"/>
    <w:rsid w:val="7B5178B1"/>
    <w:rsid w:val="7B566C76"/>
    <w:rsid w:val="7B6475E5"/>
    <w:rsid w:val="7B65510B"/>
    <w:rsid w:val="7B6A2721"/>
    <w:rsid w:val="7B6A44CF"/>
    <w:rsid w:val="7B6C0247"/>
    <w:rsid w:val="7B6F1AE6"/>
    <w:rsid w:val="7B6F57A7"/>
    <w:rsid w:val="7B6F6BAD"/>
    <w:rsid w:val="7B7171B6"/>
    <w:rsid w:val="7B7535A0"/>
    <w:rsid w:val="7B786BEC"/>
    <w:rsid w:val="7B835472"/>
    <w:rsid w:val="7B8744D1"/>
    <w:rsid w:val="7B8E4662"/>
    <w:rsid w:val="7B95779E"/>
    <w:rsid w:val="7B9652C4"/>
    <w:rsid w:val="7B971768"/>
    <w:rsid w:val="7B99568F"/>
    <w:rsid w:val="7B9B0B2D"/>
    <w:rsid w:val="7BA07EF1"/>
    <w:rsid w:val="7BA14395"/>
    <w:rsid w:val="7BA25B92"/>
    <w:rsid w:val="7BA5344D"/>
    <w:rsid w:val="7BAD0F8C"/>
    <w:rsid w:val="7BB67714"/>
    <w:rsid w:val="7BBA211A"/>
    <w:rsid w:val="7BBA6058"/>
    <w:rsid w:val="7BBF2A6D"/>
    <w:rsid w:val="7BC2255D"/>
    <w:rsid w:val="7BC40083"/>
    <w:rsid w:val="7BC462D5"/>
    <w:rsid w:val="7BCC0CE6"/>
    <w:rsid w:val="7BD04748"/>
    <w:rsid w:val="7BD52290"/>
    <w:rsid w:val="7BD77DB7"/>
    <w:rsid w:val="7BDA1655"/>
    <w:rsid w:val="7BDF310F"/>
    <w:rsid w:val="7BE2675B"/>
    <w:rsid w:val="7BEE108B"/>
    <w:rsid w:val="7BEE3352"/>
    <w:rsid w:val="7BF1074D"/>
    <w:rsid w:val="7BF344C5"/>
    <w:rsid w:val="7BF546E1"/>
    <w:rsid w:val="7BFA3E64"/>
    <w:rsid w:val="7BFC76FD"/>
    <w:rsid w:val="7C042B76"/>
    <w:rsid w:val="7C0E12FE"/>
    <w:rsid w:val="7C1A4147"/>
    <w:rsid w:val="7C1B633B"/>
    <w:rsid w:val="7C1D23AE"/>
    <w:rsid w:val="7C20707E"/>
    <w:rsid w:val="7C217284"/>
    <w:rsid w:val="7C273E40"/>
    <w:rsid w:val="7C2823C0"/>
    <w:rsid w:val="7C286864"/>
    <w:rsid w:val="7C2D3E7B"/>
    <w:rsid w:val="7C372603"/>
    <w:rsid w:val="7C3A0345"/>
    <w:rsid w:val="7C3A2A38"/>
    <w:rsid w:val="7C3B3DA7"/>
    <w:rsid w:val="7C442F72"/>
    <w:rsid w:val="7C4E5B9F"/>
    <w:rsid w:val="7C5E2286"/>
    <w:rsid w:val="7C611D76"/>
    <w:rsid w:val="7C63789C"/>
    <w:rsid w:val="7C66738C"/>
    <w:rsid w:val="7C6862C6"/>
    <w:rsid w:val="7C6B2305"/>
    <w:rsid w:val="7C743857"/>
    <w:rsid w:val="7C78445D"/>
    <w:rsid w:val="7C792C1C"/>
    <w:rsid w:val="7C8141C6"/>
    <w:rsid w:val="7C8323C0"/>
    <w:rsid w:val="7C8810B1"/>
    <w:rsid w:val="7C8A43D1"/>
    <w:rsid w:val="7C914409"/>
    <w:rsid w:val="7C943EFA"/>
    <w:rsid w:val="7C9C4285"/>
    <w:rsid w:val="7C9C690A"/>
    <w:rsid w:val="7C9E2682"/>
    <w:rsid w:val="7CA0464C"/>
    <w:rsid w:val="7CAD6D69"/>
    <w:rsid w:val="7CAF2AE1"/>
    <w:rsid w:val="7CB023B6"/>
    <w:rsid w:val="7CB76111"/>
    <w:rsid w:val="7CBC51FE"/>
    <w:rsid w:val="7CBE5251"/>
    <w:rsid w:val="7CC52470"/>
    <w:rsid w:val="7CC7394F"/>
    <w:rsid w:val="7CCA3477"/>
    <w:rsid w:val="7CCD11BA"/>
    <w:rsid w:val="7CCD5320"/>
    <w:rsid w:val="7CCF6CE0"/>
    <w:rsid w:val="7CD12A58"/>
    <w:rsid w:val="7CD35557"/>
    <w:rsid w:val="7CD442F6"/>
    <w:rsid w:val="7CD92970"/>
    <w:rsid w:val="7CDB5685"/>
    <w:rsid w:val="7CDE6F23"/>
    <w:rsid w:val="7CE24C65"/>
    <w:rsid w:val="7CE309DD"/>
    <w:rsid w:val="7CE516A3"/>
    <w:rsid w:val="7CE73FFC"/>
    <w:rsid w:val="7CE773AA"/>
    <w:rsid w:val="7CED7166"/>
    <w:rsid w:val="7CF03706"/>
    <w:rsid w:val="7CF46746"/>
    <w:rsid w:val="7CF60710"/>
    <w:rsid w:val="7D004F21"/>
    <w:rsid w:val="7D050134"/>
    <w:rsid w:val="7D052701"/>
    <w:rsid w:val="7D0A7934"/>
    <w:rsid w:val="7D11554A"/>
    <w:rsid w:val="7D124C9D"/>
    <w:rsid w:val="7D154FBB"/>
    <w:rsid w:val="7D16490F"/>
    <w:rsid w:val="7D197F5B"/>
    <w:rsid w:val="7D1D3FB1"/>
    <w:rsid w:val="7D1E58D9"/>
    <w:rsid w:val="7D221505"/>
    <w:rsid w:val="7D24527D"/>
    <w:rsid w:val="7D252DA4"/>
    <w:rsid w:val="7D2A2168"/>
    <w:rsid w:val="7D33726F"/>
    <w:rsid w:val="7D341239"/>
    <w:rsid w:val="7D39640D"/>
    <w:rsid w:val="7D3F20B7"/>
    <w:rsid w:val="7D4509E9"/>
    <w:rsid w:val="7D483717"/>
    <w:rsid w:val="7D4A280A"/>
    <w:rsid w:val="7D4C6582"/>
    <w:rsid w:val="7D4D129C"/>
    <w:rsid w:val="7D513B99"/>
    <w:rsid w:val="7D524BE5"/>
    <w:rsid w:val="7D5B0573"/>
    <w:rsid w:val="7D5B0D75"/>
    <w:rsid w:val="7D6815C0"/>
    <w:rsid w:val="7D6A1126"/>
    <w:rsid w:val="7D6E33A6"/>
    <w:rsid w:val="7D6F2271"/>
    <w:rsid w:val="7D702788"/>
    <w:rsid w:val="7D844A87"/>
    <w:rsid w:val="7D877C53"/>
    <w:rsid w:val="7D891584"/>
    <w:rsid w:val="7D8C697F"/>
    <w:rsid w:val="7D935F5F"/>
    <w:rsid w:val="7D982567"/>
    <w:rsid w:val="7D9C588B"/>
    <w:rsid w:val="7DB069DC"/>
    <w:rsid w:val="7DB45A52"/>
    <w:rsid w:val="7DB639FC"/>
    <w:rsid w:val="7DBC5E3E"/>
    <w:rsid w:val="7DBD7D0A"/>
    <w:rsid w:val="7DC26094"/>
    <w:rsid w:val="7DC26844"/>
    <w:rsid w:val="7DC51D5E"/>
    <w:rsid w:val="7DD32800"/>
    <w:rsid w:val="7DD722F0"/>
    <w:rsid w:val="7DD86068"/>
    <w:rsid w:val="7DDA593C"/>
    <w:rsid w:val="7DDB16B4"/>
    <w:rsid w:val="7DDB3462"/>
    <w:rsid w:val="7DDC1500"/>
    <w:rsid w:val="7DDD186B"/>
    <w:rsid w:val="7DDD367E"/>
    <w:rsid w:val="7DE254A3"/>
    <w:rsid w:val="7DF56D12"/>
    <w:rsid w:val="7DFA4ECB"/>
    <w:rsid w:val="7DFA7D8C"/>
    <w:rsid w:val="7E0103F7"/>
    <w:rsid w:val="7E0B605B"/>
    <w:rsid w:val="7E0C7AC0"/>
    <w:rsid w:val="7E0E55E6"/>
    <w:rsid w:val="7E1176A9"/>
    <w:rsid w:val="7E1C5F55"/>
    <w:rsid w:val="7E1C7D03"/>
    <w:rsid w:val="7E2117BD"/>
    <w:rsid w:val="7E281E48"/>
    <w:rsid w:val="7E291B4E"/>
    <w:rsid w:val="7E2A62C1"/>
    <w:rsid w:val="7E3037AE"/>
    <w:rsid w:val="7E324524"/>
    <w:rsid w:val="7E3E41EE"/>
    <w:rsid w:val="7E4436FD"/>
    <w:rsid w:val="7E454F1E"/>
    <w:rsid w:val="7E5F5EB7"/>
    <w:rsid w:val="7E6416AA"/>
    <w:rsid w:val="7E6A3164"/>
    <w:rsid w:val="7E717DBD"/>
    <w:rsid w:val="7E753736"/>
    <w:rsid w:val="7E760E0F"/>
    <w:rsid w:val="7E7E09BD"/>
    <w:rsid w:val="7E7F64E4"/>
    <w:rsid w:val="7E7F6C85"/>
    <w:rsid w:val="7E846630"/>
    <w:rsid w:val="7E857F9E"/>
    <w:rsid w:val="7E864D83"/>
    <w:rsid w:val="7E924469"/>
    <w:rsid w:val="7E933D3D"/>
    <w:rsid w:val="7E953CDF"/>
    <w:rsid w:val="7E953F59"/>
    <w:rsid w:val="7E9755DB"/>
    <w:rsid w:val="7E9A3EF8"/>
    <w:rsid w:val="7E9E4BBC"/>
    <w:rsid w:val="7E9E791D"/>
    <w:rsid w:val="7EA47CF8"/>
    <w:rsid w:val="7EAB552B"/>
    <w:rsid w:val="7EAE578B"/>
    <w:rsid w:val="7EB038C4"/>
    <w:rsid w:val="7EB20667"/>
    <w:rsid w:val="7EB50157"/>
    <w:rsid w:val="7EB51F05"/>
    <w:rsid w:val="7EB663A9"/>
    <w:rsid w:val="7EB87D14"/>
    <w:rsid w:val="7EBE700C"/>
    <w:rsid w:val="7EC34622"/>
    <w:rsid w:val="7EC42148"/>
    <w:rsid w:val="7EC56B18"/>
    <w:rsid w:val="7ECD724F"/>
    <w:rsid w:val="7ECF1219"/>
    <w:rsid w:val="7ED05708"/>
    <w:rsid w:val="7ED511AF"/>
    <w:rsid w:val="7ED92098"/>
    <w:rsid w:val="7EDA196C"/>
    <w:rsid w:val="7EE36A72"/>
    <w:rsid w:val="7EE54599"/>
    <w:rsid w:val="7EE822DB"/>
    <w:rsid w:val="7EEA1BAF"/>
    <w:rsid w:val="7EF7721A"/>
    <w:rsid w:val="7EF90044"/>
    <w:rsid w:val="7F0013D2"/>
    <w:rsid w:val="7F096FC7"/>
    <w:rsid w:val="7F0C25A6"/>
    <w:rsid w:val="7F111831"/>
    <w:rsid w:val="7F121258"/>
    <w:rsid w:val="7F183EFE"/>
    <w:rsid w:val="7F1906E6"/>
    <w:rsid w:val="7F1C3D32"/>
    <w:rsid w:val="7F1D519F"/>
    <w:rsid w:val="7F231565"/>
    <w:rsid w:val="7F251A5D"/>
    <w:rsid w:val="7F2B49AD"/>
    <w:rsid w:val="7F2C21C7"/>
    <w:rsid w:val="7F2E7386"/>
    <w:rsid w:val="7F313C82"/>
    <w:rsid w:val="7F365850"/>
    <w:rsid w:val="7F375861"/>
    <w:rsid w:val="7F3E014D"/>
    <w:rsid w:val="7F41310A"/>
    <w:rsid w:val="7F4919FB"/>
    <w:rsid w:val="7F4A08A0"/>
    <w:rsid w:val="7F4B27AB"/>
    <w:rsid w:val="7F4D0390"/>
    <w:rsid w:val="7F4F235A"/>
    <w:rsid w:val="7F531E4A"/>
    <w:rsid w:val="7F58120E"/>
    <w:rsid w:val="7F596D35"/>
    <w:rsid w:val="7F5C531D"/>
    <w:rsid w:val="7F5D3A3C"/>
    <w:rsid w:val="7F6802A7"/>
    <w:rsid w:val="7F692316"/>
    <w:rsid w:val="7F736048"/>
    <w:rsid w:val="7F743B6E"/>
    <w:rsid w:val="7F74591C"/>
    <w:rsid w:val="7F763BA1"/>
    <w:rsid w:val="7F7973D7"/>
    <w:rsid w:val="7F7D0C75"/>
    <w:rsid w:val="7F872AEE"/>
    <w:rsid w:val="7F8813C8"/>
    <w:rsid w:val="7F8C0EB8"/>
    <w:rsid w:val="7F8C710A"/>
    <w:rsid w:val="7F8D0AFF"/>
    <w:rsid w:val="7F990854"/>
    <w:rsid w:val="7FA02BB5"/>
    <w:rsid w:val="7FA04963"/>
    <w:rsid w:val="7FA36202"/>
    <w:rsid w:val="7FAE7080"/>
    <w:rsid w:val="7FC44AF6"/>
    <w:rsid w:val="7FC76394"/>
    <w:rsid w:val="7FC877DE"/>
    <w:rsid w:val="7FC95C68"/>
    <w:rsid w:val="7FD14B1D"/>
    <w:rsid w:val="7FD15E28"/>
    <w:rsid w:val="7FD32B0B"/>
    <w:rsid w:val="7FD374BB"/>
    <w:rsid w:val="7FDB065F"/>
    <w:rsid w:val="7FDB599C"/>
    <w:rsid w:val="7FE99FD1"/>
    <w:rsid w:val="7FEC7BA9"/>
    <w:rsid w:val="7FEE56CF"/>
    <w:rsid w:val="7FF151BF"/>
    <w:rsid w:val="7FFB7DEC"/>
    <w:rsid w:val="AF7FA6DF"/>
    <w:rsid w:val="FD3B4E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outlineLvl w:val="0"/>
    </w:pPr>
    <w:rPr>
      <w:sz w:val="28"/>
    </w:rPr>
  </w:style>
  <w:style w:type="paragraph" w:styleId="3">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widowControl w:val="0"/>
      <w:numPr>
        <w:ilvl w:val="3"/>
        <w:numId w:val="1"/>
      </w:numPr>
      <w:tabs>
        <w:tab w:val="left" w:pos="630"/>
      </w:tabs>
      <w:spacing w:before="156" w:after="156" w:line="360" w:lineRule="auto"/>
      <w:outlineLvl w:val="3"/>
    </w:pPr>
    <w:rPr>
      <w:rFonts w:ascii="华文中宋" w:hAnsi="华文中宋" w:eastAsia="华文中宋" w:cs="华文中宋"/>
      <w:bCs/>
      <w:kern w:val="2"/>
      <w:sz w:val="24"/>
      <w:szCs w:val="28"/>
      <w:lang w:val="en-US" w:eastAsia="zh-CN" w:bidi="ar-SA"/>
    </w:rPr>
  </w:style>
  <w:style w:type="paragraph" w:styleId="6">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39"/>
    <w:pPr>
      <w:ind w:left="1260"/>
      <w:jc w:val="left"/>
    </w:pPr>
    <w:rPr>
      <w:sz w:val="18"/>
      <w:szCs w:val="18"/>
    </w:rPr>
  </w:style>
  <w:style w:type="paragraph" w:styleId="8">
    <w:name w:val="Normal Indent"/>
    <w:basedOn w:val="1"/>
    <w:qFormat/>
    <w:uiPriority w:val="0"/>
    <w:pPr>
      <w:ind w:firstLine="420" w:firstLineChars="200"/>
    </w:pPr>
    <w:rPr>
      <w:rFonts w:ascii="宋体"/>
      <w:kern w:val="0"/>
      <w:sz w:val="24"/>
    </w:rPr>
  </w:style>
  <w:style w:type="paragraph" w:styleId="9">
    <w:name w:val="Document Map"/>
    <w:basedOn w:val="1"/>
    <w:next w:val="1"/>
    <w:link w:val="56"/>
    <w:semiHidden/>
    <w:qFormat/>
    <w:uiPriority w:val="0"/>
    <w:pPr>
      <w:shd w:val="clear" w:color="auto" w:fill="000080"/>
    </w:pPr>
  </w:style>
  <w:style w:type="paragraph" w:styleId="10">
    <w:name w:val="toa heading"/>
    <w:basedOn w:val="1"/>
    <w:next w:val="1"/>
    <w:qFormat/>
    <w:uiPriority w:val="99"/>
    <w:pPr>
      <w:widowControl/>
      <w:spacing w:line="360" w:lineRule="atLeast"/>
      <w:jc w:val="left"/>
    </w:pPr>
    <w:rPr>
      <w:rFonts w:eastAsia="黑体"/>
      <w:kern w:val="0"/>
      <w:sz w:val="22"/>
      <w:szCs w:val="22"/>
    </w:rPr>
  </w:style>
  <w:style w:type="paragraph" w:styleId="11">
    <w:name w:val="annotation text"/>
    <w:basedOn w:val="1"/>
    <w:link w:val="57"/>
    <w:semiHidden/>
    <w:qFormat/>
    <w:uiPriority w:val="0"/>
    <w:pPr>
      <w:jc w:val="left"/>
    </w:pPr>
    <w:rPr>
      <w:szCs w:val="20"/>
    </w:rPr>
  </w:style>
  <w:style w:type="paragraph" w:styleId="12">
    <w:name w:val="Body Text 3"/>
    <w:basedOn w:val="1"/>
    <w:link w:val="58"/>
    <w:qFormat/>
    <w:uiPriority w:val="0"/>
    <w:pPr>
      <w:spacing w:before="156" w:beforeLines="50" w:after="156" w:afterLines="50" w:line="460" w:lineRule="exact"/>
      <w:jc w:val="center"/>
    </w:pPr>
    <w:rPr>
      <w:rFonts w:ascii="仿宋_GB2312" w:hAnsi="Arial" w:eastAsia="仿宋_GB2312"/>
      <w:bCs/>
      <w:sz w:val="28"/>
      <w:szCs w:val="28"/>
    </w:rPr>
  </w:style>
  <w:style w:type="paragraph" w:styleId="13">
    <w:name w:val="Body Text"/>
    <w:basedOn w:val="1"/>
    <w:link w:val="59"/>
    <w:qFormat/>
    <w:uiPriority w:val="0"/>
    <w:pPr>
      <w:spacing w:after="120"/>
    </w:pPr>
  </w:style>
  <w:style w:type="paragraph" w:styleId="14">
    <w:name w:val="Body Text Indent"/>
    <w:basedOn w:val="1"/>
    <w:next w:val="15"/>
    <w:link w:val="60"/>
    <w:qFormat/>
    <w:uiPriority w:val="0"/>
    <w:pPr>
      <w:ind w:firstLine="660"/>
    </w:pPr>
    <w:rPr>
      <w:rFonts w:ascii="宋体" w:hAnsi="宋体"/>
      <w:color w:val="000000"/>
      <w:sz w:val="24"/>
      <w:szCs w:val="20"/>
    </w:rPr>
  </w:style>
  <w:style w:type="paragraph" w:styleId="15">
    <w:name w:val="envelope return"/>
    <w:basedOn w:val="1"/>
    <w:next w:val="7"/>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cs="Times New Roman"/>
      <w:kern w:val="2"/>
      <w:sz w:val="21"/>
      <w:szCs w:val="24"/>
    </w:rPr>
  </w:style>
  <w:style w:type="paragraph" w:styleId="17">
    <w:name w:val="toc 3"/>
    <w:basedOn w:val="1"/>
    <w:next w:val="1"/>
    <w:qFormat/>
    <w:uiPriority w:val="39"/>
    <w:pPr>
      <w:tabs>
        <w:tab w:val="right" w:leader="dot" w:pos="8965"/>
      </w:tabs>
      <w:jc w:val="left"/>
    </w:pPr>
    <w:rPr>
      <w:rFonts w:hAnsi="宋体"/>
      <w:b/>
      <w:sz w:val="24"/>
    </w:rPr>
  </w:style>
  <w:style w:type="paragraph" w:styleId="18">
    <w:name w:val="Plain Text"/>
    <w:basedOn w:val="1"/>
    <w:link w:val="61"/>
    <w:qFormat/>
    <w:uiPriority w:val="0"/>
    <w:rPr>
      <w:rFonts w:ascii="宋体" w:hAnsi="Courier New"/>
      <w:szCs w:val="21"/>
    </w:rPr>
  </w:style>
  <w:style w:type="paragraph" w:styleId="19">
    <w:name w:val="index 3"/>
    <w:basedOn w:val="1"/>
    <w:next w:val="1"/>
    <w:qFormat/>
    <w:uiPriority w:val="0"/>
    <w:pPr>
      <w:ind w:left="400" w:leftChars="400"/>
    </w:pPr>
    <w:rPr>
      <w:szCs w:val="20"/>
    </w:rPr>
  </w:style>
  <w:style w:type="paragraph" w:styleId="20">
    <w:name w:val="Date"/>
    <w:basedOn w:val="1"/>
    <w:next w:val="1"/>
    <w:link w:val="62"/>
    <w:qFormat/>
    <w:uiPriority w:val="0"/>
    <w:rPr>
      <w:b/>
      <w:sz w:val="28"/>
      <w:szCs w:val="2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99"/>
    <w:pPr>
      <w:tabs>
        <w:tab w:val="center" w:pos="4153"/>
        <w:tab w:val="right" w:pos="8306"/>
      </w:tabs>
      <w:snapToGrid w:val="0"/>
      <w:jc w:val="left"/>
    </w:pPr>
    <w:rPr>
      <w:sz w:val="18"/>
      <w:szCs w:val="20"/>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sz w:val="24"/>
    </w:rPr>
  </w:style>
  <w:style w:type="paragraph" w:styleId="26">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6"/>
    <w:basedOn w:val="1"/>
    <w:next w:val="1"/>
    <w:qFormat/>
    <w:uiPriority w:val="0"/>
    <w:pPr>
      <w:ind w:left="1050"/>
      <w:jc w:val="left"/>
    </w:pPr>
    <w:rPr>
      <w:szCs w:val="21"/>
    </w:rPr>
  </w:style>
  <w:style w:type="paragraph" w:styleId="28">
    <w:name w:val="Body Text Indent 3"/>
    <w:basedOn w:val="1"/>
    <w:link w:val="67"/>
    <w:qFormat/>
    <w:uiPriority w:val="0"/>
    <w:pPr>
      <w:ind w:left="178" w:leftChars="85" w:firstLine="560" w:firstLineChars="200"/>
    </w:pPr>
    <w:rPr>
      <w:rFonts w:ascii="仿宋_GB2312" w:hAnsi="Arial" w:eastAsia="仿宋_GB2312"/>
      <w:sz w:val="28"/>
    </w:rPr>
  </w:style>
  <w:style w:type="paragraph" w:styleId="29">
    <w:name w:val="toc 2"/>
    <w:basedOn w:val="1"/>
    <w:next w:val="1"/>
    <w:qFormat/>
    <w:uiPriority w:val="39"/>
    <w:pPr>
      <w:ind w:left="420" w:leftChars="200"/>
    </w:pPr>
    <w:rPr>
      <w:sz w:val="24"/>
    </w:rPr>
  </w:style>
  <w:style w:type="paragraph" w:styleId="30">
    <w:name w:val="Body Text 2"/>
    <w:basedOn w:val="1"/>
    <w:link w:val="68"/>
    <w:qFormat/>
    <w:uiPriority w:val="0"/>
    <w:pPr>
      <w:spacing w:after="120" w:line="480" w:lineRule="auto"/>
    </w:pPr>
  </w:style>
  <w:style w:type="paragraph" w:styleId="3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69"/>
    <w:qFormat/>
    <w:uiPriority w:val="0"/>
    <w:pPr>
      <w:spacing w:before="240" w:after="60"/>
      <w:jc w:val="center"/>
    </w:pPr>
    <w:rPr>
      <w:rFonts w:ascii="楷体" w:hAnsi="楷体" w:eastAsia="楷体"/>
      <w:b/>
      <w:bCs/>
      <w:sz w:val="44"/>
      <w:szCs w:val="44"/>
    </w:rPr>
  </w:style>
  <w:style w:type="paragraph" w:styleId="34">
    <w:name w:val="annotation subject"/>
    <w:basedOn w:val="11"/>
    <w:next w:val="11"/>
    <w:link w:val="70"/>
    <w:qFormat/>
    <w:uiPriority w:val="0"/>
    <w:rPr>
      <w:b/>
      <w:bCs/>
      <w:szCs w:val="24"/>
    </w:rPr>
  </w:style>
  <w:style w:type="paragraph" w:styleId="35">
    <w:name w:val="Body Text First Indent"/>
    <w:basedOn w:val="13"/>
    <w:unhideWhenUsed/>
    <w:qFormat/>
    <w:uiPriority w:val="99"/>
    <w:pPr>
      <w:ind w:firstLine="420" w:firstLineChars="100"/>
    </w:pPr>
  </w:style>
  <w:style w:type="paragraph" w:styleId="36">
    <w:name w:val="Body Text First Indent 2"/>
    <w:basedOn w:val="14"/>
    <w:next w:val="1"/>
    <w:qFormat/>
    <w:uiPriority w:val="0"/>
    <w:pPr>
      <w:spacing w:line="360" w:lineRule="auto"/>
      <w:ind w:firstLine="200" w:firstLineChars="200"/>
    </w:pPr>
    <w:rPr>
      <w:rFonts w:ascii="宋体" w:eastAsia="宋体"/>
      <w:sz w:val="21"/>
      <w:szCs w:val="2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qFormat/>
    <w:uiPriority w:val="0"/>
  </w:style>
  <w:style w:type="character" w:styleId="42">
    <w:name w:val="FollowedHyperlink"/>
    <w:qFormat/>
    <w:uiPriority w:val="0"/>
    <w:rPr>
      <w:color w:val="000000"/>
      <w:u w:val="none"/>
    </w:rPr>
  </w:style>
  <w:style w:type="character" w:styleId="43">
    <w:name w:val="HTML Definition"/>
    <w:basedOn w:val="39"/>
    <w:qFormat/>
    <w:uiPriority w:val="0"/>
  </w:style>
  <w:style w:type="character" w:styleId="44">
    <w:name w:val="HTML Typewriter"/>
    <w:basedOn w:val="39"/>
    <w:qFormat/>
    <w:uiPriority w:val="0"/>
    <w:rPr>
      <w:rFonts w:hint="default" w:ascii="monospace" w:hAnsi="monospace" w:eastAsia="monospace" w:cs="monospace"/>
      <w:sz w:val="20"/>
    </w:rPr>
  </w:style>
  <w:style w:type="character" w:styleId="45">
    <w:name w:val="HTML Acronym"/>
    <w:basedOn w:val="39"/>
    <w:qFormat/>
    <w:uiPriority w:val="0"/>
  </w:style>
  <w:style w:type="character" w:styleId="46">
    <w:name w:val="HTML Variable"/>
    <w:basedOn w:val="39"/>
    <w:qFormat/>
    <w:uiPriority w:val="0"/>
  </w:style>
  <w:style w:type="character" w:styleId="47">
    <w:name w:val="Hyperlink"/>
    <w:basedOn w:val="39"/>
    <w:qFormat/>
    <w:uiPriority w:val="99"/>
    <w:rPr>
      <w:color w:val="000000"/>
      <w:u w:val="single"/>
    </w:rPr>
  </w:style>
  <w:style w:type="character" w:styleId="48">
    <w:name w:val="HTML Code"/>
    <w:basedOn w:val="39"/>
    <w:qFormat/>
    <w:uiPriority w:val="0"/>
    <w:rPr>
      <w:rFonts w:ascii="monospace" w:hAnsi="monospace" w:eastAsia="monospace" w:cs="monospace"/>
      <w:sz w:val="20"/>
    </w:rPr>
  </w:style>
  <w:style w:type="character" w:styleId="49">
    <w:name w:val="annotation reference"/>
    <w:qFormat/>
    <w:uiPriority w:val="0"/>
    <w:rPr>
      <w:sz w:val="21"/>
      <w:szCs w:val="21"/>
    </w:rPr>
  </w:style>
  <w:style w:type="character" w:styleId="50">
    <w:name w:val="HTML Cite"/>
    <w:basedOn w:val="39"/>
    <w:qFormat/>
    <w:uiPriority w:val="0"/>
  </w:style>
  <w:style w:type="character" w:styleId="51">
    <w:name w:val="HTML Keyboard"/>
    <w:basedOn w:val="39"/>
    <w:qFormat/>
    <w:uiPriority w:val="0"/>
    <w:rPr>
      <w:rFonts w:hint="default" w:ascii="monospace" w:hAnsi="monospace" w:eastAsia="monospace" w:cs="monospace"/>
      <w:sz w:val="20"/>
    </w:rPr>
  </w:style>
  <w:style w:type="character" w:styleId="52">
    <w:name w:val="HTML Sample"/>
    <w:basedOn w:val="39"/>
    <w:qFormat/>
    <w:uiPriority w:val="0"/>
    <w:rPr>
      <w:rFonts w:hint="default" w:ascii="monospace" w:hAnsi="monospace" w:eastAsia="monospace" w:cs="monospace"/>
    </w:rPr>
  </w:style>
  <w:style w:type="character" w:customStyle="1" w:styleId="53">
    <w:name w:val="标题 1 字符"/>
    <w:link w:val="2"/>
    <w:qFormat/>
    <w:uiPriority w:val="0"/>
    <w:rPr>
      <w:rFonts w:eastAsia="宋体"/>
      <w:kern w:val="2"/>
      <w:sz w:val="28"/>
      <w:szCs w:val="24"/>
      <w:lang w:val="en-US" w:eastAsia="zh-CN" w:bidi="ar-SA"/>
    </w:rPr>
  </w:style>
  <w:style w:type="character" w:customStyle="1" w:styleId="54">
    <w:name w:val="标题 2 字符"/>
    <w:link w:val="3"/>
    <w:qFormat/>
    <w:uiPriority w:val="0"/>
    <w:rPr>
      <w:rFonts w:ascii="Arial" w:hAnsi="Arial" w:eastAsia="黑体"/>
      <w:b/>
      <w:bCs/>
      <w:kern w:val="2"/>
      <w:sz w:val="32"/>
      <w:szCs w:val="32"/>
    </w:rPr>
  </w:style>
  <w:style w:type="character" w:customStyle="1" w:styleId="55">
    <w:name w:val="标题 3 字符"/>
    <w:link w:val="4"/>
    <w:qFormat/>
    <w:uiPriority w:val="0"/>
    <w:rPr>
      <w:b/>
      <w:bCs/>
      <w:kern w:val="2"/>
      <w:sz w:val="32"/>
      <w:szCs w:val="32"/>
    </w:rPr>
  </w:style>
  <w:style w:type="character" w:customStyle="1" w:styleId="56">
    <w:name w:val="文档结构图 字符"/>
    <w:link w:val="9"/>
    <w:semiHidden/>
    <w:qFormat/>
    <w:uiPriority w:val="0"/>
    <w:rPr>
      <w:kern w:val="2"/>
      <w:sz w:val="21"/>
      <w:szCs w:val="24"/>
      <w:shd w:val="clear" w:color="auto" w:fill="000080"/>
    </w:rPr>
  </w:style>
  <w:style w:type="character" w:customStyle="1" w:styleId="57">
    <w:name w:val="批注文字 字符"/>
    <w:link w:val="11"/>
    <w:semiHidden/>
    <w:qFormat/>
    <w:uiPriority w:val="0"/>
    <w:rPr>
      <w:rFonts w:eastAsia="宋体"/>
      <w:kern w:val="2"/>
      <w:sz w:val="21"/>
      <w:lang w:val="en-US" w:eastAsia="zh-CN" w:bidi="ar-SA"/>
    </w:rPr>
  </w:style>
  <w:style w:type="character" w:customStyle="1" w:styleId="58">
    <w:name w:val="正文文本 3 字符"/>
    <w:link w:val="12"/>
    <w:qFormat/>
    <w:uiPriority w:val="0"/>
    <w:rPr>
      <w:rFonts w:ascii="仿宋_GB2312" w:hAnsi="Arial" w:eastAsia="仿宋_GB2312" w:cs="Arial"/>
      <w:bCs/>
      <w:kern w:val="2"/>
      <w:sz w:val="28"/>
      <w:szCs w:val="28"/>
    </w:rPr>
  </w:style>
  <w:style w:type="character" w:customStyle="1" w:styleId="59">
    <w:name w:val="正文文本 字符"/>
    <w:link w:val="13"/>
    <w:qFormat/>
    <w:uiPriority w:val="0"/>
    <w:rPr>
      <w:kern w:val="2"/>
      <w:sz w:val="21"/>
      <w:szCs w:val="24"/>
    </w:rPr>
  </w:style>
  <w:style w:type="character" w:customStyle="1" w:styleId="60">
    <w:name w:val="正文文本缩进 字符"/>
    <w:link w:val="14"/>
    <w:qFormat/>
    <w:uiPriority w:val="0"/>
    <w:rPr>
      <w:rFonts w:ascii="宋体" w:hAnsi="宋体"/>
      <w:color w:val="000000"/>
      <w:kern w:val="2"/>
      <w:sz w:val="24"/>
    </w:rPr>
  </w:style>
  <w:style w:type="character" w:customStyle="1" w:styleId="61">
    <w:name w:val="纯文本 字符"/>
    <w:link w:val="18"/>
    <w:qFormat/>
    <w:locked/>
    <w:uiPriority w:val="0"/>
    <w:rPr>
      <w:rFonts w:ascii="宋体" w:hAnsi="Courier New"/>
      <w:kern w:val="2"/>
      <w:sz w:val="21"/>
      <w:szCs w:val="21"/>
    </w:rPr>
  </w:style>
  <w:style w:type="character" w:customStyle="1" w:styleId="62">
    <w:name w:val="日期 字符"/>
    <w:link w:val="20"/>
    <w:qFormat/>
    <w:locked/>
    <w:uiPriority w:val="0"/>
    <w:rPr>
      <w:rFonts w:eastAsia="宋体"/>
      <w:b/>
      <w:kern w:val="2"/>
      <w:sz w:val="28"/>
      <w:lang w:val="en-US" w:eastAsia="zh-CN" w:bidi="ar-SA"/>
    </w:rPr>
  </w:style>
  <w:style w:type="character" w:customStyle="1" w:styleId="63">
    <w:name w:val="正文文本缩进 2 字符"/>
    <w:link w:val="21"/>
    <w:qFormat/>
    <w:uiPriority w:val="0"/>
    <w:rPr>
      <w:kern w:val="2"/>
      <w:sz w:val="21"/>
      <w:szCs w:val="24"/>
    </w:rPr>
  </w:style>
  <w:style w:type="character" w:customStyle="1" w:styleId="64">
    <w:name w:val="批注框文本 字符"/>
    <w:link w:val="22"/>
    <w:qFormat/>
    <w:uiPriority w:val="0"/>
    <w:rPr>
      <w:kern w:val="2"/>
      <w:sz w:val="18"/>
      <w:szCs w:val="18"/>
    </w:rPr>
  </w:style>
  <w:style w:type="character" w:customStyle="1" w:styleId="65">
    <w:name w:val="页脚 字符"/>
    <w:link w:val="23"/>
    <w:qFormat/>
    <w:uiPriority w:val="99"/>
    <w:rPr>
      <w:kern w:val="2"/>
      <w:sz w:val="18"/>
    </w:rPr>
  </w:style>
  <w:style w:type="character" w:customStyle="1" w:styleId="66">
    <w:name w:val="页眉 字符1"/>
    <w:link w:val="24"/>
    <w:qFormat/>
    <w:uiPriority w:val="0"/>
    <w:rPr>
      <w:kern w:val="2"/>
      <w:sz w:val="18"/>
      <w:szCs w:val="18"/>
    </w:rPr>
  </w:style>
  <w:style w:type="character" w:customStyle="1" w:styleId="67">
    <w:name w:val="正文文本缩进 3 字符"/>
    <w:link w:val="28"/>
    <w:qFormat/>
    <w:uiPriority w:val="0"/>
    <w:rPr>
      <w:rFonts w:ascii="仿宋_GB2312" w:hAnsi="Arial" w:eastAsia="仿宋_GB2312"/>
      <w:kern w:val="2"/>
      <w:sz w:val="28"/>
      <w:szCs w:val="24"/>
    </w:rPr>
  </w:style>
  <w:style w:type="character" w:customStyle="1" w:styleId="68">
    <w:name w:val="正文文本 2 字符"/>
    <w:link w:val="30"/>
    <w:qFormat/>
    <w:uiPriority w:val="0"/>
    <w:rPr>
      <w:kern w:val="2"/>
      <w:sz w:val="21"/>
      <w:szCs w:val="24"/>
    </w:rPr>
  </w:style>
  <w:style w:type="character" w:customStyle="1" w:styleId="69">
    <w:name w:val="标题 字符"/>
    <w:link w:val="33"/>
    <w:qFormat/>
    <w:uiPriority w:val="0"/>
    <w:rPr>
      <w:rFonts w:ascii="楷体" w:hAnsi="楷体" w:eastAsia="楷体"/>
      <w:b/>
      <w:bCs/>
      <w:kern w:val="2"/>
      <w:sz w:val="44"/>
      <w:szCs w:val="44"/>
    </w:rPr>
  </w:style>
  <w:style w:type="character" w:customStyle="1" w:styleId="70">
    <w:name w:val="批注主题 字符"/>
    <w:link w:val="34"/>
    <w:qFormat/>
    <w:uiPriority w:val="0"/>
    <w:rPr>
      <w:rFonts w:eastAsia="宋体"/>
      <w:b/>
      <w:bCs/>
      <w:kern w:val="2"/>
      <w:sz w:val="21"/>
      <w:szCs w:val="24"/>
      <w:lang w:val="en-US" w:eastAsia="zh-CN" w:bidi="ar-SA"/>
    </w:rPr>
  </w:style>
  <w:style w:type="paragraph" w:customStyle="1" w:styleId="71">
    <w:name w:val="正文 New"/>
    <w:next w:val="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缩进1"/>
    <w:basedOn w:val="1"/>
    <w:next w:val="9"/>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4">
    <w:name w:val="纯文本 Char2"/>
    <w:qFormat/>
    <w:uiPriority w:val="0"/>
    <w:rPr>
      <w:rFonts w:ascii="宋体" w:hAnsi="Courier New"/>
      <w:kern w:val="2"/>
      <w:sz w:val="21"/>
      <w:szCs w:val="21"/>
    </w:rPr>
  </w:style>
  <w:style w:type="character" w:customStyle="1" w:styleId="75">
    <w:name w:val=" Char Char3"/>
    <w:qFormat/>
    <w:uiPriority w:val="0"/>
    <w:rPr>
      <w:rFonts w:eastAsia="宋体"/>
      <w:kern w:val="2"/>
      <w:sz w:val="21"/>
      <w:lang w:val="en-US" w:eastAsia="zh-CN" w:bidi="ar-SA"/>
    </w:rPr>
  </w:style>
  <w:style w:type="character" w:customStyle="1" w:styleId="76">
    <w:name w:val="font21"/>
    <w:qFormat/>
    <w:uiPriority w:val="0"/>
    <w:rPr>
      <w:rFonts w:ascii="Calibri" w:hAnsi="Calibri" w:cs="Calibri"/>
      <w:color w:val="000000"/>
      <w:sz w:val="21"/>
      <w:szCs w:val="21"/>
      <w:u w:val="none"/>
    </w:rPr>
  </w:style>
  <w:style w:type="character" w:customStyle="1" w:styleId="77">
    <w:name w:val="封面日期 Char Char"/>
    <w:qFormat/>
    <w:uiPriority w:val="0"/>
    <w:rPr>
      <w:rFonts w:ascii="Times New Roman" w:hAnsi="Times New Roman" w:eastAsia="宋体" w:cs="Times New Roman"/>
      <w:b/>
      <w:sz w:val="28"/>
      <w:szCs w:val="20"/>
    </w:rPr>
  </w:style>
  <w:style w:type="character" w:customStyle="1" w:styleId="78">
    <w:name w:val="item-name"/>
    <w:qFormat/>
    <w:uiPriority w:val="0"/>
  </w:style>
  <w:style w:type="character" w:customStyle="1" w:styleId="79">
    <w:name w:val="item-name1"/>
    <w:qFormat/>
    <w:uiPriority w:val="0"/>
    <w:rPr>
      <w:color w:val="333333"/>
    </w:rPr>
  </w:style>
  <w:style w:type="character" w:customStyle="1" w:styleId="80">
    <w:name w:val="apple-converted-space"/>
    <w:qFormat/>
    <w:uiPriority w:val="0"/>
  </w:style>
  <w:style w:type="character" w:customStyle="1" w:styleId="81">
    <w:name w:val="font31"/>
    <w:qFormat/>
    <w:uiPriority w:val="0"/>
    <w:rPr>
      <w:rFonts w:ascii="宋体" w:hAnsi="宋体" w:eastAsia="宋体" w:cs="宋体"/>
      <w:color w:val="000000"/>
      <w:sz w:val="21"/>
      <w:szCs w:val="21"/>
      <w:u w:val="none"/>
    </w:rPr>
  </w:style>
  <w:style w:type="character" w:customStyle="1" w:styleId="82">
    <w:name w:val="页眉 字符"/>
    <w:qFormat/>
    <w:uiPriority w:val="99"/>
  </w:style>
  <w:style w:type="character" w:customStyle="1" w:styleId="83">
    <w:name w:val="标题 Char1"/>
    <w:qFormat/>
    <w:uiPriority w:val="10"/>
    <w:rPr>
      <w:rFonts w:ascii="Calibri Light" w:hAnsi="Calibri Light" w:cs="Times New Roman"/>
      <w:b/>
      <w:bCs/>
      <w:kern w:val="2"/>
      <w:sz w:val="32"/>
      <w:szCs w:val="32"/>
    </w:rPr>
  </w:style>
  <w:style w:type="paragraph" w:customStyle="1" w:styleId="84">
    <w:name w:val="List Paragraph"/>
    <w:basedOn w:val="1"/>
    <w:qFormat/>
    <w:uiPriority w:val="0"/>
    <w:pPr>
      <w:ind w:firstLine="420" w:firstLineChars="200"/>
    </w:pPr>
    <w:rPr>
      <w:rFonts w:ascii="Calibri" w:hAnsi="Calibri"/>
      <w:szCs w:val="22"/>
    </w:rPr>
  </w:style>
  <w:style w:type="paragraph" w:customStyle="1" w:styleId="8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6">
    <w:name w:val="标准正文"/>
    <w:basedOn w:val="14"/>
    <w:qFormat/>
    <w:uiPriority w:val="0"/>
    <w:pPr>
      <w:adjustRightInd w:val="0"/>
      <w:snapToGrid w:val="0"/>
      <w:spacing w:after="0" w:line="360" w:lineRule="auto"/>
      <w:ind w:left="0" w:leftChars="0" w:firstLine="560" w:firstLineChars="200"/>
    </w:pPr>
    <w:rPr>
      <w:rFonts w:ascii="Arial" w:hAnsi="Arial" w:eastAsia="楷体_GB2312"/>
      <w:kern w:val="0"/>
      <w:sz w:val="24"/>
      <w:szCs w:val="32"/>
    </w:rPr>
  </w:style>
  <w:style w:type="paragraph" w:customStyle="1" w:styleId="87">
    <w:name w:val="Char Char Char Char Char Char Char1 Char"/>
    <w:basedOn w:val="1"/>
    <w:qFormat/>
    <w:uiPriority w:val="0"/>
    <w:rPr>
      <w:rFonts w:ascii="Tahoma" w:hAnsi="Tahoma"/>
      <w:sz w:val="24"/>
      <w:szCs w:val="20"/>
    </w:rPr>
  </w:style>
  <w:style w:type="paragraph" w:customStyle="1" w:styleId="88">
    <w:name w:val="节标题"/>
    <w:basedOn w:val="1"/>
    <w:next w:val="1"/>
    <w:qFormat/>
    <w:uiPriority w:val="0"/>
    <w:pPr>
      <w:widowControl/>
      <w:spacing w:line="289" w:lineRule="atLeast"/>
      <w:jc w:val="center"/>
      <w:textAlignment w:val="baseline"/>
    </w:pPr>
    <w:rPr>
      <w:color w:val="000000"/>
      <w:kern w:val="0"/>
      <w:sz w:val="28"/>
      <w:u w:val="none" w:color="000000"/>
    </w:rPr>
  </w:style>
  <w:style w:type="paragraph" w:customStyle="1" w:styleId="89">
    <w:name w:val="正文无缩进"/>
    <w:basedOn w:val="1"/>
    <w:qFormat/>
    <w:uiPriority w:val="0"/>
    <w:pPr>
      <w:spacing w:line="600" w:lineRule="exact"/>
    </w:pPr>
    <w:rPr>
      <w:rFonts w:ascii="仿宋_GB2312" w:hAnsi="宋体" w:eastAsia="仿宋_GB2312"/>
      <w:sz w:val="31"/>
      <w:szCs w:val="28"/>
    </w:rPr>
  </w:style>
  <w:style w:type="paragraph" w:customStyle="1" w:styleId="90">
    <w:name w:val="Char Char Char Char Char Char Char Char Char1 Char Char Char1 Char Char Char Char Char Char"/>
    <w:basedOn w:val="1"/>
    <w:qFormat/>
    <w:uiPriority w:val="0"/>
    <w:pPr>
      <w:spacing w:line="360" w:lineRule="auto"/>
      <w:ind w:firstLine="200" w:firstLineChars="200"/>
    </w:pPr>
  </w:style>
  <w:style w:type="paragraph" w:customStyle="1" w:styleId="91">
    <w:name w:val="图1"/>
    <w:basedOn w:val="1"/>
    <w:next w:val="1"/>
    <w:qFormat/>
    <w:uiPriority w:val="0"/>
    <w:pPr>
      <w:numPr>
        <w:ilvl w:val="0"/>
        <w:numId w:val="2"/>
      </w:numPr>
      <w:tabs>
        <w:tab w:val="left" w:pos="777"/>
        <w:tab w:val="clear" w:pos="709"/>
      </w:tabs>
      <w:spacing w:beforeLines="50" w:afterLines="100" w:line="360" w:lineRule="auto"/>
      <w:ind w:left="2210" w:hanging="748"/>
      <w:jc w:val="center"/>
    </w:pPr>
    <w:rPr>
      <w:kern w:val="0"/>
      <w:sz w:val="24"/>
    </w:rPr>
  </w:style>
  <w:style w:type="paragraph" w:customStyle="1" w:styleId="92">
    <w:name w:val="彩色列表 - 着色 11"/>
    <w:basedOn w:val="1"/>
    <w:qFormat/>
    <w:uiPriority w:val="0"/>
    <w:pPr>
      <w:ind w:firstLine="420" w:firstLineChars="200"/>
    </w:pPr>
    <w:rPr>
      <w:rFonts w:ascii="Calibri" w:hAnsi="Calibri"/>
      <w:szCs w:val="22"/>
    </w:rPr>
  </w:style>
  <w:style w:type="paragraph" w:customStyle="1" w:styleId="93">
    <w:name w:val="样式1"/>
    <w:basedOn w:val="1"/>
    <w:qFormat/>
    <w:uiPriority w:val="0"/>
    <w:pPr>
      <w:numPr>
        <w:ilvl w:val="0"/>
        <w:numId w:val="3"/>
      </w:numPr>
      <w:adjustRightInd w:val="0"/>
      <w:textAlignment w:val="baseline"/>
    </w:pPr>
    <w:rPr>
      <w:rFonts w:ascii="宋体" w:hAnsi="宋体"/>
      <w:kern w:val="0"/>
      <w:szCs w:val="20"/>
    </w:rPr>
  </w:style>
  <w:style w:type="paragraph" w:customStyle="1" w:styleId="94">
    <w:name w:val=" Char Char Char Char"/>
    <w:basedOn w:val="1"/>
    <w:qFormat/>
    <w:uiPriority w:val="0"/>
    <w:pPr>
      <w:widowControl/>
      <w:spacing w:after="160" w:line="240" w:lineRule="exact"/>
      <w:jc w:val="left"/>
    </w:pPr>
    <w:rPr>
      <w:kern w:val="0"/>
      <w:sz w:val="24"/>
    </w:rPr>
  </w:style>
  <w:style w:type="paragraph" w:customStyle="1" w:styleId="95">
    <w:name w:val="_Style 8"/>
    <w:basedOn w:val="1"/>
    <w:qFormat/>
    <w:uiPriority w:val="0"/>
    <w:rPr>
      <w:szCs w:val="20"/>
    </w:rPr>
  </w:style>
  <w:style w:type="paragraph" w:customStyle="1" w:styleId="96">
    <w:name w:val="Char Char Char Char Char"/>
    <w:basedOn w:val="1"/>
    <w:qFormat/>
    <w:uiPriority w:val="0"/>
    <w:rPr>
      <w:rFonts w:ascii="Tahoma" w:hAnsi="Tahoma"/>
      <w:sz w:val="24"/>
      <w:szCs w:val="20"/>
    </w:rPr>
  </w:style>
  <w:style w:type="paragraph" w:customStyle="1" w:styleId="97">
    <w:name w:val=" Char"/>
    <w:basedOn w:val="1"/>
    <w:qFormat/>
    <w:uiPriority w:val="0"/>
    <w:rPr>
      <w:rFonts w:ascii="Tahoma" w:hAnsi="Tahoma"/>
      <w:sz w:val="24"/>
      <w:szCs w:val="20"/>
    </w:rPr>
  </w:style>
  <w:style w:type="paragraph" w:customStyle="1" w:styleId="98">
    <w:name w:val=" Char Char2 Char"/>
    <w:basedOn w:val="1"/>
    <w:qFormat/>
    <w:uiPriority w:val="0"/>
    <w:rPr>
      <w:rFonts w:ascii="Tahoma" w:hAnsi="Tahoma"/>
      <w:sz w:val="24"/>
    </w:rPr>
  </w:style>
  <w:style w:type="paragraph" w:customStyle="1" w:styleId="99">
    <w:name w:val="Default Paragraph Char Char Char Char"/>
    <w:basedOn w:val="1"/>
    <w:next w:val="1"/>
    <w:qFormat/>
    <w:uiPriority w:val="0"/>
    <w:pPr>
      <w:widowControl/>
      <w:spacing w:line="360" w:lineRule="auto"/>
      <w:jc w:val="left"/>
    </w:pPr>
    <w:rPr>
      <w:rFonts w:ascii="仿宋_GB2312" w:eastAsia="仿宋_GB2312"/>
      <w:kern w:val="0"/>
      <w:sz w:val="32"/>
      <w:szCs w:val="20"/>
      <w:lang w:eastAsia="en-US"/>
    </w:rPr>
  </w:style>
  <w:style w:type="paragraph" w:customStyle="1" w:styleId="10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_Style 4"/>
    <w:basedOn w:val="1"/>
    <w:qFormat/>
    <w:uiPriority w:val="0"/>
  </w:style>
  <w:style w:type="paragraph" w:customStyle="1" w:styleId="102">
    <w:name w:val="p0"/>
    <w:basedOn w:val="1"/>
    <w:qFormat/>
    <w:uiPriority w:val="0"/>
    <w:pPr>
      <w:widowControl/>
    </w:pPr>
    <w:rPr>
      <w:kern w:val="0"/>
      <w:szCs w:val="21"/>
    </w:rPr>
  </w:style>
  <w:style w:type="paragraph" w:customStyle="1" w:styleId="103">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4">
    <w:name w:val="Char"/>
    <w:basedOn w:val="1"/>
    <w:qFormat/>
    <w:uiPriority w:val="0"/>
    <w:rPr>
      <w:rFonts w:ascii="Tahoma" w:hAnsi="Tahoma"/>
      <w:sz w:val="24"/>
      <w:szCs w:val="20"/>
    </w:rPr>
  </w:style>
  <w:style w:type="paragraph" w:customStyle="1" w:styleId="105">
    <w:name w:val="BodyText"/>
    <w:basedOn w:val="1"/>
    <w:qFormat/>
    <w:uiPriority w:val="0"/>
    <w:pPr>
      <w:textAlignment w:val="baseline"/>
    </w:pPr>
    <w:rPr>
      <w:kern w:val="0"/>
      <w:sz w:val="18"/>
      <w:szCs w:val="18"/>
    </w:rPr>
  </w:style>
  <w:style w:type="paragraph" w:customStyle="1" w:styleId="106">
    <w:name w:val="正文_0"/>
    <w:qFormat/>
    <w:uiPriority w:val="0"/>
    <w:pPr>
      <w:widowControl w:val="0"/>
      <w:jc w:val="both"/>
    </w:pPr>
    <w:rPr>
      <w:rFonts w:ascii="仿宋_GB2312" w:hAnsi="仿宋_GB2312" w:eastAsia="宋体" w:cs="仿宋_GB2312"/>
      <w:kern w:val="2"/>
      <w:sz w:val="21"/>
      <w:szCs w:val="22"/>
      <w:lang w:val="en-US" w:eastAsia="zh-CN" w:bidi="ar-SA"/>
    </w:rPr>
  </w:style>
  <w:style w:type="paragraph" w:customStyle="1" w:styleId="107">
    <w:name w:val="cjk"/>
    <w:basedOn w:val="1"/>
    <w:qFormat/>
    <w:uiPriority w:val="0"/>
    <w:pPr>
      <w:widowControl/>
      <w:spacing w:before="100" w:beforeAutospacing="1"/>
      <w:jc w:val="left"/>
    </w:pPr>
    <w:rPr>
      <w:rFonts w:ascii="宋体" w:hAnsi="宋体" w:cs="宋体"/>
      <w:color w:val="000000"/>
      <w:kern w:val="0"/>
      <w:sz w:val="28"/>
      <w:szCs w:val="28"/>
    </w:rPr>
  </w:style>
  <w:style w:type="paragraph" w:customStyle="1" w:styleId="108">
    <w:name w:val="首行缩进"/>
    <w:basedOn w:val="1"/>
    <w:qFormat/>
    <w:uiPriority w:val="0"/>
    <w:pPr>
      <w:spacing w:line="360" w:lineRule="auto"/>
      <w:ind w:firstLine="480" w:firstLineChars="200"/>
    </w:pPr>
    <w:rPr>
      <w:rFonts w:ascii="宋体" w:hAnsi="宋体" w:cs="宋体"/>
      <w:sz w:val="24"/>
    </w:rPr>
  </w:style>
  <w:style w:type="paragraph" w:customStyle="1" w:styleId="109">
    <w:name w:val="正文正"/>
    <w:basedOn w:val="1"/>
    <w:qFormat/>
    <w:uiPriority w:val="0"/>
    <w:pPr>
      <w:spacing w:line="560" w:lineRule="exact"/>
      <w:ind w:firstLine="561"/>
    </w:pPr>
    <w:rPr>
      <w:rFonts w:ascii="Calibri" w:hAnsi="Calibri"/>
      <w:sz w:val="28"/>
      <w:szCs w:val="24"/>
    </w:rPr>
  </w:style>
  <w:style w:type="paragraph" w:customStyle="1" w:styleId="110">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1">
    <w:name w:val="UserStyle_18"/>
    <w:basedOn w:val="1"/>
    <w:qFormat/>
    <w:uiPriority w:val="0"/>
    <w:pPr>
      <w:widowControl/>
      <w:snapToGrid w:val="0"/>
      <w:ind w:firstLine="560"/>
      <w:jc w:val="left"/>
      <w:textAlignment w:val="baseline"/>
    </w:pPr>
    <w:rPr>
      <w:rFonts w:ascii="仿宋_GB2312"/>
      <w:color w:val="191919"/>
      <w:kern w:val="2"/>
      <w:sz w:val="28"/>
      <w:szCs w:val="28"/>
      <w:lang w:val="en-US" w:eastAsia="zh-CN" w:bidi="ar-SA"/>
    </w:rPr>
  </w:style>
  <w:style w:type="character" w:customStyle="1" w:styleId="112">
    <w:name w:val="NormalCharacter"/>
    <w:semiHidden/>
    <w:qFormat/>
    <w:uiPriority w:val="0"/>
  </w:style>
  <w:style w:type="paragraph" w:customStyle="1" w:styleId="113">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4">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115">
    <w:name w:val="列出段落1"/>
    <w:basedOn w:val="1"/>
    <w:qFormat/>
    <w:uiPriority w:val="99"/>
    <w:pPr>
      <w:ind w:firstLine="420" w:firstLineChars="200"/>
    </w:pPr>
    <w:rPr>
      <w:rFonts w:ascii="Calibri" w:hAnsi="Calibri" w:eastAsia="宋体" w:cs="Times New Roman"/>
      <w:szCs w:val="22"/>
    </w:rPr>
  </w:style>
  <w:style w:type="paragraph" w:customStyle="1" w:styleId="116">
    <w:name w:val="_Style 115"/>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Table Text"/>
    <w:basedOn w:val="1"/>
    <w:semiHidden/>
    <w:qFormat/>
    <w:uiPriority w:val="0"/>
    <w:rPr>
      <w:rFonts w:ascii="宋体" w:hAnsi="宋体" w:eastAsia="宋体" w:cs="宋体"/>
      <w:sz w:val="20"/>
      <w:szCs w:val="20"/>
      <w:lang w:val="en-US" w:eastAsia="en-US" w:bidi="ar-SA"/>
    </w:rPr>
  </w:style>
  <w:style w:type="character" w:customStyle="1" w:styleId="118">
    <w:name w:val="first-child"/>
    <w:basedOn w:val="39"/>
    <w:qFormat/>
    <w:uiPriority w:val="0"/>
  </w:style>
  <w:style w:type="character" w:customStyle="1" w:styleId="119">
    <w:name w:val="layui-this"/>
    <w:basedOn w:val="39"/>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26318</Words>
  <Characters>27782</Characters>
  <Lines>296</Lines>
  <Paragraphs>83</Paragraphs>
  <TotalTime>4</TotalTime>
  <ScaleCrop>false</ScaleCrop>
  <LinksUpToDate>false</LinksUpToDate>
  <CharactersWithSpaces>29069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2024-11-29T19:53:00Z</dcterms:created>
  <dc:creator>Administrator</dc:creator>
  <cp:lastModifiedBy>好男人就是……</cp:lastModifiedBy>
  <cp:lastPrinted>2025-06-03T01:41:00Z</cp:lastPrinted>
  <dcterms:modified xsi:type="dcterms:W3CDTF">2026-05-27T09:33:48Z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56B3314937CB4142AD4CAABA6B5EC74E_13</vt:lpwstr>
  </property>
  <property fmtid="{D5CDD505-2E9C-101B-9397-08002B2CF9AE}" pid="4" name="KSOTemplateDocerSaveRecord">
    <vt:lpwstr>eyJoZGlkIjoiNmEyNTVjYTQ4NGI2NTUxY2M0N2Q1MmY4NGI5ZGY4YWEiLCJ1c2VySWQiOiI0ODA0NzU0NTcifQ==</vt:lpwstr>
  </property>
</Properties>
</file>