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7060B">
      <w:pPr>
        <w:pStyle w:val="2"/>
        <w:widowControl/>
        <w:snapToGrid w:val="0"/>
        <w:spacing w:before="0" w:after="0" w:line="360" w:lineRule="auto"/>
        <w:jc w:val="center"/>
        <w:rPr>
          <w:rFonts w:hint="eastAsia" w:ascii="宋体" w:hAnsi="宋体" w:eastAsia="仿宋"/>
          <w:color w:val="000000"/>
          <w:highlight w:val="none"/>
          <w:lang w:eastAsia="zh-CN"/>
        </w:rPr>
      </w:pPr>
      <w:bookmarkStart w:id="0" w:name="_Toc24366"/>
      <w:bookmarkStart w:id="1" w:name="_Toc18228"/>
      <w:bookmarkStart w:id="2" w:name="_Toc14483"/>
      <w:bookmarkStart w:id="3" w:name="_Toc466024555"/>
      <w:bookmarkStart w:id="4" w:name="_Toc445554746"/>
      <w:bookmarkStart w:id="5" w:name="_Toc25985"/>
      <w:r>
        <w:rPr>
          <w:rFonts w:hint="eastAsia" w:ascii="宋体" w:hAnsi="宋体" w:eastAsia="仿宋"/>
          <w:color w:val="000000"/>
          <w:highlight w:val="none"/>
        </w:rPr>
        <w:t>第三章  采购需求</w:t>
      </w:r>
      <w:bookmarkEnd w:id="0"/>
      <w:bookmarkEnd w:id="1"/>
      <w:bookmarkEnd w:id="2"/>
      <w:bookmarkEnd w:id="3"/>
      <w:bookmarkEnd w:id="4"/>
      <w:bookmarkEnd w:id="5"/>
    </w:p>
    <w:p w14:paraId="4C813A32">
      <w:pPr>
        <w:pStyle w:val="3"/>
        <w:rPr>
          <w:rStyle w:val="10"/>
          <w:rFonts w:hint="default" w:ascii="宋体" w:hAnsi="宋体" w:eastAsia="仿宋"/>
          <w:b/>
          <w:bCs/>
          <w:color w:val="000000"/>
          <w:sz w:val="24"/>
          <w:szCs w:val="24"/>
          <w:highlight w:val="none"/>
          <w:lang w:val="en-US"/>
        </w:rPr>
      </w:pPr>
      <w:bookmarkStart w:id="6" w:name="_Toc466024556"/>
      <w:bookmarkStart w:id="7" w:name="_Toc455587273"/>
      <w:bookmarkStart w:id="8" w:name="_Toc455587089"/>
      <w:bookmarkStart w:id="9" w:name="_Toc445554747"/>
      <w:r>
        <w:rPr>
          <w:rStyle w:val="10"/>
          <w:rFonts w:hint="eastAsia" w:ascii="宋体" w:hAnsi="宋体" w:eastAsia="仿宋"/>
          <w:b/>
          <w:bCs/>
          <w:color w:val="000000"/>
          <w:sz w:val="24"/>
          <w:szCs w:val="24"/>
          <w:highlight w:val="none"/>
        </w:rPr>
        <w:t>1.</w:t>
      </w:r>
      <w:bookmarkEnd w:id="6"/>
      <w:bookmarkEnd w:id="7"/>
      <w:bookmarkEnd w:id="8"/>
      <w:r>
        <w:rPr>
          <w:rStyle w:val="10"/>
          <w:rFonts w:hint="eastAsia" w:ascii="宋体" w:hAnsi="宋体" w:eastAsia="仿宋"/>
          <w:b/>
          <w:bCs/>
          <w:color w:val="000000"/>
          <w:sz w:val="24"/>
          <w:szCs w:val="24"/>
          <w:highlight w:val="none"/>
          <w:lang w:val="en-US"/>
        </w:rPr>
        <w:t>总体说明</w:t>
      </w:r>
    </w:p>
    <w:p w14:paraId="1AF6E590">
      <w:pPr>
        <w:widowControl/>
        <w:tabs>
          <w:tab w:val="left" w:pos="1406"/>
        </w:tabs>
        <w:snapToGrid w:val="0"/>
        <w:spacing w:line="360" w:lineRule="auto"/>
        <w:ind w:firstLine="480" w:firstLineChars="200"/>
        <w:rPr>
          <w:rFonts w:hint="eastAsia" w:ascii="宋体" w:hAnsi="宋体" w:eastAsia="仿宋"/>
          <w:color w:val="000000"/>
          <w:sz w:val="24"/>
          <w:highlight w:val="none"/>
        </w:rPr>
      </w:pPr>
      <w:r>
        <w:rPr>
          <w:rFonts w:hint="eastAsia" w:ascii="宋体" w:hAnsi="宋体" w:eastAsia="仿宋"/>
          <w:color w:val="000000"/>
          <w:sz w:val="24"/>
          <w:highlight w:val="none"/>
        </w:rPr>
        <w:t>1.1 本</w:t>
      </w:r>
      <w:r>
        <w:rPr>
          <w:rFonts w:hint="eastAsia" w:ascii="宋体" w:hAnsi="宋体" w:eastAsia="仿宋"/>
          <w:color w:val="000000"/>
          <w:sz w:val="24"/>
          <w:highlight w:val="none"/>
          <w:lang w:val="en-US" w:eastAsia="zh-CN"/>
        </w:rPr>
        <w:t>章</w:t>
      </w:r>
      <w:r>
        <w:rPr>
          <w:rFonts w:hint="eastAsia" w:ascii="宋体" w:hAnsi="宋体" w:eastAsia="仿宋"/>
          <w:color w:val="000000"/>
          <w:sz w:val="24"/>
          <w:highlight w:val="none"/>
        </w:rPr>
        <w:t>所提出的</w:t>
      </w:r>
      <w:r>
        <w:rPr>
          <w:rFonts w:hint="eastAsia" w:ascii="宋体" w:hAnsi="宋体" w:eastAsia="仿宋"/>
          <w:color w:val="000000"/>
          <w:sz w:val="24"/>
          <w:highlight w:val="none"/>
          <w:lang w:val="en-US" w:eastAsia="zh-CN"/>
        </w:rPr>
        <w:t>技术</w:t>
      </w:r>
      <w:r>
        <w:rPr>
          <w:rFonts w:hint="eastAsia" w:ascii="宋体" w:hAnsi="宋体" w:eastAsia="仿宋"/>
          <w:color w:val="000000"/>
          <w:sz w:val="24"/>
          <w:highlight w:val="none"/>
        </w:rPr>
        <w:t>要求是对本次招标货物及伴随服务的基本要求，并未涉及所有技术细节，也未充分引述有关标准、规范的全部条款。投标人应保证其提供的货物及伴随服务除了满足本技术要求外，还应符合中国国家、行业、地方或设备制造商所在国的有关</w:t>
      </w:r>
      <w:r>
        <w:rPr>
          <w:rFonts w:hint="eastAsia" w:ascii="宋体" w:hAnsi="宋体" w:eastAsia="仿宋"/>
          <w:color w:val="000000"/>
          <w:sz w:val="24"/>
          <w:highlight w:val="none"/>
          <w:lang w:val="en-US" w:eastAsia="zh-CN"/>
        </w:rPr>
        <w:t>强制性</w:t>
      </w:r>
      <w:r>
        <w:rPr>
          <w:rFonts w:hint="eastAsia" w:ascii="宋体" w:hAnsi="宋体" w:eastAsia="仿宋"/>
          <w:color w:val="000000"/>
          <w:sz w:val="24"/>
          <w:highlight w:val="none"/>
        </w:rPr>
        <w:t>标准、规范。当上述标准、规范的有关规定之间存在差异时，应以要求高的为准。</w:t>
      </w:r>
    </w:p>
    <w:p w14:paraId="42E05B5F">
      <w:pPr>
        <w:widowControl/>
        <w:tabs>
          <w:tab w:val="left" w:pos="1406"/>
        </w:tabs>
        <w:snapToGrid w:val="0"/>
        <w:spacing w:line="360" w:lineRule="auto"/>
        <w:ind w:firstLine="480" w:firstLineChars="200"/>
        <w:rPr>
          <w:rFonts w:hint="eastAsia" w:ascii="宋体" w:hAnsi="宋体" w:eastAsia="仿宋"/>
          <w:color w:val="000000"/>
          <w:sz w:val="24"/>
          <w:highlight w:val="none"/>
        </w:rPr>
      </w:pPr>
      <w:r>
        <w:rPr>
          <w:rFonts w:hint="eastAsia" w:ascii="宋体" w:hAnsi="宋体" w:eastAsia="仿宋"/>
          <w:color w:val="000000"/>
          <w:sz w:val="24"/>
          <w:highlight w:val="none"/>
        </w:rPr>
        <w:t>1.2 本</w:t>
      </w:r>
      <w:r>
        <w:rPr>
          <w:rFonts w:hint="eastAsia" w:ascii="宋体" w:hAnsi="宋体" w:eastAsia="仿宋"/>
          <w:color w:val="000000"/>
          <w:sz w:val="24"/>
          <w:highlight w:val="none"/>
          <w:lang w:val="en-US" w:eastAsia="zh-CN"/>
        </w:rPr>
        <w:t>章</w:t>
      </w:r>
      <w:r>
        <w:rPr>
          <w:rFonts w:hint="eastAsia" w:ascii="宋体" w:hAnsi="宋体" w:eastAsia="仿宋"/>
          <w:color w:val="000000"/>
          <w:sz w:val="24"/>
          <w:highlight w:val="none"/>
        </w:rPr>
        <w:t>中提及的工艺、材料、设备的标准及品牌或型号（如有）仅起说明作用，并没有强制性。投标人在投标中可以用替代工艺、材料、设备的标准及品牌或型号，但这种替代须实质上满足、等同或优于本</w:t>
      </w:r>
      <w:r>
        <w:rPr>
          <w:rFonts w:hint="eastAsia" w:ascii="宋体" w:hAnsi="宋体" w:eastAsia="仿宋"/>
          <w:color w:val="000000"/>
          <w:sz w:val="24"/>
          <w:highlight w:val="none"/>
          <w:lang w:val="en-US" w:eastAsia="zh-CN"/>
        </w:rPr>
        <w:t>章</w:t>
      </w:r>
      <w:r>
        <w:rPr>
          <w:rFonts w:hint="eastAsia" w:ascii="宋体" w:hAnsi="宋体" w:eastAsia="仿宋"/>
          <w:color w:val="000000"/>
          <w:sz w:val="24"/>
          <w:highlight w:val="none"/>
        </w:rPr>
        <w:t>技术要求，同时须提供</w:t>
      </w:r>
      <w:r>
        <w:rPr>
          <w:rFonts w:hint="eastAsia" w:ascii="宋体" w:hAnsi="宋体" w:eastAsia="仿宋"/>
          <w:color w:val="000000"/>
          <w:sz w:val="24"/>
          <w:highlight w:val="none"/>
          <w:lang w:val="en-US" w:eastAsia="zh-CN"/>
        </w:rPr>
        <w:t>相关</w:t>
      </w:r>
      <w:r>
        <w:rPr>
          <w:rFonts w:hint="eastAsia" w:ascii="宋体" w:hAnsi="宋体" w:eastAsia="仿宋"/>
          <w:color w:val="000000"/>
          <w:sz w:val="24"/>
          <w:highlight w:val="none"/>
        </w:rPr>
        <w:t>证明材料</w:t>
      </w:r>
      <w:r>
        <w:rPr>
          <w:rFonts w:hint="eastAsia" w:ascii="宋体" w:hAnsi="宋体" w:eastAsia="仿宋"/>
          <w:color w:val="000000"/>
          <w:sz w:val="24"/>
          <w:highlight w:val="none"/>
          <w:lang w:eastAsia="zh-CN"/>
        </w:rPr>
        <w:t>，</w:t>
      </w:r>
      <w:r>
        <w:rPr>
          <w:rFonts w:hint="eastAsia" w:ascii="宋体" w:hAnsi="宋体" w:eastAsia="仿宋"/>
          <w:color w:val="000000"/>
          <w:sz w:val="24"/>
          <w:highlight w:val="none"/>
          <w:lang w:val="en-US" w:eastAsia="zh-CN"/>
        </w:rPr>
        <w:t>否则可能被评标委员会认定为负偏离</w:t>
      </w:r>
      <w:r>
        <w:rPr>
          <w:rFonts w:hint="eastAsia" w:ascii="宋体" w:hAnsi="宋体" w:eastAsia="仿宋"/>
          <w:color w:val="000000"/>
          <w:sz w:val="24"/>
          <w:highlight w:val="none"/>
        </w:rPr>
        <w:t>。</w:t>
      </w:r>
    </w:p>
    <w:p w14:paraId="312C09C5">
      <w:pPr>
        <w:widowControl/>
        <w:tabs>
          <w:tab w:val="left" w:pos="1406"/>
        </w:tabs>
        <w:snapToGrid w:val="0"/>
        <w:spacing w:line="360" w:lineRule="auto"/>
        <w:ind w:firstLine="480" w:firstLineChars="200"/>
        <w:rPr>
          <w:rFonts w:hint="eastAsia" w:ascii="宋体" w:hAnsi="宋体" w:eastAsia="仿宋"/>
          <w:color w:val="000000"/>
          <w:sz w:val="24"/>
          <w:highlight w:val="none"/>
        </w:rPr>
      </w:pPr>
      <w:r>
        <w:rPr>
          <w:rFonts w:hint="eastAsia" w:ascii="宋体" w:hAnsi="宋体" w:eastAsia="仿宋"/>
          <w:color w:val="000000"/>
          <w:sz w:val="24"/>
          <w:highlight w:val="none"/>
        </w:rPr>
        <w:t>1.3 除非有特别说明，本</w:t>
      </w:r>
      <w:r>
        <w:rPr>
          <w:rFonts w:hint="eastAsia" w:ascii="宋体" w:hAnsi="宋体" w:eastAsia="仿宋"/>
          <w:color w:val="000000"/>
          <w:sz w:val="24"/>
          <w:highlight w:val="none"/>
          <w:lang w:val="en-US" w:eastAsia="zh-CN"/>
        </w:rPr>
        <w:t>章</w:t>
      </w:r>
      <w:r>
        <w:rPr>
          <w:rFonts w:hint="eastAsia" w:ascii="宋体" w:hAnsi="宋体" w:eastAsia="仿宋"/>
          <w:color w:val="000000"/>
          <w:sz w:val="24"/>
          <w:highlight w:val="none"/>
        </w:rPr>
        <w:t>中所列的具体参数或参数范围，均理解为</w:t>
      </w:r>
      <w:r>
        <w:rPr>
          <w:rFonts w:hint="eastAsia" w:ascii="宋体" w:hAnsi="宋体" w:eastAsia="仿宋"/>
          <w:color w:val="000000"/>
          <w:sz w:val="24"/>
          <w:highlight w:val="none"/>
          <w:lang w:eastAsia="zh-CN"/>
        </w:rPr>
        <w:t>招标人</w:t>
      </w:r>
      <w:r>
        <w:rPr>
          <w:rFonts w:hint="eastAsia" w:ascii="宋体" w:hAnsi="宋体" w:eastAsia="仿宋"/>
          <w:color w:val="000000"/>
          <w:sz w:val="24"/>
          <w:highlight w:val="none"/>
        </w:rPr>
        <w:t>可接受的最低要求。</w:t>
      </w:r>
    </w:p>
    <w:p w14:paraId="6359AD64">
      <w:pPr>
        <w:pStyle w:val="3"/>
        <w:rPr>
          <w:rFonts w:hint="eastAsia" w:ascii="宋体" w:hAnsi="宋体" w:eastAsia="仿宋" w:cs="Times New Roman"/>
          <w:b/>
          <w:bCs/>
          <w:color w:val="000000"/>
          <w:sz w:val="24"/>
          <w:szCs w:val="24"/>
          <w:highlight w:val="none"/>
        </w:rPr>
      </w:pPr>
      <w:bookmarkStart w:id="10" w:name="_Toc455587090"/>
      <w:bookmarkStart w:id="11" w:name="_Toc466024557"/>
      <w:bookmarkStart w:id="12" w:name="_Toc455587274"/>
      <w:r>
        <w:rPr>
          <w:rStyle w:val="10"/>
          <w:rFonts w:hint="eastAsia" w:ascii="宋体" w:hAnsi="宋体" w:eastAsia="仿宋"/>
          <w:b/>
          <w:bCs/>
          <w:color w:val="000000"/>
          <w:sz w:val="24"/>
          <w:szCs w:val="24"/>
          <w:highlight w:val="none"/>
          <w:lang w:val="en-US"/>
        </w:rPr>
        <w:t>2</w:t>
      </w:r>
      <w:r>
        <w:rPr>
          <w:rStyle w:val="10"/>
          <w:rFonts w:hint="eastAsia" w:ascii="宋体" w:hAnsi="宋体" w:eastAsia="仿宋"/>
          <w:b/>
          <w:bCs/>
          <w:color w:val="000000"/>
          <w:sz w:val="24"/>
          <w:szCs w:val="24"/>
          <w:highlight w:val="none"/>
        </w:rPr>
        <w:t>.</w:t>
      </w:r>
      <w:bookmarkEnd w:id="10"/>
      <w:bookmarkEnd w:id="11"/>
      <w:bookmarkEnd w:id="12"/>
      <w:r>
        <w:rPr>
          <w:rFonts w:hint="eastAsia" w:ascii="宋体" w:hAnsi="宋体" w:eastAsia="仿宋" w:cs="Times New Roman"/>
          <w:b/>
          <w:bCs/>
          <w:color w:val="000000"/>
          <w:sz w:val="24"/>
          <w:szCs w:val="24"/>
          <w:highlight w:val="none"/>
        </w:rPr>
        <w:t>采购内容及范围</w:t>
      </w:r>
    </w:p>
    <w:p w14:paraId="048AC7B1">
      <w:pPr>
        <w:widowControl/>
        <w:tabs>
          <w:tab w:val="left" w:pos="1406"/>
        </w:tabs>
        <w:snapToGrid w:val="0"/>
        <w:spacing w:line="360" w:lineRule="auto"/>
        <w:ind w:firstLine="412" w:firstLineChars="171"/>
        <w:rPr>
          <w:rFonts w:hint="eastAsia" w:ascii="宋体" w:hAnsi="宋体" w:eastAsia="宋体" w:cs="Times New Roman"/>
          <w:b/>
          <w:color w:val="000000"/>
          <w:sz w:val="24"/>
          <w:highlight w:val="none"/>
        </w:rPr>
      </w:pPr>
      <w:r>
        <w:rPr>
          <w:rFonts w:hint="eastAsia" w:ascii="宋体" w:hAnsi="宋体" w:eastAsia="仿宋" w:cs="Times New Roman"/>
          <w:b/>
          <w:color w:val="000000"/>
          <w:sz w:val="24"/>
          <w:highlight w:val="none"/>
          <w:lang w:val="en-US" w:eastAsia="zh-CN"/>
        </w:rPr>
        <w:t>2</w:t>
      </w:r>
      <w:r>
        <w:rPr>
          <w:rFonts w:hint="eastAsia" w:ascii="宋体" w:hAnsi="宋体" w:eastAsia="仿宋" w:cs="Times New Roman"/>
          <w:b/>
          <w:color w:val="000000"/>
          <w:sz w:val="24"/>
          <w:highlight w:val="none"/>
        </w:rPr>
        <w:t>.1 采购内容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154"/>
        <w:gridCol w:w="2616"/>
        <w:gridCol w:w="1148"/>
        <w:gridCol w:w="1187"/>
        <w:gridCol w:w="1331"/>
      </w:tblGrid>
      <w:tr w14:paraId="20BB2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87AEC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包号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1A7FD">
            <w:pPr>
              <w:widowControl/>
              <w:autoSpaceDN w:val="0"/>
              <w:jc w:val="center"/>
              <w:rPr>
                <w:rFonts w:ascii="Times New Roman" w:hAnsi="宋体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  <w:t>序号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823A6">
            <w:pPr>
              <w:widowControl/>
              <w:autoSpaceDN w:val="0"/>
              <w:jc w:val="center"/>
              <w:rPr>
                <w:rFonts w:ascii="Times New Roman" w:hAnsi="宋体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标的</w:t>
            </w:r>
            <w:r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  <w:t>名称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F74A9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748C9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277FB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备注</w:t>
            </w:r>
          </w:p>
        </w:tc>
      </w:tr>
      <w:tr w14:paraId="27EE3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56DB0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27CAC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1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11E3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气站、气路管道接头阀门支架及安装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0626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E56FC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8523D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</w:tr>
      <w:tr w14:paraId="1EB8F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3A715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B32E4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2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D0174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教学一体机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14261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7054C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29D32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</w:tr>
      <w:tr w14:paraId="6A967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D6337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878DA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3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B1EE3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六边形钳工桌（不含台虎钳）及台虎钳拆装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2AE1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12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29E0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张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CEFF9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</w:tr>
      <w:tr w14:paraId="66370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9628A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3AB49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4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03A6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音箱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37361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239EE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3B992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</w:tr>
      <w:tr w14:paraId="68A47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30C25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423A9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5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05EA1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工具柜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510A1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80F3B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个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54A5A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</w:tr>
      <w:tr w14:paraId="34E74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CCB55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ECE06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6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9DD99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LED显示屏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1A7A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BD7F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1719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</w:tr>
      <w:tr w14:paraId="35836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8556A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0F012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7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16757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网络摄像机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02E82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159C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11366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</w:tr>
      <w:tr w14:paraId="43557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2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4461C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DB1C5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8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3DAEF">
            <w:pPr>
              <w:widowControl/>
              <w:autoSpaceDN w:val="0"/>
              <w:jc w:val="center"/>
              <w:rPr>
                <w:rFonts w:ascii="宋体" w:hAnsi="宋体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工业风扇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30D1F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B372C">
            <w:pPr>
              <w:widowControl/>
              <w:autoSpaceDN w:val="0"/>
              <w:jc w:val="center"/>
              <w:rPr>
                <w:rFonts w:hint="default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68803">
            <w:pPr>
              <w:widowControl/>
              <w:autoSpaceDN w:val="0"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</w:p>
        </w:tc>
      </w:tr>
    </w:tbl>
    <w:p w14:paraId="31B46126">
      <w:pPr>
        <w:widowControl/>
        <w:tabs>
          <w:tab w:val="left" w:pos="1406"/>
        </w:tabs>
        <w:snapToGrid w:val="0"/>
        <w:spacing w:line="360" w:lineRule="auto"/>
        <w:ind w:firstLine="412" w:firstLineChars="171"/>
        <w:rPr>
          <w:rFonts w:hint="eastAsia" w:ascii="宋体" w:hAnsi="宋体" w:eastAsia="仿宋" w:cs="Times New Roman"/>
          <w:b/>
          <w:color w:val="000000"/>
          <w:sz w:val="24"/>
          <w:highlight w:val="none"/>
          <w:lang w:val="en-US" w:eastAsia="zh-CN"/>
        </w:rPr>
      </w:pPr>
    </w:p>
    <w:p w14:paraId="3B96DC54">
      <w:pPr>
        <w:widowControl/>
        <w:tabs>
          <w:tab w:val="left" w:pos="1406"/>
        </w:tabs>
        <w:snapToGrid w:val="0"/>
        <w:spacing w:line="360" w:lineRule="auto"/>
        <w:ind w:firstLine="412" w:firstLineChars="171"/>
        <w:rPr>
          <w:rFonts w:hint="eastAsia" w:ascii="宋体" w:hAnsi="宋体" w:eastAsia="仿宋" w:cs="Times New Roman"/>
          <w:b/>
          <w:color w:val="000000"/>
          <w:sz w:val="24"/>
          <w:highlight w:val="none"/>
        </w:rPr>
      </w:pPr>
      <w:r>
        <w:rPr>
          <w:rFonts w:hint="eastAsia" w:ascii="宋体" w:hAnsi="宋体" w:eastAsia="仿宋" w:cs="Times New Roman"/>
          <w:b/>
          <w:color w:val="000000"/>
          <w:sz w:val="24"/>
          <w:highlight w:val="none"/>
          <w:lang w:val="en-US" w:eastAsia="zh-CN"/>
        </w:rPr>
        <w:t>2</w:t>
      </w:r>
      <w:r>
        <w:rPr>
          <w:rFonts w:hint="eastAsia" w:ascii="宋体" w:hAnsi="宋体" w:eastAsia="仿宋" w:cs="Times New Roman"/>
          <w:b/>
          <w:color w:val="000000"/>
          <w:sz w:val="24"/>
          <w:highlight w:val="none"/>
        </w:rPr>
        <w:t>.2 采购范围</w:t>
      </w:r>
    </w:p>
    <w:p w14:paraId="09E13F69">
      <w:pPr>
        <w:widowControl/>
        <w:snapToGrid w:val="0"/>
        <w:spacing w:line="360" w:lineRule="auto"/>
        <w:ind w:firstLine="480" w:firstLineChars="200"/>
        <w:jc w:val="both"/>
        <w:rPr>
          <w:rFonts w:hint="eastAsia" w:ascii="宋体" w:hAnsi="宋体" w:eastAsia="仿宋" w:cs="Times New Roman"/>
          <w:i w:val="0"/>
          <w:iCs w:val="0"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仿宋" w:cs="Times New Roman"/>
          <w:i w:val="0"/>
          <w:iCs w:val="0"/>
          <w:color w:val="000000"/>
          <w:kern w:val="2"/>
          <w:sz w:val="24"/>
          <w:szCs w:val="24"/>
          <w:highlight w:val="none"/>
          <w:lang w:val="en-US" w:eastAsia="zh-CN" w:bidi="ar-SA"/>
        </w:rPr>
        <w:t>包括所有货物的供货、包装运输（包括卸车及就位至采购人指定的安装地点）、安装、调试、验收、技术服务、培训、售后服务等所有内容。</w:t>
      </w:r>
    </w:p>
    <w:p w14:paraId="2A7D2044">
      <w:pPr>
        <w:pStyle w:val="3"/>
        <w:rPr>
          <w:rFonts w:hint="default" w:ascii="宋体" w:hAnsi="宋体" w:eastAsia="仿宋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仿宋"/>
          <w:color w:val="000000"/>
          <w:sz w:val="24"/>
          <w:highlight w:val="none"/>
          <w:lang w:val="en-US" w:eastAsia="zh-CN"/>
        </w:rPr>
        <w:t>3</w:t>
      </w:r>
      <w:r>
        <w:rPr>
          <w:rFonts w:hint="default" w:ascii="宋体" w:hAnsi="宋体" w:eastAsia="仿宋"/>
          <w:color w:val="000000"/>
          <w:sz w:val="24"/>
          <w:highlight w:val="none"/>
          <w:lang w:val="en-US" w:eastAsia="zh-CN"/>
        </w:rPr>
        <w:t>.商务要求</w:t>
      </w:r>
    </w:p>
    <w:p w14:paraId="6A727111">
      <w:pPr>
        <w:ind w:firstLine="241" w:firstLineChars="100"/>
        <w:rPr>
          <w:rFonts w:hint="eastAsia" w:ascii="宋体" w:hAnsi="宋体" w:eastAsia="仿宋" w:cs="Times New Roman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仿宋" w:cs="Times New Roman"/>
          <w:b/>
          <w:bCs/>
          <w:color w:val="000000"/>
          <w:sz w:val="24"/>
          <w:szCs w:val="24"/>
          <w:highlight w:val="none"/>
          <w:lang w:val="en-US" w:eastAsia="zh-CN"/>
        </w:rPr>
        <w:t>除非有特别说明，本条为实质性要求。</w:t>
      </w:r>
    </w:p>
    <w:tbl>
      <w:tblPr>
        <w:tblStyle w:val="7"/>
        <w:tblW w:w="0" w:type="auto"/>
        <w:tblInd w:w="3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6391"/>
      </w:tblGrid>
      <w:tr w14:paraId="32BA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noWrap w:val="0"/>
            <w:vAlign w:val="center"/>
          </w:tcPr>
          <w:p w14:paraId="564AA320">
            <w:pPr>
              <w:widowControl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交货期</w:t>
            </w:r>
          </w:p>
        </w:tc>
        <w:tc>
          <w:tcPr>
            <w:tcW w:w="7479" w:type="dxa"/>
            <w:noWrap w:val="0"/>
            <w:vAlign w:val="top"/>
          </w:tcPr>
          <w:p w14:paraId="2DEC3099"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eastAsia="仿宋" w:cs="Calibri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Calibri"/>
                <w:color w:val="000000"/>
                <w:sz w:val="24"/>
                <w:highlight w:val="none"/>
              </w:rPr>
              <w:t>签订合同后 30个日历天供货安装完毕。</w:t>
            </w:r>
          </w:p>
          <w:p w14:paraId="13A5C5C8">
            <w:pPr>
              <w:widowControl/>
              <w:adjustRightInd w:val="0"/>
              <w:snapToGrid w:val="0"/>
              <w:spacing w:line="288" w:lineRule="auto"/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Calibri"/>
                <w:color w:val="000000"/>
                <w:sz w:val="24"/>
                <w:highlight w:val="none"/>
              </w:rPr>
              <w:t>是否接受负偏离：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  <w:lang w:eastAsia="zh-CN"/>
              </w:rPr>
              <w:t>☑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>不接受</w:t>
            </w:r>
          </w:p>
          <w:p w14:paraId="6D958A20">
            <w:pPr>
              <w:pStyle w:val="11"/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</w:pP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 xml:space="preserve">           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>□接受：</w:t>
            </w:r>
          </w:p>
          <w:p w14:paraId="3DA5388E">
            <w:pPr>
              <w:pStyle w:val="11"/>
              <w:ind w:firstLine="0" w:firstLineChars="0"/>
              <w:rPr>
                <w:rFonts w:hint="eastAsia" w:ascii="宋体" w:hAnsi="宋体" w:eastAsia="仿宋"/>
                <w:color w:val="00000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>允许偏离的幅度：</w:t>
            </w:r>
            <w:r>
              <w:rPr>
                <w:rFonts w:hint="eastAsia" w:ascii="宋体" w:hAnsi="宋体" w:eastAsia="仿宋" w:cs="Calibr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/</w:t>
            </w:r>
          </w:p>
        </w:tc>
      </w:tr>
      <w:tr w14:paraId="1B7C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981" w:type="dxa"/>
            <w:noWrap w:val="0"/>
            <w:vAlign w:val="center"/>
          </w:tcPr>
          <w:p w14:paraId="58F5C7B4">
            <w:pPr>
              <w:widowControl/>
              <w:jc w:val="center"/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交货地点</w:t>
            </w:r>
          </w:p>
        </w:tc>
        <w:tc>
          <w:tcPr>
            <w:tcW w:w="7479" w:type="dxa"/>
            <w:noWrap w:val="0"/>
            <w:vAlign w:val="center"/>
          </w:tcPr>
          <w:p w14:paraId="581C6CDD">
            <w:pPr>
              <w:widowControl/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i w:val="0"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滁州学院校园内，采购人指定地点。</w:t>
            </w:r>
          </w:p>
          <w:p w14:paraId="7796B626">
            <w:pPr>
              <w:widowControl/>
              <w:adjustRightInd w:val="0"/>
              <w:snapToGrid w:val="0"/>
              <w:spacing w:line="288" w:lineRule="auto"/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Calibri"/>
                <w:color w:val="000000"/>
                <w:sz w:val="24"/>
                <w:highlight w:val="none"/>
              </w:rPr>
              <w:t>是否接受负偏离：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  <w:lang w:eastAsia="zh-CN"/>
              </w:rPr>
              <w:t>☑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>不接受</w:t>
            </w:r>
          </w:p>
          <w:p w14:paraId="768939D9">
            <w:pPr>
              <w:pStyle w:val="11"/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</w:pP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 xml:space="preserve">           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>□接受：</w:t>
            </w:r>
          </w:p>
          <w:p w14:paraId="08EE3BD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仿宋" w:hAnsi="仿宋" w:eastAsia="仿宋" w:cs="仿宋"/>
                <w:i w:val="0"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>允许偏离的幅度：</w:t>
            </w:r>
            <w:r>
              <w:rPr>
                <w:rFonts w:hint="eastAsia" w:ascii="宋体" w:hAnsi="宋体" w:eastAsia="仿宋" w:cs="Calibr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/</w:t>
            </w:r>
          </w:p>
        </w:tc>
      </w:tr>
      <w:tr w14:paraId="6E1A0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noWrap w:val="0"/>
            <w:vAlign w:val="center"/>
          </w:tcPr>
          <w:p w14:paraId="6E092A52">
            <w:pPr>
              <w:pStyle w:val="11"/>
              <w:ind w:firstLine="0" w:firstLineChars="0"/>
              <w:jc w:val="center"/>
              <w:rPr>
                <w:rFonts w:hint="default" w:ascii="宋体" w:hAnsi="宋体" w:eastAsia="仿宋"/>
                <w:color w:val="00000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"/>
                <w:color w:val="000000"/>
                <w:sz w:val="24"/>
                <w:highlight w:val="none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7479" w:type="dxa"/>
            <w:noWrap w:val="0"/>
            <w:vAlign w:val="top"/>
          </w:tcPr>
          <w:p w14:paraId="18E6C90A"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eastAsia="仿宋" w:cs="Calibri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Calibri"/>
                <w:color w:val="000000"/>
                <w:sz w:val="24"/>
                <w:highlight w:val="none"/>
                <w:lang w:val="en-US" w:eastAsia="zh-CN"/>
              </w:rPr>
              <w:t>供货（服务）完成，经验收合格后付全款。</w:t>
            </w:r>
          </w:p>
          <w:p w14:paraId="4B2DFE87">
            <w:pPr>
              <w:widowControl/>
              <w:adjustRightInd w:val="0"/>
              <w:snapToGrid w:val="0"/>
              <w:spacing w:line="288" w:lineRule="auto"/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Calibri"/>
                <w:color w:val="000000"/>
                <w:sz w:val="24"/>
                <w:highlight w:val="none"/>
              </w:rPr>
              <w:t>是否接受负偏离：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  <w:lang w:eastAsia="zh-CN"/>
              </w:rPr>
              <w:t>☑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>不接受</w:t>
            </w:r>
          </w:p>
          <w:p w14:paraId="282DA86F">
            <w:pPr>
              <w:widowControl/>
              <w:adjustRightInd w:val="0"/>
              <w:snapToGrid w:val="0"/>
              <w:spacing w:line="288" w:lineRule="auto"/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</w:pP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 xml:space="preserve">                □接受：</w:t>
            </w:r>
          </w:p>
          <w:p w14:paraId="10BD9E59">
            <w:pPr>
              <w:widowControl/>
              <w:adjustRightInd w:val="0"/>
              <w:snapToGrid w:val="0"/>
              <w:spacing w:line="288" w:lineRule="auto"/>
              <w:ind w:firstLine="0" w:firstLineChars="0"/>
              <w:rPr>
                <w:rFonts w:hint="default" w:ascii="宋体" w:hAnsi="宋体" w:eastAsia="仿宋"/>
                <w:color w:val="00000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>允许偏离的幅度：</w:t>
            </w:r>
            <w:r>
              <w:rPr>
                <w:rFonts w:hint="eastAsia" w:ascii="仿宋" w:hAnsi="仿宋" w:eastAsia="仿宋" w:cs="仿宋"/>
                <w:i w:val="0"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/</w:t>
            </w:r>
          </w:p>
        </w:tc>
      </w:tr>
      <w:tr w14:paraId="073F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noWrap w:val="0"/>
            <w:vAlign w:val="center"/>
          </w:tcPr>
          <w:p w14:paraId="5F39950E">
            <w:pPr>
              <w:pStyle w:val="11"/>
              <w:ind w:firstLine="0" w:firstLineChars="0"/>
              <w:jc w:val="center"/>
              <w:rPr>
                <w:rFonts w:hint="default" w:ascii="宋体" w:hAnsi="宋体" w:eastAsia="仿宋"/>
                <w:color w:val="00000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" w:cs="Times New Roman"/>
                <w:color w:val="000000"/>
                <w:sz w:val="24"/>
                <w:highlight w:val="none"/>
              </w:rPr>
              <w:t>质量保证期</w:t>
            </w:r>
          </w:p>
        </w:tc>
        <w:tc>
          <w:tcPr>
            <w:tcW w:w="7479" w:type="dxa"/>
            <w:noWrap w:val="0"/>
            <w:vAlign w:val="top"/>
          </w:tcPr>
          <w:p w14:paraId="6948D8C3"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eastAsia="仿宋" w:cs="Calibri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Calibri"/>
                <w:color w:val="000000"/>
                <w:sz w:val="24"/>
                <w:highlight w:val="none"/>
                <w:lang w:val="en-US" w:eastAsia="zh-CN"/>
              </w:rPr>
              <w:t>质量保证期：两年</w:t>
            </w:r>
            <w:r>
              <w:rPr>
                <w:rFonts w:hint="default" w:ascii="宋体" w:hAnsi="宋体" w:eastAsia="仿宋" w:cs="Calibri"/>
                <w:color w:val="000000"/>
                <w:sz w:val="24"/>
                <w:highlight w:val="none"/>
                <w:lang w:val="en-US" w:eastAsia="zh-CN"/>
              </w:rPr>
              <w:t>。</w:t>
            </w:r>
          </w:p>
          <w:p w14:paraId="380AF70A">
            <w:pPr>
              <w:widowControl/>
              <w:adjustRightInd w:val="0"/>
              <w:snapToGrid w:val="0"/>
              <w:spacing w:line="288" w:lineRule="auto"/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仿宋" w:cs="Calibri"/>
                <w:color w:val="000000"/>
                <w:sz w:val="24"/>
                <w:highlight w:val="none"/>
              </w:rPr>
              <w:t>是否接受负偏离：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  <w:lang w:eastAsia="zh-CN"/>
              </w:rPr>
              <w:t>☑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>不接受</w:t>
            </w:r>
          </w:p>
          <w:p w14:paraId="69732471">
            <w:pPr>
              <w:pStyle w:val="11"/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</w:pP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 xml:space="preserve">           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>□接受：</w:t>
            </w:r>
          </w:p>
          <w:p w14:paraId="6100EB11">
            <w:pPr>
              <w:pStyle w:val="11"/>
              <w:ind w:firstLine="0" w:firstLineChars="0"/>
              <w:rPr>
                <w:rFonts w:hint="default" w:ascii="宋体" w:hAnsi="宋体" w:eastAsia="仿宋"/>
                <w:color w:val="00000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仿宋" w:cs="Calibri"/>
                <w:color w:val="000000"/>
                <w:sz w:val="24"/>
                <w:highlight w:val="none"/>
              </w:rPr>
              <w:t>允许偏离的幅度：</w:t>
            </w:r>
            <w:r>
              <w:rPr>
                <w:rFonts w:hint="eastAsia" w:ascii="仿宋" w:hAnsi="仿宋" w:eastAsia="仿宋" w:cs="仿宋"/>
                <w:i w:val="0"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/</w:t>
            </w:r>
          </w:p>
        </w:tc>
      </w:tr>
    </w:tbl>
    <w:p w14:paraId="438E205C">
      <w:pPr>
        <w:pStyle w:val="11"/>
        <w:rPr>
          <w:rFonts w:hint="default" w:ascii="宋体" w:hAnsi="宋体" w:eastAsia="仿宋"/>
          <w:color w:val="000000"/>
          <w:sz w:val="24"/>
          <w:highlight w:val="none"/>
          <w:lang w:val="en-US" w:eastAsia="zh-CN"/>
        </w:rPr>
      </w:pPr>
    </w:p>
    <w:bookmarkEnd w:id="9"/>
    <w:p w14:paraId="64BCABB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outlineLvl w:val="1"/>
        <w:rPr>
          <w:rStyle w:val="10"/>
          <w:rFonts w:hint="eastAsia" w:ascii="宋体" w:hAnsi="宋体" w:eastAsia="仿宋" w:cs="Times New Roman"/>
          <w:b/>
          <w:bCs/>
          <w:color w:val="000000"/>
          <w:sz w:val="24"/>
          <w:szCs w:val="24"/>
          <w:highlight w:val="none"/>
        </w:rPr>
      </w:pPr>
      <w:r>
        <w:rPr>
          <w:rFonts w:hint="eastAsia" w:hAnsi="宋体" w:eastAsia="仿宋"/>
          <w:color w:val="000000"/>
          <w:sz w:val="24"/>
          <w:szCs w:val="24"/>
          <w:highlight w:val="none"/>
        </w:rPr>
        <w:br w:type="page"/>
      </w:r>
      <w:bookmarkStart w:id="13" w:name="_Toc445554749"/>
      <w:bookmarkStart w:id="14" w:name="_Toc455587275"/>
      <w:bookmarkStart w:id="15" w:name="_Toc466024558"/>
      <w:bookmarkStart w:id="16" w:name="_Toc455587091"/>
      <w:r>
        <w:rPr>
          <w:rStyle w:val="10"/>
          <w:rFonts w:hint="eastAsia" w:ascii="宋体" w:hAnsi="宋体" w:eastAsia="仿宋" w:cs="Times New Roman"/>
          <w:b/>
          <w:bCs/>
          <w:color w:val="000000"/>
          <w:sz w:val="24"/>
          <w:szCs w:val="24"/>
          <w:highlight w:val="none"/>
          <w:lang w:val="en-US"/>
        </w:rPr>
        <w:t>4</w:t>
      </w:r>
      <w:r>
        <w:rPr>
          <w:rStyle w:val="10"/>
          <w:rFonts w:hint="eastAsia" w:ascii="宋体" w:hAnsi="宋体" w:eastAsia="仿宋" w:cs="Times New Roman"/>
          <w:b/>
          <w:bCs/>
          <w:color w:val="000000"/>
          <w:sz w:val="24"/>
          <w:szCs w:val="24"/>
          <w:highlight w:val="none"/>
        </w:rPr>
        <w:t>.技术要求</w:t>
      </w:r>
      <w:bookmarkEnd w:id="13"/>
      <w:bookmarkEnd w:id="14"/>
      <w:bookmarkEnd w:id="15"/>
      <w:bookmarkEnd w:id="16"/>
    </w:p>
    <w:p w14:paraId="0F6D4B63">
      <w:pPr>
        <w:pStyle w:val="5"/>
        <w:widowControl/>
        <w:snapToGrid w:val="0"/>
        <w:spacing w:line="360" w:lineRule="auto"/>
        <w:ind w:firstLine="482" w:firstLineChars="200"/>
        <w:outlineLvl w:val="2"/>
        <w:rPr>
          <w:rFonts w:hint="eastAsia" w:hAnsi="宋体" w:eastAsia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hAnsi="宋体" w:eastAsia="仿宋"/>
          <w:b/>
          <w:bCs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hint="eastAsia" w:hAnsi="宋体" w:eastAsia="仿宋"/>
          <w:b/>
          <w:bCs/>
          <w:color w:val="000000"/>
          <w:sz w:val="24"/>
          <w:szCs w:val="24"/>
          <w:highlight w:val="none"/>
        </w:rPr>
        <w:t>.1标识符号</w:t>
      </w:r>
    </w:p>
    <w:tbl>
      <w:tblPr>
        <w:tblStyle w:val="6"/>
        <w:tblW w:w="46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238"/>
        <w:gridCol w:w="5034"/>
      </w:tblGrid>
      <w:tr w14:paraId="07985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38" w:type="pct"/>
            <w:noWrap w:val="0"/>
            <w:vAlign w:val="center"/>
          </w:tcPr>
          <w:p w14:paraId="7529159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  <w:t>标识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highlight w:val="none"/>
              </w:rPr>
              <w:t>类型</w:t>
            </w:r>
          </w:p>
        </w:tc>
        <w:tc>
          <w:tcPr>
            <w:tcW w:w="782" w:type="pct"/>
            <w:noWrap w:val="0"/>
            <w:vAlign w:val="center"/>
          </w:tcPr>
          <w:p w14:paraId="2A9A057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  <w:t>标识符号</w:t>
            </w:r>
          </w:p>
        </w:tc>
        <w:tc>
          <w:tcPr>
            <w:tcW w:w="3178" w:type="pct"/>
            <w:noWrap w:val="0"/>
            <w:vAlign w:val="center"/>
          </w:tcPr>
          <w:p w14:paraId="6296230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  <w:t>标识符号含义</w:t>
            </w:r>
          </w:p>
        </w:tc>
      </w:tr>
      <w:tr w14:paraId="0EB92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38" w:type="pct"/>
            <w:noWrap w:val="0"/>
            <w:vAlign w:val="center"/>
          </w:tcPr>
          <w:p w14:paraId="35FFDBCE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核心产品</w:t>
            </w:r>
          </w:p>
        </w:tc>
        <w:tc>
          <w:tcPr>
            <w:tcW w:w="782" w:type="pct"/>
            <w:noWrap w:val="0"/>
            <w:vAlign w:val="center"/>
          </w:tcPr>
          <w:p w14:paraId="00585EE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▲</w:t>
            </w:r>
          </w:p>
        </w:tc>
        <w:tc>
          <w:tcPr>
            <w:tcW w:w="3178" w:type="pct"/>
            <w:noWrap w:val="0"/>
            <w:vAlign w:val="center"/>
          </w:tcPr>
          <w:p w14:paraId="3EE8489D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标的属于核心产品</w:t>
            </w:r>
          </w:p>
        </w:tc>
      </w:tr>
      <w:tr w14:paraId="7720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38" w:type="pct"/>
            <w:noWrap w:val="0"/>
            <w:vAlign w:val="center"/>
          </w:tcPr>
          <w:p w14:paraId="256D9D4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实质性指标</w:t>
            </w:r>
          </w:p>
        </w:tc>
        <w:tc>
          <w:tcPr>
            <w:tcW w:w="782" w:type="pct"/>
            <w:noWrap w:val="0"/>
            <w:vAlign w:val="center"/>
          </w:tcPr>
          <w:p w14:paraId="08C0562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★</w:t>
            </w:r>
          </w:p>
        </w:tc>
        <w:tc>
          <w:tcPr>
            <w:tcW w:w="3178" w:type="pct"/>
            <w:noWrap w:val="0"/>
            <w:vAlign w:val="center"/>
          </w:tcPr>
          <w:p w14:paraId="3270C51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负偏离或未响应视为实质性不响应招标文件要求</w:t>
            </w:r>
          </w:p>
        </w:tc>
      </w:tr>
      <w:tr w14:paraId="5B2C7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38" w:type="pct"/>
            <w:noWrap w:val="0"/>
            <w:vAlign w:val="center"/>
          </w:tcPr>
          <w:p w14:paraId="61B3D70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重要指标</w:t>
            </w:r>
          </w:p>
        </w:tc>
        <w:tc>
          <w:tcPr>
            <w:tcW w:w="782" w:type="pct"/>
            <w:noWrap w:val="0"/>
            <w:vAlign w:val="center"/>
          </w:tcPr>
          <w:p w14:paraId="464E587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■</w:t>
            </w:r>
          </w:p>
        </w:tc>
        <w:tc>
          <w:tcPr>
            <w:tcW w:w="3178" w:type="pct"/>
            <w:noWrap w:val="0"/>
            <w:vAlign w:val="center"/>
          </w:tcPr>
          <w:p w14:paraId="1F9B08D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评分项</w:t>
            </w:r>
          </w:p>
        </w:tc>
      </w:tr>
      <w:tr w14:paraId="20866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38" w:type="pct"/>
            <w:noWrap w:val="0"/>
            <w:vAlign w:val="center"/>
          </w:tcPr>
          <w:p w14:paraId="68DF084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一般指标</w:t>
            </w:r>
          </w:p>
        </w:tc>
        <w:tc>
          <w:tcPr>
            <w:tcW w:w="782" w:type="pct"/>
            <w:noWrap w:val="0"/>
            <w:vAlign w:val="center"/>
          </w:tcPr>
          <w:p w14:paraId="1A57BCC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●</w:t>
            </w:r>
          </w:p>
        </w:tc>
        <w:tc>
          <w:tcPr>
            <w:tcW w:w="3178" w:type="pct"/>
            <w:noWrap w:val="0"/>
            <w:vAlign w:val="center"/>
          </w:tcPr>
          <w:p w14:paraId="7B37A23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评分项</w:t>
            </w:r>
          </w:p>
        </w:tc>
      </w:tr>
      <w:tr w14:paraId="439C3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038" w:type="pct"/>
            <w:noWrap w:val="0"/>
            <w:vAlign w:val="center"/>
          </w:tcPr>
          <w:p w14:paraId="4206753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无标识</w:t>
            </w:r>
          </w:p>
        </w:tc>
        <w:tc>
          <w:tcPr>
            <w:tcW w:w="782" w:type="pct"/>
            <w:noWrap w:val="0"/>
            <w:vAlign w:val="center"/>
          </w:tcPr>
          <w:p w14:paraId="2F9B505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178" w:type="pct"/>
            <w:noWrap w:val="0"/>
            <w:vAlign w:val="center"/>
          </w:tcPr>
          <w:p w14:paraId="0C5D27A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lang w:val="zh-CN"/>
              </w:rPr>
              <w:t>最大允许偏离5项，超过最大允许偏离项数的，投标无效。</w:t>
            </w:r>
          </w:p>
        </w:tc>
      </w:tr>
      <w:tr w14:paraId="7D614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6582D167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注：</w:t>
            </w:r>
          </w:p>
          <w:p w14:paraId="7A117D4F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（1）标识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条款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中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如包含多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条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子项技术参数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或要求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，则需满足或优于该标识条款内所有子项技术参数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或要求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方能得分。</w:t>
            </w:r>
          </w:p>
          <w:p w14:paraId="78B862B9">
            <w:pPr>
              <w:spacing w:line="240" w:lineRule="auto"/>
              <w:jc w:val="left"/>
              <w:rPr>
                <w:rFonts w:hint="eastAsia" w:ascii="仿宋" w:hAnsi="仿宋" w:eastAsia="宋体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须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按照第六章投标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文件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格式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十、十一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，提供技术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要求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偏离表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和技术响应资料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</w:tbl>
    <w:p w14:paraId="4C0C82F8">
      <w:pPr>
        <w:pStyle w:val="5"/>
        <w:widowControl/>
        <w:snapToGrid w:val="0"/>
        <w:spacing w:line="360" w:lineRule="auto"/>
        <w:ind w:firstLine="480" w:firstLineChars="200"/>
        <w:rPr>
          <w:rFonts w:hint="eastAsia" w:hAnsi="宋体" w:eastAsia="仿宋"/>
          <w:color w:val="000000"/>
          <w:sz w:val="24"/>
          <w:szCs w:val="24"/>
          <w:highlight w:val="none"/>
        </w:rPr>
      </w:pPr>
    </w:p>
    <w:p w14:paraId="113C3873">
      <w:pPr>
        <w:pStyle w:val="5"/>
        <w:widowControl/>
        <w:snapToGrid w:val="0"/>
        <w:spacing w:line="360" w:lineRule="auto"/>
        <w:ind w:firstLine="482" w:firstLineChars="200"/>
        <w:outlineLvl w:val="2"/>
        <w:rPr>
          <w:rFonts w:hint="eastAsia" w:ascii="宋体" w:hAnsi="宋体" w:eastAsia="仿宋" w:cs="Times New Roman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仿宋" w:cs="Times New Roman"/>
          <w:b/>
          <w:bCs/>
          <w:color w:val="000000"/>
          <w:sz w:val="24"/>
          <w:szCs w:val="24"/>
          <w:highlight w:val="none"/>
          <w:lang w:val="en-US" w:eastAsia="zh-CN"/>
        </w:rPr>
        <w:t>4.2技术要求表</w:t>
      </w:r>
    </w:p>
    <w:tbl>
      <w:tblPr>
        <w:tblStyle w:val="7"/>
        <w:tblpPr w:leftFromText="180" w:rightFromText="180" w:vertAnchor="text" w:horzAnchor="page" w:tblpXSpec="center" w:tblpY="51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049"/>
        <w:gridCol w:w="6455"/>
      </w:tblGrid>
      <w:tr w14:paraId="5076A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noWrap w:val="0"/>
            <w:vAlign w:val="center"/>
          </w:tcPr>
          <w:p w14:paraId="2927A127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02" w:type="dxa"/>
            <w:noWrap w:val="0"/>
            <w:vAlign w:val="center"/>
          </w:tcPr>
          <w:p w14:paraId="733F8A92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6991" w:type="dxa"/>
            <w:noWrap w:val="0"/>
            <w:vAlign w:val="center"/>
          </w:tcPr>
          <w:p w14:paraId="7BE5CC67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技术参数</w:t>
            </w:r>
          </w:p>
        </w:tc>
      </w:tr>
      <w:tr w14:paraId="0722F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4" w:hRule="atLeast"/>
          <w:jc w:val="center"/>
        </w:trPr>
        <w:tc>
          <w:tcPr>
            <w:tcW w:w="1102" w:type="dxa"/>
            <w:noWrap w:val="0"/>
            <w:vAlign w:val="center"/>
          </w:tcPr>
          <w:p w14:paraId="4E6B7F0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2" w:type="dxa"/>
            <w:noWrap w:val="0"/>
            <w:vAlign w:val="center"/>
          </w:tcPr>
          <w:p w14:paraId="2AF4277B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气站、气路管道接头阀门支架及安装</w:t>
            </w:r>
          </w:p>
        </w:tc>
        <w:tc>
          <w:tcPr>
            <w:tcW w:w="6991" w:type="dxa"/>
            <w:noWrap w:val="0"/>
            <w:vAlign w:val="center"/>
          </w:tcPr>
          <w:p w14:paraId="0DCD2422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一、高温冷冻式干燥机1台</w:t>
            </w:r>
          </w:p>
          <w:p w14:paraId="43B3F015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结构与冷却方式：箱体、紧凑型，风冷式；</w:t>
            </w:r>
          </w:p>
          <w:p w14:paraId="1DC0106C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进气温度：≤80℃；</w:t>
            </w:r>
          </w:p>
          <w:p w14:paraId="59E070D3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处理量: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7.2m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/min；</w:t>
            </w:r>
          </w:p>
          <w:p w14:paraId="18BDB158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制冷剂要求环保型；</w:t>
            </w:r>
          </w:p>
          <w:p w14:paraId="1625F6CE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技术参数</w:t>
            </w:r>
          </w:p>
          <w:p w14:paraId="54ADA15C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额定工作压力：≤8bar；</w:t>
            </w:r>
          </w:p>
          <w:p w14:paraId="2C885168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压力露点：2～10℃；</w:t>
            </w:r>
          </w:p>
          <w:p w14:paraId="4A463546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进气温度：≤80℃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。</w:t>
            </w:r>
          </w:p>
          <w:p w14:paraId="6E1FFB01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二、精密过滤器1套</w:t>
            </w:r>
          </w:p>
          <w:p w14:paraId="56CEDE10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设初过滤、精过滤、高精密度过滤三级过滤；</w:t>
            </w:r>
          </w:p>
          <w:p w14:paraId="4D9B7DD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处理量为: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10m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/min；</w:t>
            </w:r>
          </w:p>
          <w:p w14:paraId="701203D2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壳体材料：铝合金；</w:t>
            </w:r>
          </w:p>
          <w:p w14:paraId="7824BD25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滤芯滤芯使用寿命不得低于8000小时；</w:t>
            </w:r>
          </w:p>
          <w:p w14:paraId="58DD9D53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配置自动排水器（15S～45min可调式电子阀）；</w:t>
            </w:r>
          </w:p>
          <w:p w14:paraId="3EEA71EB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技术参数：</w:t>
            </w:r>
          </w:p>
          <w:p w14:paraId="33CF40D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前置过滤器和后置过滤器处理能力均与冷干机配套；</w:t>
            </w:r>
          </w:p>
          <w:p w14:paraId="5E471490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前置过滤器出口气体含油量≤3ppm；</w:t>
            </w:r>
          </w:p>
          <w:p w14:paraId="530E966E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前置过滤器出口气体除尘粒径≤3μm；</w:t>
            </w:r>
          </w:p>
          <w:p w14:paraId="632B76F9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后置过滤器出口气体含油量≤1ppm；</w:t>
            </w:r>
          </w:p>
          <w:p w14:paraId="3FE81FDB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后置过滤器出口气体除尘粒径≤1μm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6085F00B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高精密度过滤器出口气体含油量≤0.01ppm；</w:t>
            </w:r>
          </w:p>
          <w:p w14:paraId="4D8074E1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高精密度过滤器出口气体除尘粒径≤0.01μm。</w:t>
            </w:r>
          </w:p>
          <w:p w14:paraId="182E7308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三、储气罐（1台）</w:t>
            </w:r>
          </w:p>
          <w:p w14:paraId="07A32C5D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压缩空气储气罐（C-1m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superscript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/ 8Kg）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56FF0E11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额定工作压力:≥0.8Mpa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7503ECCE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公称容积:≥1.0m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3C4122BC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安全阀接口:Rp1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3ED73233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排污阀接口:R1/2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1400E125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配套自动排水器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。</w:t>
            </w:r>
          </w:p>
          <w:p w14:paraId="72FB3FC3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四、铝合金管道</w:t>
            </w:r>
          </w:p>
          <w:p w14:paraId="4FBC406A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、铝合金管材、管件应符合现行国家标准《铝及铝合金热挤压管第1部分无缝圆管》GBT4437.1-2000、《压缩空气用铝合金管道系统-管材》Q/KPS001-2015、《铝合金压铸件》GB/T15114-2009、《压缩空气用铝合金管道系统-管件》Q/KPS002-2015、《铝合金铸件》GB/T9438-2013要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09A42E1A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所有直接、弯头都必须采用铝合金材质；</w:t>
            </w:r>
          </w:p>
          <w:p w14:paraId="592C87D1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、管道壁厚要求及连接方式：快插卡压式面密封；</w:t>
            </w:r>
          </w:p>
          <w:p w14:paraId="44A3317A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主管路在安装时，在主管路的最低端处安装自动或人工油水排放装置；</w:t>
            </w:r>
          </w:p>
          <w:p w14:paraId="68193863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、压缩空气主管路应尽量避免出现急转弯道（内角小于90°）现象；</w:t>
            </w:r>
          </w:p>
          <w:p w14:paraId="5E34E171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 xml:space="preserve">、压缩空气支路是主管路的分支时，应采用上开孔或侧面开孔状连接方式，以免主管路中的冷凝物直接进入到支管道中； </w:t>
            </w:r>
          </w:p>
          <w:p w14:paraId="0AFB1B7F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、所有管道、支架要求牢固，管道安装完后要清除管道内的杂渣，按要求试压，不得有泄漏现象；</w:t>
            </w:r>
          </w:p>
          <w:p w14:paraId="1040E5DE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配件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需求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铝合金管道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DN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50（约200米） 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DN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25（约100米）；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铝合金外螺纹接头：DN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-1  1/4（组合）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等径三通：DN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0（组合件）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90度弯头DN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0（组合件）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快插铜阀门DN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（组合件）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蓝色阳极氧化铝管5.8米DN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 xml:space="preserve">0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铜阀门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 xml:space="preserve">外螺纹转内螺纹1/2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 xml:space="preserve">三通气动接头1/2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蓝色阳极氧化铝管5.8米DN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25；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快插铜阀门DN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（组合件）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自动排水阀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螺纹连接杆M8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铝质转接头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TW"/>
              </w:rPr>
              <w:t>外丝2"。</w:t>
            </w:r>
          </w:p>
          <w:p w14:paraId="45190699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五、其他要求：</w:t>
            </w:r>
          </w:p>
          <w:p w14:paraId="5197C7F8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1、投标方应自行现场勘查，实际作业中如有所增减，差异费用由中标方自行承担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220FCC1A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2、中标方负责气泵房内安全标识标牌制作安装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54ECBC2B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3、中标方负责三坐标测量实训室、车工实训室、慢走丝机床、电火花机床、数控铣床、加工中心气点到位安装调试，确保实训设备必须的用气需求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58DEE187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4、提供不锈钢安全围栏高度1600毫米左右，范围3米宽5米长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3509F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noWrap w:val="0"/>
            <w:vAlign w:val="center"/>
          </w:tcPr>
          <w:p w14:paraId="73C2944C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02" w:type="dxa"/>
            <w:noWrap w:val="0"/>
            <w:vAlign w:val="center"/>
          </w:tcPr>
          <w:p w14:paraId="64D895D5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▲教学一体机</w:t>
            </w:r>
          </w:p>
        </w:tc>
        <w:tc>
          <w:tcPr>
            <w:tcW w:w="6991" w:type="dxa"/>
            <w:noWrap w:val="0"/>
            <w:vAlign w:val="center"/>
          </w:tcPr>
          <w:p w14:paraId="4758BFB3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一、整体要求：</w:t>
            </w:r>
          </w:p>
          <w:p w14:paraId="0B0CEC15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★1、液晶显示屏≥86吋，显示比例：16:9，分辨率≥3840×2160，4K UHD超高清。屏幕亮度：≥350cd/㎡；</w:t>
            </w:r>
          </w:p>
          <w:p w14:paraId="4880C83D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2、采用红外触控技术，手指、触控笔轻触、实现多点互动、多人同时流畅书写，并支持40点触控； </w:t>
            </w:r>
          </w:p>
          <w:p w14:paraId="5F4E2DDD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★3、前置端口采用前出式设计：≥3路双通道 PC/Android 共享 USB 接口 、≥1 路Touch-USB、≥1 路 HDMI输入接口、≥1路TYPE-C输入接口，方便用户拓展使用；</w:t>
            </w:r>
          </w:p>
          <w:p w14:paraId="752BE6FC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4、整机采用前置物理按键，按键上（除电源键）印有中文标识易于识别。物理按键具有常用功能的操作，如音量加、音量减、图像比例、录屏、护眼、设置、开关机、隐藏式电脑一键还原按钮等功能； </w:t>
            </w:r>
          </w:p>
          <w:p w14:paraId="5B27F922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5、设备自带至少两支可磁吸式触控笔，并可吸附在设备正面，方便使用及收纳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3CC26397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6、内置高性能安卓14.0系统平台，RAM≥4GB，ROM≥32GB，并支持蓝牙5.0技术； </w:t>
            </w:r>
          </w:p>
          <w:p w14:paraId="15C835B0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7、支持同时四画面无线传屏，并支持反向控制，双向控制，支持扫码传屏，支持手机、PAD和电脑多终端平台使用；</w:t>
            </w:r>
          </w:p>
          <w:p w14:paraId="651C97E2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8、后置接口：≥HDMI×1、≥USB×2、≥Touch USB×1、≥同轴输出×1、≥TF CARD×1、≥耳机输出×1、≥RJ45×1、≥R232×1、≥VGA×1、≥PC audio in×1；</w:t>
            </w:r>
          </w:p>
          <w:p w14:paraId="7CA0BC53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9、智能护眼：设备具有全通道减滤蓝光护眼功能，具有检测到用户触摸屏幕时，自动调节屏幕亮度以减小对眼睛的刺激，并具有纸质护眼功能，全通道实现多种不同类型纸质护眼效果； </w:t>
            </w:r>
          </w:p>
          <w:p w14:paraId="79DD2A7B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、信号源：支持支持用户自定义开机后直接进入对应通道画面，支持自定义设置安卓系统、内置电脑（OPS）、HDMI、上一次通道等、如果HDMI/VGA等有信号时可自动开机、并支持接入信号源时，可自动跳转到对应通道，并可在任意通道下将画面冻结；</w:t>
            </w:r>
          </w:p>
          <w:p w14:paraId="4F7FA9E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11、支持可以任意场景下截取屏幕内容，可调节大小部分截取、或者全屏截取，并具有支持一个按键将屏幕下移，方便操作，并具有全通道录屏功能，录屏的同时，可录制MIC输入声音、系统声音、可将屏幕UI、通道信号内容内容一起录制下来；</w:t>
            </w:r>
          </w:p>
          <w:p w14:paraId="5E33EFDF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12、支持手势快捷功能设定，可设置五指上滑、下滑、左滑、右滑可分别对应不同快捷功能，例如息屏、降屏、打开批注、切换到OPS、降屏等，此功能可单独开启和关闭；</w:t>
            </w:r>
          </w:p>
          <w:p w14:paraId="653CD4B5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13、具有应用锁功能，可通密码锁定客户指定的APP，打开APP时需要输入密码，并可通过可通过U盘放置特定文件，插拔U盘时解除/锁定屏幕，打开后系统将U盘访问权限锁定，用户无法通过U盘拷贝资料；</w:t>
            </w:r>
          </w:p>
          <w:p w14:paraId="790F2A8C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14、自带白板功能：支持笔设置不同颜色、粗细，支持3D图形插入，并可多方协同书写，屏幕可同时启动2/3/4个白板，分开左右区域显示，并可通过二维码分享白板内容； </w:t>
            </w:r>
          </w:p>
          <w:p w14:paraId="531DAAE1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15、其它要求：支持定时器、投票器、幕布、放大镜、聚光灯、录屏等小工具，并具有对触控单元、OPS模块、光感系统、网络模块等模块进行检测，一键清理缓存等垃圾文件清理，一键加速优化后台任务，增加ram可用空间；</w:t>
            </w:r>
          </w:p>
          <w:p w14:paraId="0B54E6AF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16、摄像头及麦克风：配备≥1600万像素摄像头及8阵列麦克风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。</w:t>
            </w:r>
          </w:p>
          <w:p w14:paraId="2049577A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二、主机模块</w:t>
            </w:r>
          </w:p>
          <w:p w14:paraId="4ABD3450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1、为了保证交互平板产品后续可扩展性，一体机采用符合INTEL标准协议的80pin OPS接口；</w:t>
            </w:r>
          </w:p>
          <w:p w14:paraId="084034C3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★2、处理器：4核8线程或以上；</w:t>
            </w:r>
          </w:p>
          <w:p w14:paraId="6A7A3A6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★3、内存：8G DDR4或以上配置；硬盘：256GSSD或以上配置；</w:t>
            </w:r>
          </w:p>
          <w:p w14:paraId="3CC86F67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4、内置网卡：10M/100M/1000M；</w:t>
            </w:r>
          </w:p>
          <w:p w14:paraId="047C89DD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5、具有独立非外扩展的电脑USB接口：电脑上至少4个USB接口；</w:t>
            </w:r>
          </w:p>
          <w:p w14:paraId="2B49408E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6、具有视频输出接口：HDMI接口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。</w:t>
            </w:r>
          </w:p>
          <w:p w14:paraId="08AF6E99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三、软件要求</w:t>
            </w:r>
          </w:p>
          <w:p w14:paraId="1676E9B0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1.基于手势操作开发，简单易用，手指单点或使用触控笔就能一键快速调取软件及工具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5438912C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2.文件支持定向精准分享：分享者可将互动课件精准推送至指定接收方账号云空间，接收方可在云空间接收并打开分享课件。支持链接方式分享，生成二维码，扫码即可获取，可以选择分享有效期等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274A1922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3.PPT助手：把手机变成PPT翻页笔，支持PPT的播放、退出、翻页功能，且能锁定操作、触感震动反馈等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6AF16228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4.移动端、电脑文件双向互传功能：通过管理小程序能随时随地连接设备电脑硬盘，找到想要的文件，支持从手机上传照片、视频、微信中收发的文件到电脑。一键上传文件。</w:t>
            </w:r>
          </w:p>
        </w:tc>
      </w:tr>
      <w:tr w14:paraId="10688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noWrap w:val="0"/>
            <w:vAlign w:val="center"/>
          </w:tcPr>
          <w:p w14:paraId="01DEAA8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02" w:type="dxa"/>
            <w:noWrap w:val="0"/>
            <w:vAlign w:val="center"/>
          </w:tcPr>
          <w:p w14:paraId="32ADDF37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六边形钳工桌（不含台虎钳）及台虎钳拆装</w:t>
            </w:r>
          </w:p>
        </w:tc>
        <w:tc>
          <w:tcPr>
            <w:tcW w:w="6991" w:type="dxa"/>
            <w:noWrap w:val="0"/>
            <w:vAlign w:val="center"/>
          </w:tcPr>
          <w:p w14:paraId="74A61710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★1、工作台尺寸规格（长×宽×高）：2000mm（±50mm）×1700mm（±50mm）×800mm（±30mm），单边1000mm（±50mm）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4780BFD2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2、桌面厚度及材质：不低于50mm厚的高强度复合桌面，表面为不低于3mm厚绿色耐油胶垫，基材板为高密度木板，四周为黑色橡胶封边。两个梯形拼接而成，桌面耐磨、耐油、耐酸碱、抗冲击性好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3426370A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3、工作台为六面使用，六工位式，整体可承重：不低于1000公斤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11D23DA9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4、每个工位配1个单抽单门落地柜，规格为W560mm×D550mm×H750mm（±50mm），抽屉高度为150mm（±10mm），单个抽屉承重不低于50公斤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654C3B90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5、落地柜的主体材质为不小于1.0mm厚冷轧钢板，轨道支撑立柱为不小于1.5mm厚冷轧钢板，抽屉面板不小于1.2mm，抽屉主体板厚不小于1.0mm，抽屉轨道为工业级导轨，采用三节走珠滑轨，导轨材质为不小于1.5 mm厚冷轧钢板，单个抽屉可承载不少于50公斤，抽拉次数不少于50000次。下部配一单开门，门板厚不少于1.0mm，门上配独立锁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060F2749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6、表面处理：酸洗磷化后静电喷涂，采用环保粉末喷涂，颜色：箱体7035浅灰色，抽屉5015蓝色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23972D6C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7、整体为组装结构，方便运输，搬运，移位，螺丝固定，牢固稳定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169DEDD7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8、钳工桌放进指定地点后，需要将原钳工桌上台虎钳拆下安装到新钳工桌上。</w:t>
            </w:r>
          </w:p>
        </w:tc>
      </w:tr>
      <w:tr w14:paraId="066BE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noWrap w:val="0"/>
            <w:vAlign w:val="center"/>
          </w:tcPr>
          <w:p w14:paraId="06434A5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02" w:type="dxa"/>
            <w:noWrap w:val="0"/>
            <w:vAlign w:val="center"/>
          </w:tcPr>
          <w:p w14:paraId="6377BFD1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音箱</w:t>
            </w:r>
          </w:p>
        </w:tc>
        <w:tc>
          <w:tcPr>
            <w:tcW w:w="6991" w:type="dxa"/>
            <w:noWrap w:val="0"/>
            <w:vAlign w:val="center"/>
          </w:tcPr>
          <w:p w14:paraId="4C5470A8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1、单6寸二单元二分频全音域音箱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6317043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2、高音采用3"全纸盆，55磁磁钢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</w:t>
            </w:r>
          </w:p>
          <w:p w14:paraId="39528578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3、低音采用6.5"橡边原色盆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                        </w:t>
            </w:r>
          </w:p>
          <w:p w14:paraId="6BD02F59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4、额定功率：60W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</w:p>
          <w:p w14:paraId="3B0B185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5、峰值功率：120W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</w:t>
            </w:r>
          </w:p>
          <w:p w14:paraId="6D4E052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6、额定阻抗：6Ω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</w:t>
            </w:r>
          </w:p>
          <w:p w14:paraId="62EBB52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7、灵敏度：89±3dB(1W/1m)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</w:t>
            </w:r>
          </w:p>
          <w:p w14:paraId="1D65AD52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8、频率响应：65Hz-18KHz入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7EB04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noWrap w:val="0"/>
            <w:vAlign w:val="center"/>
          </w:tcPr>
          <w:p w14:paraId="28D2383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02" w:type="dxa"/>
            <w:noWrap w:val="0"/>
            <w:vAlign w:val="center"/>
          </w:tcPr>
          <w:p w14:paraId="58A53296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工具柜</w:t>
            </w:r>
          </w:p>
        </w:tc>
        <w:tc>
          <w:tcPr>
            <w:tcW w:w="6991" w:type="dxa"/>
            <w:noWrap w:val="0"/>
            <w:vAlign w:val="center"/>
          </w:tcPr>
          <w:p w14:paraId="2AA8FC5C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★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1、规格：≥850*390*1800mm；</w:t>
            </w:r>
          </w:p>
          <w:p w14:paraId="29FAB07D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、材质：采用冷轧钢板材料喷塑处理，厚度0.6mm；检测内容须包含：①金属件喷涂层符合要求；②金属喷漆(塑)涂层：硬度、冲击强度、附着力、耐腐蚀；③下屈服强度、抗拉强度、断后伸长率、冲击试验、冷弯试验均合格；④化学成分（碳、硅、锰、磷、硫）含量；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（投标文件中提供不限于生产厂商官网截图和链接，或产品彩页或功能截图或其他厂家技术资料或第三方证明材料（如检测报告或测试报告），以上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一种或多种形式均可。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  <w:p w14:paraId="61562D68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3、锁具：采用优质锁；</w:t>
            </w:r>
          </w:p>
          <w:p w14:paraId="2AA3707C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4、加工制造: 所有钣金件、机件加工后打磨无毛刺，无裂纹及伤痕。所有焊拉件焊接牢固、焊痕光滑、平整；</w:t>
            </w:r>
          </w:p>
          <w:p w14:paraId="3C59E551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5、表面处理：所有板件均进行清洗、除油、防锈、磷化等处理；</w:t>
            </w:r>
          </w:p>
          <w:p w14:paraId="352CBB4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6、外观质量：各组合件表面光滑、平整、没有尖角、凸起，色泽一致，无流挂起粒、皱皮、露底剥落现象，漆面均匀光亮，无划伤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 w14:paraId="6F4E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noWrap w:val="0"/>
            <w:vAlign w:val="center"/>
          </w:tcPr>
          <w:p w14:paraId="4AB2300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02" w:type="dxa"/>
            <w:noWrap w:val="0"/>
            <w:vAlign w:val="center"/>
          </w:tcPr>
          <w:p w14:paraId="6F9AD041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LED显示屏</w:t>
            </w:r>
          </w:p>
        </w:tc>
        <w:tc>
          <w:tcPr>
            <w:tcW w:w="6991" w:type="dxa"/>
            <w:noWrap w:val="0"/>
            <w:vAlign w:val="center"/>
          </w:tcPr>
          <w:p w14:paraId="562CDBEE">
            <w:pPr>
              <w:pStyle w:val="12"/>
              <w:widowControl w:val="0"/>
              <w:autoSpaceDE w:val="0"/>
              <w:autoSpaceDN w:val="0"/>
              <w:adjustRightInd w:val="0"/>
              <w:spacing w:before="0" w:after="0" w:line="296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1、尺寸（长*宽）≥8.9M*0.5M ；</w:t>
            </w:r>
          </w:p>
          <w:p w14:paraId="14DF95FB">
            <w:pPr>
              <w:pStyle w:val="12"/>
              <w:widowControl w:val="0"/>
              <w:autoSpaceDE w:val="0"/>
              <w:autoSpaceDN w:val="0"/>
              <w:adjustRightInd w:val="0"/>
              <w:spacing w:before="0" w:after="0" w:line="296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2、材质：加厚铝型材边框，P4.75单元板，采用国标电缆线、国标插头，显示屏专用电源，后封加厚防水背板；</w:t>
            </w:r>
          </w:p>
          <w:p w14:paraId="5682B405">
            <w:pPr>
              <w:pStyle w:val="12"/>
              <w:widowControl w:val="0"/>
              <w:autoSpaceDE w:val="0"/>
              <w:autoSpaceDN w:val="0"/>
              <w:adjustRightInd w:val="0"/>
              <w:spacing w:before="0" w:after="0" w:line="296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3、光学特性：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红/绿灯波长：R620－625cm，像素密度：44320Dots/㎡，驱动方式：十六分之一扫（恒流）；</w:t>
            </w:r>
          </w:p>
          <w:p w14:paraId="073E81E8">
            <w:pPr>
              <w:pStyle w:val="12"/>
              <w:widowControl w:val="0"/>
              <w:autoSpaceDE w:val="0"/>
              <w:autoSpaceDN w:val="0"/>
              <w:adjustRightInd w:val="0"/>
              <w:spacing w:before="0" w:after="0" w:line="296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单元板变形角度：≤0.05mm；</w:t>
            </w:r>
          </w:p>
          <w:p w14:paraId="6F07DAB0">
            <w:pPr>
              <w:pStyle w:val="12"/>
              <w:widowControl w:val="0"/>
              <w:autoSpaceDE w:val="0"/>
              <w:autoSpaceDN w:val="0"/>
              <w:adjustRightInd w:val="0"/>
              <w:spacing w:before="0" w:after="0" w:line="296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结构特点：灯驱合一；</w:t>
            </w:r>
          </w:p>
          <w:p w14:paraId="018D933E">
            <w:pPr>
              <w:pStyle w:val="12"/>
              <w:widowControl w:val="0"/>
              <w:autoSpaceDE w:val="0"/>
              <w:autoSpaceDN w:val="0"/>
              <w:adjustRightInd w:val="0"/>
              <w:spacing w:before="0" w:after="0" w:line="296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单元板最大功率：不小于24.5W；</w:t>
            </w:r>
          </w:p>
          <w:p w14:paraId="6F88D282">
            <w:pPr>
              <w:pStyle w:val="12"/>
              <w:widowControl w:val="0"/>
              <w:autoSpaceDE w:val="0"/>
              <w:autoSpaceDN w:val="0"/>
              <w:adjustRightInd w:val="0"/>
              <w:spacing w:before="0" w:after="0" w:line="296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像素失控率：﹤0.0003；</w:t>
            </w:r>
          </w:p>
          <w:p w14:paraId="42C96B2D">
            <w:pPr>
              <w:pStyle w:val="12"/>
              <w:widowControl w:val="0"/>
              <w:autoSpaceDE w:val="0"/>
              <w:autoSpaceDN w:val="0"/>
              <w:adjustRightInd w:val="0"/>
              <w:spacing w:before="0" w:after="0" w:line="296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8、热平衡：LED显示屏正常使用达到热平衡后，屏体结构金属部分温升不超过45K，绝缘材料温升不超过70K，表面不超过20℃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33752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noWrap w:val="0"/>
            <w:vAlign w:val="center"/>
          </w:tcPr>
          <w:p w14:paraId="3B76919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2" w:type="dxa"/>
            <w:noWrap w:val="0"/>
            <w:vAlign w:val="center"/>
          </w:tcPr>
          <w:p w14:paraId="4F46DA93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网络摄像机</w:t>
            </w:r>
          </w:p>
        </w:tc>
        <w:tc>
          <w:tcPr>
            <w:tcW w:w="6991" w:type="dxa"/>
            <w:noWrap w:val="0"/>
            <w:vAlign w:val="center"/>
          </w:tcPr>
          <w:p w14:paraId="3ED4BBF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1.可输出≥400万(2560X1440)@25fps 视频;</w:t>
            </w:r>
          </w:p>
          <w:p w14:paraId="2EE40EC9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2.支持SmartIR，防止夜间红外过曝;</w:t>
            </w:r>
          </w:p>
          <w:p w14:paraId="4D3508A3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3.支持背光补偿，强光抑制，3D数字降噪，数字宽动态，适应不同使用环境;</w:t>
            </w:r>
          </w:p>
          <w:p w14:paraId="7F29F8E0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4.支持开放型网络视频接口，ISAPI，SDK，GB28181协议，支持平台接入;</w:t>
            </w:r>
          </w:p>
          <w:p w14:paraId="738EB9BC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5.智能补光，支持白光/红外双补光，红外光≥50m，白光≥30 m;</w:t>
            </w:r>
          </w:p>
          <w:p w14:paraId="2742CB5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6.符合IP67防尘防水设计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77ADE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noWrap w:val="0"/>
            <w:vAlign w:val="center"/>
          </w:tcPr>
          <w:p w14:paraId="22F7292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02" w:type="dxa"/>
            <w:noWrap w:val="0"/>
            <w:vAlign w:val="center"/>
          </w:tcPr>
          <w:p w14:paraId="0C0CB89E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工业风扇</w:t>
            </w:r>
          </w:p>
        </w:tc>
        <w:tc>
          <w:tcPr>
            <w:tcW w:w="6991" w:type="dxa"/>
            <w:noWrap w:val="0"/>
            <w:vAlign w:val="center"/>
          </w:tcPr>
          <w:p w14:paraId="6ABFBE52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★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1、直径: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4.5M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4D151F35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2、转速: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96RPM(变频无极调速）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4E8665D7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3、风量: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6200m³/min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3C6FFB80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4、功率: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0.6kw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7C5E8B96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5、噪音: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39dB;</w:t>
            </w:r>
          </w:p>
          <w:p w14:paraId="1787DE10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6、电压:220V±10%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51E6CFF4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7、重量: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50kg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50070B41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8、扇叶：采用镁铝合金材质，表面氟碳烤漆处理，空气动力学叶型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623C17F4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9、控制系统：内置安全保护模块，遇意外状况自动切断输出，可视化液晶显示屏幕，便于查看工作状态，可选用遥控操作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29FFB5FF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10、安全保护组件：底盘安全环、扇叶I型连接件、钢丝牵引拉索、钢结构安全锁。紧固件采用防松动螺栓螺母，有效保证设备运行安全性可靠性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484B9B11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11、自动报警：意外发生时，变频控制系统自动报警停止运行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4260351A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12、固定装置：防松脱固定装置，安全限位联轴器松动，确保稳定运行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 w14:paraId="5FB81F6C">
      <w:pPr>
        <w:rPr>
          <w:rFonts w:hint="eastAsia"/>
          <w:color w:val="000000"/>
          <w:highlight w:val="none"/>
          <w:lang w:val="en-US" w:eastAsia="zh-CN"/>
        </w:rPr>
      </w:pPr>
    </w:p>
    <w:p w14:paraId="0EB9ED14">
      <w:bookmarkStart w:id="17" w:name="_GoBack"/>
      <w:bookmarkEnd w:id="1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F7DC9"/>
    <w:rsid w:val="26F7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beforeLines="0" w:after="260" w:afterLines="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9"/>
    <w:uiPriority w:val="0"/>
    <w:pPr>
      <w:spacing w:after="120"/>
    </w:pPr>
    <w:rPr>
      <w:rFonts w:ascii="宋体" w:hAnsi="宋体" w:eastAsia="宋体"/>
      <w:sz w:val="22"/>
      <w:szCs w:val="22"/>
      <w:lang w:eastAsia="en-US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table" w:styleId="7">
    <w:name w:val="Table Grid"/>
    <w:basedOn w:val="6"/>
    <w:unhideWhenUs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Body Text Char"/>
    <w:basedOn w:val="8"/>
    <w:link w:val="4"/>
    <w:uiPriority w:val="99"/>
    <w:rPr>
      <w:rFonts w:ascii="宋体" w:hAnsi="宋体" w:eastAsia="宋体"/>
      <w:sz w:val="22"/>
      <w:szCs w:val="22"/>
      <w:lang w:eastAsia="en-US"/>
    </w:rPr>
  </w:style>
  <w:style w:type="character" w:customStyle="1" w:styleId="10">
    <w:name w:val="标题 2 Char Char"/>
    <w:qFormat/>
    <w:uiPriority w:val="0"/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1">
    <w:name w:val="列出段落1"/>
    <w:basedOn w:val="1"/>
    <w:uiPriority w:val="0"/>
    <w:pPr>
      <w:ind w:firstLine="420" w:firstLineChars="200"/>
    </w:pPr>
  </w:style>
  <w:style w:type="paragraph" w:customStyle="1" w:styleId="12">
    <w:name w:val="Normal_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2026-04-19T01:18:00Z</dcterms:created>
  <dc:creator>hw</dc:creator>
  <cp:lastModifiedBy>小俞</cp:lastModifiedBy>
  <dcterms:modified xsi:type="dcterms:W3CDTF">2026-08-11T05:10:55Z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0680DCFB50184A7A83E4CE8DA19AA475_12</vt:lpwstr>
  </property>
  <property fmtid="{D5CDD505-2E9C-101B-9397-08002B2CF9AE}" pid="4" name="KSOTemplateDocerSaveRecord">
    <vt:lpwstr>eyJoZGlkIjoiODViY2JkMjU3NGYzZTEwMzZmMGFkZWViYmNkYWU3NDIiLCJ1c2VySWQiOiIyODQyMDI3NDcifQ==</vt:lpwstr>
  </property>
</Properties>
</file>