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900" w:lineRule="exact"/>
        <w:rPr>
          <w:rFonts w:ascii="宋体" w:hAnsi="宋体" w:cs="宋体"/>
          <w:b/>
          <w:bCs/>
          <w:color w:val="auto"/>
          <w:sz w:val="44"/>
          <w:szCs w:val="44"/>
        </w:rPr>
      </w:pPr>
      <w:bookmarkStart w:id="0" w:name="OLE_LINK1"/>
    </w:p>
    <w:p>
      <w:pPr>
        <w:pStyle w:val="137"/>
        <w:ind w:left="521" w:leftChars="248" w:firstLine="0" w:firstLineChars="0"/>
        <w:rPr>
          <w:rFonts w:ascii="宋体" w:hAnsi="宋体" w:cs="宋体-18030"/>
          <w:b/>
          <w:color w:val="auto"/>
          <w:kern w:val="0"/>
          <w:sz w:val="52"/>
          <w:szCs w:val="52"/>
          <w:lang w:val="zh-TW"/>
        </w:rPr>
      </w:pPr>
      <w:r>
        <w:rPr>
          <w:rFonts w:hint="eastAsia" w:ascii="宋体" w:hAnsi="宋体" w:cs="宋体-18030"/>
          <w:b/>
          <w:color w:val="auto"/>
          <w:kern w:val="0"/>
          <w:sz w:val="52"/>
          <w:szCs w:val="52"/>
          <w:lang w:val="zh-TW"/>
        </w:rPr>
        <w:t>滁州学院磁盘阵列和移动固态硬盘</w:t>
      </w:r>
    </w:p>
    <w:p>
      <w:pPr>
        <w:pStyle w:val="137"/>
        <w:ind w:left="521" w:leftChars="248" w:firstLine="2610" w:firstLineChars="500"/>
        <w:rPr>
          <w:rFonts w:ascii="宋体" w:hAnsi="宋体" w:cs="宋体-18030"/>
          <w:b/>
          <w:color w:val="auto"/>
          <w:kern w:val="0"/>
          <w:sz w:val="52"/>
          <w:szCs w:val="52"/>
          <w:lang w:val="zh-TW"/>
        </w:rPr>
      </w:pPr>
      <w:r>
        <w:rPr>
          <w:rFonts w:hint="eastAsia" w:ascii="宋体" w:hAnsi="宋体" w:cs="宋体-18030"/>
          <w:b/>
          <w:color w:val="auto"/>
          <w:kern w:val="0"/>
          <w:sz w:val="52"/>
          <w:szCs w:val="52"/>
          <w:lang w:val="zh-TW"/>
        </w:rPr>
        <w:t>采购项目</w:t>
      </w:r>
    </w:p>
    <w:p>
      <w:pPr>
        <w:pStyle w:val="137"/>
        <w:ind w:left="630" w:hanging="630" w:hangingChars="300"/>
        <w:rPr>
          <w:color w:val="auto"/>
        </w:rPr>
      </w:pPr>
    </w:p>
    <w:p>
      <w:pPr>
        <w:pStyle w:val="137"/>
        <w:ind w:firstLine="0" w:firstLineChars="0"/>
        <w:rPr>
          <w:rFonts w:ascii="宋体" w:hAnsi="宋体" w:cs="宋体"/>
          <w:b/>
          <w:bCs/>
          <w:color w:val="auto"/>
          <w:sz w:val="24"/>
          <w:szCs w:val="24"/>
        </w:rPr>
      </w:pPr>
    </w:p>
    <w:p>
      <w:pPr>
        <w:pStyle w:val="137"/>
        <w:rPr>
          <w:color w:val="auto"/>
        </w:rPr>
      </w:pPr>
    </w:p>
    <w:p>
      <w:pPr>
        <w:spacing w:line="9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竞</w:t>
      </w:r>
    </w:p>
    <w:p>
      <w:pPr>
        <w:spacing w:line="9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争</w:t>
      </w:r>
    </w:p>
    <w:p>
      <w:pPr>
        <w:spacing w:line="9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性</w:t>
      </w:r>
    </w:p>
    <w:p>
      <w:pPr>
        <w:spacing w:line="9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谈</w:t>
      </w:r>
    </w:p>
    <w:p>
      <w:pPr>
        <w:spacing w:line="9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判</w:t>
      </w:r>
    </w:p>
    <w:p>
      <w:pPr>
        <w:spacing w:line="9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文</w:t>
      </w:r>
    </w:p>
    <w:p>
      <w:pPr>
        <w:spacing w:line="9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件</w:t>
      </w:r>
    </w:p>
    <w:p>
      <w:pPr>
        <w:spacing w:line="360" w:lineRule="auto"/>
        <w:rPr>
          <w:rFonts w:ascii="宋体"/>
          <w:b/>
          <w:color w:val="auto"/>
          <w:sz w:val="30"/>
          <w:szCs w:val="30"/>
        </w:rPr>
      </w:pPr>
    </w:p>
    <w:p>
      <w:pPr>
        <w:pStyle w:val="2"/>
        <w:ind w:firstLine="400"/>
        <w:rPr>
          <w:color w:val="auto"/>
        </w:rPr>
      </w:pPr>
    </w:p>
    <w:p>
      <w:pPr>
        <w:pStyle w:val="2"/>
        <w:ind w:firstLine="400"/>
        <w:rPr>
          <w:color w:val="auto"/>
        </w:rPr>
      </w:pPr>
    </w:p>
    <w:p>
      <w:pPr>
        <w:spacing w:line="360" w:lineRule="auto"/>
        <w:jc w:val="center"/>
        <w:rPr>
          <w:rFonts w:ascii="宋体"/>
          <w:b/>
          <w:color w:val="auto"/>
          <w:sz w:val="30"/>
          <w:szCs w:val="30"/>
        </w:rPr>
      </w:pPr>
      <w:r>
        <w:rPr>
          <w:rFonts w:hint="eastAsia" w:ascii="宋体"/>
          <w:b/>
          <w:color w:val="auto"/>
          <w:sz w:val="30"/>
          <w:szCs w:val="30"/>
        </w:rPr>
        <w:t xml:space="preserve">采 购 人：  资产与实验室管理处    (盖章）  </w:t>
      </w:r>
    </w:p>
    <w:p>
      <w:pPr>
        <w:spacing w:line="360" w:lineRule="auto"/>
        <w:jc w:val="center"/>
        <w:rPr>
          <w:rFonts w:ascii="宋体"/>
          <w:b/>
          <w:color w:val="auto"/>
          <w:sz w:val="30"/>
          <w:szCs w:val="30"/>
        </w:rPr>
      </w:pPr>
      <w:r>
        <w:rPr>
          <w:rFonts w:hint="eastAsia" w:ascii="宋体"/>
          <w:b/>
          <w:color w:val="auto"/>
          <w:sz w:val="30"/>
          <w:szCs w:val="30"/>
        </w:rPr>
        <w:t xml:space="preserve">采购代理机构：安徽立地工程咨询有限公司 (盖章）  </w:t>
      </w:r>
    </w:p>
    <w:p>
      <w:pPr>
        <w:widowControl/>
        <w:spacing w:line="360" w:lineRule="auto"/>
        <w:ind w:firstLine="3915" w:firstLineChars="1300"/>
        <w:jc w:val="left"/>
        <w:rPr>
          <w:rFonts w:ascii="华文中宋" w:hAnsi="华文中宋" w:eastAsia="华文中宋"/>
          <w:b/>
          <w:color w:val="auto"/>
          <w:sz w:val="28"/>
          <w:szCs w:val="28"/>
          <w:u w:val="single"/>
        </w:rPr>
      </w:pPr>
      <w:r>
        <w:rPr>
          <w:rFonts w:hint="eastAsia" w:ascii="宋体"/>
          <w:b/>
          <w:color w:val="auto"/>
          <w:sz w:val="30"/>
          <w:szCs w:val="30"/>
        </w:rPr>
        <w:t>2023</w:t>
      </w:r>
      <w:r>
        <w:rPr>
          <w:b/>
          <w:bCs/>
          <w:color w:val="auto"/>
          <w:sz w:val="32"/>
          <w:szCs w:val="32"/>
          <w:lang w:val="zh-CN"/>
        </w:rPr>
        <w:t>年</w:t>
      </w:r>
      <w:r>
        <w:rPr>
          <w:rFonts w:hint="eastAsia" w:ascii="宋体"/>
          <w:b/>
          <w:color w:val="auto"/>
          <w:sz w:val="30"/>
          <w:szCs w:val="30"/>
        </w:rPr>
        <w:t>5</w:t>
      </w:r>
      <w:r>
        <w:rPr>
          <w:b/>
          <w:bCs/>
          <w:color w:val="auto"/>
          <w:sz w:val="32"/>
          <w:szCs w:val="32"/>
          <w:lang w:val="zh-CN"/>
        </w:rPr>
        <w:t>月</w:t>
      </w:r>
      <w:r>
        <w:rPr>
          <w:rFonts w:hint="eastAsia" w:ascii="宋体"/>
          <w:b/>
          <w:color w:val="auto"/>
          <w:sz w:val="30"/>
          <w:szCs w:val="30"/>
        </w:rPr>
        <w:t xml:space="preserve"> </w:t>
      </w:r>
    </w:p>
    <w:p>
      <w:pPr>
        <w:spacing w:line="400" w:lineRule="exact"/>
        <w:jc w:val="center"/>
        <w:rPr>
          <w:b/>
          <w:color w:val="auto"/>
          <w:sz w:val="36"/>
          <w:szCs w:val="36"/>
        </w:rPr>
      </w:pPr>
      <w:r>
        <w:rPr>
          <w:b/>
          <w:color w:val="auto"/>
          <w:sz w:val="36"/>
          <w:szCs w:val="36"/>
        </w:rPr>
        <w:br w:type="page"/>
      </w:r>
    </w:p>
    <w:p>
      <w:pPr>
        <w:spacing w:line="400" w:lineRule="exact"/>
        <w:jc w:val="center"/>
        <w:rPr>
          <w:b/>
          <w:color w:val="auto"/>
          <w:sz w:val="36"/>
          <w:szCs w:val="36"/>
        </w:rPr>
      </w:pPr>
      <w:r>
        <w:rPr>
          <w:rFonts w:hint="eastAsia"/>
          <w:b/>
          <w:color w:val="auto"/>
          <w:sz w:val="36"/>
          <w:szCs w:val="36"/>
        </w:rPr>
        <w:t>目</w:t>
      </w:r>
      <w:r>
        <w:rPr>
          <w:b/>
          <w:color w:val="auto"/>
          <w:sz w:val="36"/>
          <w:szCs w:val="36"/>
        </w:rPr>
        <w:t xml:space="preserve">  </w:t>
      </w:r>
      <w:r>
        <w:rPr>
          <w:rFonts w:hint="eastAsia"/>
          <w:b/>
          <w:color w:val="auto"/>
          <w:sz w:val="36"/>
          <w:szCs w:val="36"/>
        </w:rPr>
        <w:t>录</w:t>
      </w:r>
    </w:p>
    <w:p>
      <w:pPr>
        <w:tabs>
          <w:tab w:val="left" w:pos="9040"/>
        </w:tabs>
        <w:adjustRightInd w:val="0"/>
        <w:snapToGrid w:val="0"/>
        <w:spacing w:line="600" w:lineRule="exact"/>
        <w:rPr>
          <w:rFonts w:ascii="宋体" w:hAnsi="宋体" w:cs="宋体"/>
          <w:color w:val="auto"/>
          <w:sz w:val="24"/>
        </w:rPr>
      </w:pPr>
      <w:bookmarkStart w:id="1" w:name="_Toc193702467"/>
      <w:bookmarkStart w:id="2" w:name="_Toc246928891"/>
      <w:r>
        <w:rPr>
          <w:rFonts w:hint="eastAsia" w:ascii="宋体" w:hAnsi="宋体" w:cs="宋体"/>
          <w:color w:val="auto"/>
          <w:sz w:val="24"/>
        </w:rPr>
        <w:t>招标公告……………………………………………………………………………… 1</w:t>
      </w:r>
    </w:p>
    <w:p>
      <w:pPr>
        <w:pStyle w:val="33"/>
        <w:tabs>
          <w:tab w:val="right" w:leader="dot" w:pos="8829"/>
        </w:tabs>
        <w:spacing w:line="800" w:lineRule="exact"/>
        <w:rPr>
          <w:rFonts w:hAnsi="宋体" w:eastAsia="宋体"/>
          <w:b w:val="0"/>
          <w:bCs w:val="0"/>
          <w:color w:val="auto"/>
          <w:kern w:val="2"/>
          <w:sz w:val="21"/>
          <w:szCs w:val="22"/>
        </w:rPr>
      </w:pPr>
      <w:r>
        <w:rPr>
          <w:rFonts w:hint="eastAsia" w:hAnsi="宋体" w:eastAsia="宋体"/>
          <w:b w:val="0"/>
          <w:bCs w:val="0"/>
          <w:color w:val="auto"/>
          <w:sz w:val="24"/>
          <w:szCs w:val="24"/>
        </w:rPr>
        <w:fldChar w:fldCharType="begin"/>
      </w:r>
      <w:r>
        <w:rPr>
          <w:rFonts w:hint="eastAsia" w:hAnsi="宋体" w:eastAsia="宋体"/>
          <w:b w:val="0"/>
          <w:bCs w:val="0"/>
          <w:color w:val="auto"/>
          <w:sz w:val="24"/>
          <w:szCs w:val="24"/>
        </w:rPr>
        <w:instrText xml:space="preserve"> TOC \o "1-1" \h \z \u </w:instrText>
      </w:r>
      <w:r>
        <w:rPr>
          <w:rFonts w:hint="eastAsia" w:hAnsi="宋体" w:eastAsia="宋体"/>
          <w:b w:val="0"/>
          <w:bCs w:val="0"/>
          <w:color w:val="auto"/>
          <w:sz w:val="24"/>
          <w:szCs w:val="24"/>
        </w:rPr>
        <w:fldChar w:fldCharType="separate"/>
      </w:r>
      <w:r>
        <w:rPr>
          <w:color w:val="auto"/>
        </w:rPr>
        <w:fldChar w:fldCharType="begin"/>
      </w:r>
      <w:r>
        <w:rPr>
          <w:color w:val="auto"/>
        </w:rPr>
        <w:instrText xml:space="preserve"> HYPERLINK \l "_Toc46310024" </w:instrText>
      </w:r>
      <w:r>
        <w:rPr>
          <w:color w:val="auto"/>
        </w:rPr>
        <w:fldChar w:fldCharType="separate"/>
      </w:r>
      <w:r>
        <w:rPr>
          <w:rStyle w:val="54"/>
          <w:rFonts w:hint="eastAsia" w:hAnsi="宋体" w:eastAsia="宋体"/>
          <w:b w:val="0"/>
          <w:bCs w:val="0"/>
          <w:color w:val="auto"/>
        </w:rPr>
        <w:t>第一部分  供应商须知前附表</w:t>
      </w:r>
      <w:r>
        <w:rPr>
          <w:rFonts w:hint="eastAsia" w:hAnsi="宋体" w:eastAsia="宋体"/>
          <w:b w:val="0"/>
          <w:bCs w:val="0"/>
          <w:color w:val="auto"/>
        </w:rPr>
        <w:tab/>
      </w:r>
      <w:r>
        <w:rPr>
          <w:rFonts w:hint="eastAsia" w:hAnsi="宋体" w:eastAsia="宋体"/>
          <w:b w:val="0"/>
          <w:bCs w:val="0"/>
          <w:color w:val="auto"/>
        </w:rPr>
        <w:fldChar w:fldCharType="begin"/>
      </w:r>
      <w:r>
        <w:rPr>
          <w:rFonts w:hint="eastAsia" w:hAnsi="宋体" w:eastAsia="宋体"/>
          <w:b w:val="0"/>
          <w:bCs w:val="0"/>
          <w:color w:val="auto"/>
        </w:rPr>
        <w:instrText xml:space="preserve"> PAGEREF _Toc46310024 \h </w:instrText>
      </w:r>
      <w:r>
        <w:rPr>
          <w:rFonts w:hint="eastAsia" w:hAnsi="宋体" w:eastAsia="宋体"/>
          <w:b w:val="0"/>
          <w:bCs w:val="0"/>
          <w:color w:val="auto"/>
        </w:rPr>
        <w:fldChar w:fldCharType="separate"/>
      </w:r>
      <w:r>
        <w:rPr>
          <w:rFonts w:hint="eastAsia" w:hAnsi="宋体" w:eastAsia="宋体"/>
          <w:b w:val="0"/>
          <w:bCs w:val="0"/>
          <w:color w:val="auto"/>
        </w:rPr>
        <w:t>5</w:t>
      </w:r>
      <w:r>
        <w:rPr>
          <w:rFonts w:hint="eastAsia" w:hAnsi="宋体" w:eastAsia="宋体"/>
          <w:b w:val="0"/>
          <w:bCs w:val="0"/>
          <w:color w:val="auto"/>
        </w:rPr>
        <w:fldChar w:fldCharType="end"/>
      </w:r>
      <w:r>
        <w:rPr>
          <w:rFonts w:hint="eastAsia" w:hAnsi="宋体" w:eastAsia="宋体"/>
          <w:b w:val="0"/>
          <w:bCs w:val="0"/>
          <w:color w:val="auto"/>
        </w:rPr>
        <w:fldChar w:fldCharType="end"/>
      </w:r>
    </w:p>
    <w:p>
      <w:pPr>
        <w:pStyle w:val="33"/>
        <w:spacing w:line="800" w:lineRule="exact"/>
        <w:rPr>
          <w:rFonts w:hAnsi="宋体" w:eastAsia="宋体"/>
          <w:b w:val="0"/>
          <w:bCs w:val="0"/>
          <w:color w:val="auto"/>
          <w:kern w:val="2"/>
          <w:sz w:val="21"/>
          <w:szCs w:val="22"/>
        </w:rPr>
      </w:pPr>
      <w:r>
        <w:rPr>
          <w:color w:val="auto"/>
        </w:rPr>
        <w:fldChar w:fldCharType="begin"/>
      </w:r>
      <w:r>
        <w:rPr>
          <w:color w:val="auto"/>
        </w:rPr>
        <w:instrText xml:space="preserve"> HYPERLINK \l "_Toc46310025" </w:instrText>
      </w:r>
      <w:r>
        <w:rPr>
          <w:color w:val="auto"/>
        </w:rPr>
        <w:fldChar w:fldCharType="separate"/>
      </w:r>
      <w:r>
        <w:rPr>
          <w:rStyle w:val="54"/>
          <w:rFonts w:hint="eastAsia" w:hAnsi="宋体" w:eastAsia="宋体"/>
          <w:b w:val="0"/>
          <w:bCs w:val="0"/>
          <w:color w:val="auto"/>
        </w:rPr>
        <w:t>第二部分  供应商须知</w:t>
      </w:r>
      <w:r>
        <w:rPr>
          <w:rFonts w:hint="eastAsia" w:hAnsi="宋体" w:eastAsia="宋体"/>
          <w:b w:val="0"/>
          <w:bCs w:val="0"/>
          <w:color w:val="auto"/>
        </w:rPr>
        <w:tab/>
      </w:r>
      <w:r>
        <w:rPr>
          <w:rFonts w:hint="eastAsia" w:hAnsi="宋体" w:eastAsia="宋体"/>
          <w:b w:val="0"/>
          <w:bCs w:val="0"/>
          <w:color w:val="auto"/>
        </w:rPr>
        <w:fldChar w:fldCharType="begin"/>
      </w:r>
      <w:r>
        <w:rPr>
          <w:rFonts w:hint="eastAsia" w:hAnsi="宋体" w:eastAsia="宋体"/>
          <w:b w:val="0"/>
          <w:bCs w:val="0"/>
          <w:color w:val="auto"/>
        </w:rPr>
        <w:instrText xml:space="preserve"> PAGEREF _Toc46310025 \h </w:instrText>
      </w:r>
      <w:r>
        <w:rPr>
          <w:rFonts w:hint="eastAsia" w:hAnsi="宋体" w:eastAsia="宋体"/>
          <w:b w:val="0"/>
          <w:bCs w:val="0"/>
          <w:color w:val="auto"/>
        </w:rPr>
        <w:fldChar w:fldCharType="separate"/>
      </w:r>
      <w:r>
        <w:rPr>
          <w:rFonts w:hint="eastAsia" w:hAnsi="宋体" w:eastAsia="宋体"/>
          <w:b w:val="0"/>
          <w:bCs w:val="0"/>
          <w:color w:val="auto"/>
        </w:rPr>
        <w:t>7</w:t>
      </w:r>
      <w:r>
        <w:rPr>
          <w:rFonts w:hint="eastAsia" w:hAnsi="宋体" w:eastAsia="宋体"/>
          <w:b w:val="0"/>
          <w:bCs w:val="0"/>
          <w:color w:val="auto"/>
        </w:rPr>
        <w:fldChar w:fldCharType="end"/>
      </w:r>
      <w:r>
        <w:rPr>
          <w:rFonts w:hint="eastAsia" w:hAnsi="宋体" w:eastAsia="宋体"/>
          <w:b w:val="0"/>
          <w:bCs w:val="0"/>
          <w:color w:val="auto"/>
        </w:rPr>
        <w:fldChar w:fldCharType="end"/>
      </w:r>
    </w:p>
    <w:p>
      <w:pPr>
        <w:pStyle w:val="33"/>
        <w:spacing w:line="800" w:lineRule="exact"/>
        <w:rPr>
          <w:rFonts w:hAnsi="宋体" w:eastAsia="宋体"/>
          <w:b w:val="0"/>
          <w:bCs w:val="0"/>
          <w:color w:val="auto"/>
          <w:kern w:val="2"/>
          <w:sz w:val="21"/>
          <w:szCs w:val="22"/>
        </w:rPr>
      </w:pPr>
      <w:r>
        <w:rPr>
          <w:color w:val="auto"/>
        </w:rPr>
        <w:fldChar w:fldCharType="begin"/>
      </w:r>
      <w:r>
        <w:rPr>
          <w:color w:val="auto"/>
        </w:rPr>
        <w:instrText xml:space="preserve"> HYPERLINK \l "_Toc46310026" </w:instrText>
      </w:r>
      <w:r>
        <w:rPr>
          <w:color w:val="auto"/>
        </w:rPr>
        <w:fldChar w:fldCharType="separate"/>
      </w:r>
      <w:r>
        <w:rPr>
          <w:rStyle w:val="54"/>
          <w:rFonts w:hint="eastAsia" w:hAnsi="宋体" w:eastAsia="宋体"/>
          <w:b w:val="0"/>
          <w:bCs w:val="0"/>
          <w:color w:val="auto"/>
        </w:rPr>
        <w:t>第三部分  谈判办法</w:t>
      </w:r>
      <w:r>
        <w:rPr>
          <w:rFonts w:hint="eastAsia" w:hAnsi="宋体" w:eastAsia="宋体"/>
          <w:b w:val="0"/>
          <w:bCs w:val="0"/>
          <w:color w:val="auto"/>
        </w:rPr>
        <w:tab/>
      </w:r>
      <w:r>
        <w:rPr>
          <w:rFonts w:hint="eastAsia" w:hAnsi="宋体" w:eastAsia="宋体"/>
          <w:b w:val="0"/>
          <w:bCs w:val="0"/>
          <w:color w:val="auto"/>
        </w:rPr>
        <w:fldChar w:fldCharType="begin"/>
      </w:r>
      <w:r>
        <w:rPr>
          <w:rFonts w:hint="eastAsia" w:hAnsi="宋体" w:eastAsia="宋体"/>
          <w:b w:val="0"/>
          <w:bCs w:val="0"/>
          <w:color w:val="auto"/>
        </w:rPr>
        <w:instrText xml:space="preserve"> PAGEREF _Toc46310026 \h </w:instrText>
      </w:r>
      <w:r>
        <w:rPr>
          <w:rFonts w:hint="eastAsia" w:hAnsi="宋体" w:eastAsia="宋体"/>
          <w:b w:val="0"/>
          <w:bCs w:val="0"/>
          <w:color w:val="auto"/>
        </w:rPr>
        <w:fldChar w:fldCharType="separate"/>
      </w:r>
      <w:r>
        <w:rPr>
          <w:rFonts w:hint="eastAsia" w:hAnsi="宋体" w:eastAsia="宋体"/>
          <w:b w:val="0"/>
          <w:bCs w:val="0"/>
          <w:color w:val="auto"/>
        </w:rPr>
        <w:t>19</w:t>
      </w:r>
      <w:r>
        <w:rPr>
          <w:rFonts w:hint="eastAsia" w:hAnsi="宋体" w:eastAsia="宋体"/>
          <w:b w:val="0"/>
          <w:bCs w:val="0"/>
          <w:color w:val="auto"/>
        </w:rPr>
        <w:fldChar w:fldCharType="end"/>
      </w:r>
      <w:r>
        <w:rPr>
          <w:rFonts w:hint="eastAsia" w:hAnsi="宋体" w:eastAsia="宋体"/>
          <w:b w:val="0"/>
          <w:bCs w:val="0"/>
          <w:color w:val="auto"/>
        </w:rPr>
        <w:fldChar w:fldCharType="end"/>
      </w:r>
    </w:p>
    <w:p>
      <w:pPr>
        <w:pStyle w:val="33"/>
        <w:spacing w:line="800" w:lineRule="exact"/>
        <w:rPr>
          <w:rFonts w:hAnsi="宋体" w:eastAsia="宋体"/>
          <w:b w:val="0"/>
          <w:bCs w:val="0"/>
          <w:color w:val="auto"/>
          <w:kern w:val="2"/>
          <w:sz w:val="21"/>
          <w:szCs w:val="22"/>
        </w:rPr>
      </w:pPr>
      <w:r>
        <w:rPr>
          <w:color w:val="auto"/>
        </w:rPr>
        <w:fldChar w:fldCharType="begin"/>
      </w:r>
      <w:r>
        <w:rPr>
          <w:color w:val="auto"/>
        </w:rPr>
        <w:instrText xml:space="preserve"> HYPERLINK \l "_Toc46310027" </w:instrText>
      </w:r>
      <w:r>
        <w:rPr>
          <w:color w:val="auto"/>
        </w:rPr>
        <w:fldChar w:fldCharType="separate"/>
      </w:r>
      <w:r>
        <w:rPr>
          <w:rStyle w:val="54"/>
          <w:rFonts w:hint="eastAsia" w:hAnsi="宋体" w:eastAsia="宋体"/>
          <w:b w:val="0"/>
          <w:bCs w:val="0"/>
          <w:color w:val="auto"/>
        </w:rPr>
        <w:t>第四部分  采购内容及服务要求</w:t>
      </w:r>
      <w:r>
        <w:rPr>
          <w:rFonts w:hint="eastAsia" w:hAnsi="宋体" w:eastAsia="宋体"/>
          <w:b w:val="0"/>
          <w:bCs w:val="0"/>
          <w:color w:val="auto"/>
        </w:rPr>
        <w:tab/>
      </w:r>
      <w:r>
        <w:rPr>
          <w:rFonts w:hint="eastAsia" w:hAnsi="宋体" w:eastAsia="宋体"/>
          <w:b w:val="0"/>
          <w:bCs w:val="0"/>
          <w:color w:val="auto"/>
        </w:rPr>
        <w:t>1</w:t>
      </w:r>
      <w:r>
        <w:rPr>
          <w:rFonts w:hint="eastAsia" w:hAnsi="宋体" w:eastAsia="宋体"/>
          <w:b w:val="0"/>
          <w:bCs w:val="0"/>
          <w:color w:val="auto"/>
        </w:rPr>
        <w:fldChar w:fldCharType="end"/>
      </w:r>
      <w:r>
        <w:rPr>
          <w:rFonts w:hint="eastAsia" w:hAnsi="宋体" w:eastAsia="宋体"/>
          <w:b w:val="0"/>
          <w:bCs w:val="0"/>
          <w:color w:val="auto"/>
        </w:rPr>
        <w:t>4</w:t>
      </w:r>
    </w:p>
    <w:p>
      <w:pPr>
        <w:pStyle w:val="33"/>
        <w:spacing w:line="800" w:lineRule="exact"/>
        <w:rPr>
          <w:rFonts w:hAnsi="宋体" w:eastAsia="宋体"/>
          <w:b w:val="0"/>
          <w:bCs w:val="0"/>
          <w:color w:val="auto"/>
          <w:kern w:val="2"/>
          <w:sz w:val="21"/>
          <w:szCs w:val="22"/>
        </w:rPr>
      </w:pPr>
      <w:r>
        <w:rPr>
          <w:color w:val="auto"/>
        </w:rPr>
        <w:fldChar w:fldCharType="begin"/>
      </w:r>
      <w:r>
        <w:rPr>
          <w:color w:val="auto"/>
        </w:rPr>
        <w:instrText xml:space="preserve"> HYPERLINK \l "_Toc46310028" </w:instrText>
      </w:r>
      <w:r>
        <w:rPr>
          <w:color w:val="auto"/>
        </w:rPr>
        <w:fldChar w:fldCharType="separate"/>
      </w:r>
      <w:r>
        <w:rPr>
          <w:rStyle w:val="54"/>
          <w:rFonts w:hint="eastAsia" w:hAnsi="宋体" w:eastAsia="宋体"/>
          <w:b w:val="0"/>
          <w:bCs w:val="0"/>
          <w:color w:val="auto"/>
        </w:rPr>
        <w:t>第五部分  合同条款</w:t>
      </w:r>
      <w:r>
        <w:rPr>
          <w:rFonts w:hint="eastAsia" w:hAnsi="宋体" w:eastAsia="宋体"/>
          <w:b w:val="0"/>
          <w:bCs w:val="0"/>
          <w:color w:val="auto"/>
        </w:rPr>
        <w:tab/>
      </w:r>
      <w:r>
        <w:rPr>
          <w:rFonts w:hint="eastAsia" w:hAnsi="宋体" w:eastAsia="宋体"/>
          <w:b w:val="0"/>
          <w:bCs w:val="0"/>
          <w:color w:val="auto"/>
        </w:rPr>
        <w:fldChar w:fldCharType="begin"/>
      </w:r>
      <w:r>
        <w:rPr>
          <w:rFonts w:hint="eastAsia" w:hAnsi="宋体" w:eastAsia="宋体"/>
          <w:b w:val="0"/>
          <w:bCs w:val="0"/>
          <w:color w:val="auto"/>
        </w:rPr>
        <w:instrText xml:space="preserve"> PAGEREF _Toc46310028 \h </w:instrText>
      </w:r>
      <w:r>
        <w:rPr>
          <w:rFonts w:hint="eastAsia" w:hAnsi="宋体" w:eastAsia="宋体"/>
          <w:b w:val="0"/>
          <w:bCs w:val="0"/>
          <w:color w:val="auto"/>
        </w:rPr>
        <w:fldChar w:fldCharType="separate"/>
      </w:r>
      <w:r>
        <w:rPr>
          <w:rFonts w:hint="eastAsia" w:hAnsi="宋体" w:eastAsia="宋体"/>
          <w:b w:val="0"/>
          <w:bCs w:val="0"/>
          <w:color w:val="auto"/>
        </w:rPr>
        <w:t>21</w:t>
      </w:r>
      <w:r>
        <w:rPr>
          <w:rFonts w:hint="eastAsia" w:hAnsi="宋体" w:eastAsia="宋体"/>
          <w:b w:val="0"/>
          <w:bCs w:val="0"/>
          <w:color w:val="auto"/>
        </w:rPr>
        <w:fldChar w:fldCharType="end"/>
      </w:r>
      <w:r>
        <w:rPr>
          <w:rFonts w:hint="eastAsia" w:hAnsi="宋体" w:eastAsia="宋体"/>
          <w:b w:val="0"/>
          <w:bCs w:val="0"/>
          <w:color w:val="auto"/>
        </w:rPr>
        <w:fldChar w:fldCharType="end"/>
      </w:r>
    </w:p>
    <w:p>
      <w:pPr>
        <w:pStyle w:val="33"/>
        <w:spacing w:line="800" w:lineRule="exact"/>
        <w:rPr>
          <w:rFonts w:hAnsi="宋体" w:eastAsia="宋体"/>
          <w:b w:val="0"/>
          <w:bCs w:val="0"/>
          <w:color w:val="auto"/>
          <w:kern w:val="2"/>
          <w:sz w:val="21"/>
          <w:szCs w:val="22"/>
        </w:rPr>
      </w:pPr>
      <w:r>
        <w:rPr>
          <w:color w:val="auto"/>
        </w:rPr>
        <w:fldChar w:fldCharType="begin"/>
      </w:r>
      <w:r>
        <w:rPr>
          <w:color w:val="auto"/>
        </w:rPr>
        <w:instrText xml:space="preserve"> HYPERLINK \l "_Toc46310029" </w:instrText>
      </w:r>
      <w:r>
        <w:rPr>
          <w:color w:val="auto"/>
        </w:rPr>
        <w:fldChar w:fldCharType="separate"/>
      </w:r>
      <w:r>
        <w:rPr>
          <w:rStyle w:val="54"/>
          <w:rFonts w:hint="eastAsia" w:hAnsi="宋体" w:eastAsia="宋体"/>
          <w:b w:val="0"/>
          <w:bCs w:val="0"/>
          <w:color w:val="auto"/>
        </w:rPr>
        <w:t>第六部分  附件--响应文件格式</w:t>
      </w:r>
      <w:r>
        <w:rPr>
          <w:rFonts w:hint="eastAsia" w:hAnsi="宋体" w:eastAsia="宋体"/>
          <w:b w:val="0"/>
          <w:bCs w:val="0"/>
          <w:color w:val="auto"/>
        </w:rPr>
        <w:tab/>
      </w:r>
      <w:r>
        <w:rPr>
          <w:rFonts w:hint="eastAsia" w:hAnsi="宋体" w:eastAsia="宋体"/>
          <w:b w:val="0"/>
          <w:bCs w:val="0"/>
          <w:color w:val="auto"/>
        </w:rPr>
        <w:fldChar w:fldCharType="begin"/>
      </w:r>
      <w:r>
        <w:rPr>
          <w:rFonts w:hint="eastAsia" w:hAnsi="宋体" w:eastAsia="宋体"/>
          <w:b w:val="0"/>
          <w:bCs w:val="0"/>
          <w:color w:val="auto"/>
        </w:rPr>
        <w:instrText xml:space="preserve"> PAGEREF _Toc46310029 \h </w:instrText>
      </w:r>
      <w:r>
        <w:rPr>
          <w:rFonts w:hint="eastAsia" w:hAnsi="宋体" w:eastAsia="宋体"/>
          <w:b w:val="0"/>
          <w:bCs w:val="0"/>
          <w:color w:val="auto"/>
        </w:rPr>
        <w:fldChar w:fldCharType="separate"/>
      </w:r>
      <w:r>
        <w:rPr>
          <w:rFonts w:hint="eastAsia" w:hAnsi="宋体" w:eastAsia="宋体"/>
          <w:b w:val="0"/>
          <w:bCs w:val="0"/>
          <w:color w:val="auto"/>
        </w:rPr>
        <w:t>24</w:t>
      </w:r>
      <w:r>
        <w:rPr>
          <w:rFonts w:hint="eastAsia" w:hAnsi="宋体" w:eastAsia="宋体"/>
          <w:b w:val="0"/>
          <w:bCs w:val="0"/>
          <w:color w:val="auto"/>
        </w:rPr>
        <w:fldChar w:fldCharType="end"/>
      </w:r>
      <w:r>
        <w:rPr>
          <w:rFonts w:hint="eastAsia" w:hAnsi="宋体" w:eastAsia="宋体"/>
          <w:b w:val="0"/>
          <w:bCs w:val="0"/>
          <w:color w:val="auto"/>
        </w:rPr>
        <w:fldChar w:fldCharType="end"/>
      </w:r>
    </w:p>
    <w:p>
      <w:pPr>
        <w:pStyle w:val="33"/>
        <w:spacing w:line="800" w:lineRule="exact"/>
        <w:rPr>
          <w:rFonts w:hAnsi="宋体" w:eastAsia="宋体"/>
          <w:b w:val="0"/>
          <w:bCs w:val="0"/>
          <w:color w:val="auto"/>
          <w:kern w:val="2"/>
          <w:sz w:val="21"/>
          <w:szCs w:val="22"/>
        </w:rPr>
      </w:pPr>
      <w:r>
        <w:rPr>
          <w:color w:val="auto"/>
        </w:rPr>
        <w:fldChar w:fldCharType="begin"/>
      </w:r>
      <w:r>
        <w:rPr>
          <w:color w:val="auto"/>
        </w:rPr>
        <w:instrText xml:space="preserve"> HYPERLINK \l "_Toc46310030" </w:instrText>
      </w:r>
      <w:r>
        <w:rPr>
          <w:color w:val="auto"/>
        </w:rPr>
        <w:fldChar w:fldCharType="separate"/>
      </w:r>
      <w:r>
        <w:rPr>
          <w:rStyle w:val="54"/>
          <w:rFonts w:hint="eastAsia" w:hAnsi="宋体" w:eastAsia="宋体"/>
          <w:b w:val="0"/>
          <w:bCs w:val="0"/>
          <w:color w:val="auto"/>
        </w:rPr>
        <w:t>第七部分  采购单位、采购代理机构对本谈判文件的确认</w:t>
      </w:r>
      <w:r>
        <w:rPr>
          <w:rFonts w:hint="eastAsia" w:hAnsi="宋体" w:eastAsia="宋体"/>
          <w:b w:val="0"/>
          <w:bCs w:val="0"/>
          <w:color w:val="auto"/>
        </w:rPr>
        <w:tab/>
      </w:r>
      <w:r>
        <w:rPr>
          <w:rFonts w:hint="eastAsia" w:hAnsi="宋体" w:eastAsia="宋体"/>
          <w:b w:val="0"/>
          <w:bCs w:val="0"/>
          <w:color w:val="auto"/>
        </w:rPr>
        <w:fldChar w:fldCharType="begin"/>
      </w:r>
      <w:r>
        <w:rPr>
          <w:rFonts w:hint="eastAsia" w:hAnsi="宋体" w:eastAsia="宋体"/>
          <w:b w:val="0"/>
          <w:bCs w:val="0"/>
          <w:color w:val="auto"/>
        </w:rPr>
        <w:instrText xml:space="preserve"> PAGEREF _Toc46310030 \h </w:instrText>
      </w:r>
      <w:r>
        <w:rPr>
          <w:rFonts w:hint="eastAsia" w:hAnsi="宋体" w:eastAsia="宋体"/>
          <w:b w:val="0"/>
          <w:bCs w:val="0"/>
          <w:color w:val="auto"/>
        </w:rPr>
        <w:fldChar w:fldCharType="separate"/>
      </w:r>
      <w:r>
        <w:rPr>
          <w:rFonts w:hint="eastAsia" w:hAnsi="宋体" w:eastAsia="宋体"/>
          <w:b w:val="0"/>
          <w:bCs w:val="0"/>
          <w:color w:val="auto"/>
        </w:rPr>
        <w:t>32</w:t>
      </w:r>
      <w:r>
        <w:rPr>
          <w:rFonts w:hint="eastAsia" w:hAnsi="宋体" w:eastAsia="宋体"/>
          <w:b w:val="0"/>
          <w:bCs w:val="0"/>
          <w:color w:val="auto"/>
        </w:rPr>
        <w:fldChar w:fldCharType="end"/>
      </w:r>
      <w:r>
        <w:rPr>
          <w:rFonts w:hint="eastAsia" w:hAnsi="宋体" w:eastAsia="宋体"/>
          <w:b w:val="0"/>
          <w:bCs w:val="0"/>
          <w:color w:val="auto"/>
        </w:rPr>
        <w:fldChar w:fldCharType="end"/>
      </w:r>
    </w:p>
    <w:p>
      <w:pPr>
        <w:pStyle w:val="33"/>
        <w:tabs>
          <w:tab w:val="right" w:leader="dot" w:pos="8829"/>
        </w:tabs>
        <w:spacing w:line="800" w:lineRule="exact"/>
        <w:rPr>
          <w:rFonts w:hAnsi="宋体" w:eastAsia="宋体"/>
          <w:b w:val="0"/>
          <w:bCs w:val="0"/>
          <w:color w:val="auto"/>
        </w:rPr>
        <w:sectPr>
          <w:footerReference r:id="rId4" w:type="first"/>
          <w:footerReference r:id="rId3" w:type="default"/>
          <w:footnotePr>
            <w:pos w:val="beneathText"/>
          </w:footnotePr>
          <w:pgSz w:w="11906" w:h="16838"/>
          <w:pgMar w:top="1581" w:right="1423" w:bottom="1219" w:left="1644" w:header="851" w:footer="992" w:gutter="0"/>
          <w:pgNumType w:start="1"/>
          <w:cols w:space="720" w:num="1"/>
          <w:titlePg/>
          <w:docGrid w:linePitch="312" w:charSpace="0"/>
        </w:sectPr>
      </w:pPr>
      <w:r>
        <w:rPr>
          <w:rFonts w:hint="eastAsia" w:hAnsi="宋体" w:eastAsia="宋体"/>
          <w:b w:val="0"/>
          <w:bCs w:val="0"/>
          <w:color w:val="auto"/>
          <w:sz w:val="24"/>
          <w:szCs w:val="24"/>
        </w:rPr>
        <w:fldChar w:fldCharType="end"/>
      </w:r>
    </w:p>
    <w:p>
      <w:pPr>
        <w:pStyle w:val="7"/>
        <w:keepLines w:val="0"/>
        <w:spacing w:before="120" w:beforeLines="50" w:after="120" w:afterLines="50" w:line="440" w:lineRule="exact"/>
        <w:jc w:val="center"/>
        <w:rPr>
          <w:rFonts w:ascii="宋体" w:hAnsi="宋体" w:cs="宋体"/>
          <w:color w:val="auto"/>
          <w:sz w:val="32"/>
          <w:szCs w:val="32"/>
        </w:rPr>
      </w:pPr>
      <w:bookmarkStart w:id="3" w:name="_Toc489284196"/>
      <w:bookmarkStart w:id="4" w:name="_Toc46309800"/>
      <w:bookmarkStart w:id="5" w:name="_Toc46310024"/>
      <w:r>
        <w:rPr>
          <w:rFonts w:hint="eastAsia" w:ascii="宋体" w:hAnsi="宋体" w:cs="宋体"/>
          <w:color w:val="auto"/>
          <w:sz w:val="32"/>
          <w:szCs w:val="32"/>
        </w:rPr>
        <w:t>滁州学院磁盘阵列和移动固态硬盘采购项目竞争性谈判公告</w:t>
      </w:r>
    </w:p>
    <w:p>
      <w:pPr>
        <w:spacing w:line="440" w:lineRule="exact"/>
        <w:ind w:firstLine="420" w:firstLineChars="200"/>
        <w:jc w:val="left"/>
        <w:rPr>
          <w:rFonts w:ascii="宋体" w:hAnsi="宋体" w:cs="宋体"/>
          <w:color w:val="auto"/>
        </w:rPr>
      </w:pPr>
      <w:r>
        <w:rPr>
          <w:rFonts w:hint="eastAsia" w:ascii="宋体" w:hAnsi="宋体" w:cs="宋体"/>
          <w:color w:val="auto"/>
        </w:rPr>
        <w:t>项目概况</w:t>
      </w:r>
    </w:p>
    <w:p>
      <w:pPr>
        <w:spacing w:line="440" w:lineRule="exact"/>
        <w:jc w:val="left"/>
        <w:rPr>
          <w:rFonts w:ascii="宋体" w:hAnsi="宋体" w:cs="宋体"/>
          <w:color w:val="auto"/>
        </w:rPr>
      </w:pPr>
      <w:r>
        <w:rPr>
          <w:rFonts w:hint="eastAsia" w:ascii="宋体" w:hAnsi="宋体" w:cs="宋体"/>
          <w:color w:val="auto"/>
        </w:rPr>
        <w:t>滁州学院磁盘阵列和移动固态硬盘采购项目的潜在供应商应在滁州学院网站（http://zcc.chzu.edu.cn）资产与实验室管理处网页采购公告栏中下载文件。并于2023年5月</w:t>
      </w:r>
      <w:r>
        <w:rPr>
          <w:rFonts w:hint="eastAsia" w:ascii="宋体" w:hAnsi="宋体" w:cs="宋体"/>
          <w:color w:val="auto"/>
          <w:lang w:val="en-US" w:eastAsia="zh-CN"/>
        </w:rPr>
        <w:t>23</w:t>
      </w:r>
      <w:r>
        <w:rPr>
          <w:rFonts w:hint="eastAsia" w:ascii="宋体" w:hAnsi="宋体" w:cs="宋体"/>
          <w:color w:val="auto"/>
        </w:rPr>
        <w:t>日</w:t>
      </w:r>
      <w:r>
        <w:rPr>
          <w:rFonts w:hint="eastAsia" w:ascii="宋体" w:hAnsi="宋体" w:cs="宋体"/>
          <w:color w:val="auto"/>
          <w:lang w:val="en-US" w:eastAsia="zh-CN"/>
        </w:rPr>
        <w:t>15</w:t>
      </w:r>
      <w:r>
        <w:rPr>
          <w:rFonts w:hint="eastAsia" w:ascii="宋体" w:hAnsi="宋体" w:cs="宋体"/>
          <w:color w:val="auto"/>
        </w:rPr>
        <w:t>点00分（北京时间）前递交响应文件。</w:t>
      </w:r>
      <w:bookmarkStart w:id="6" w:name="_Toc28359079"/>
      <w:bookmarkStart w:id="7" w:name="_Toc5872"/>
      <w:bookmarkStart w:id="8" w:name="_Toc35393621"/>
      <w:bookmarkStart w:id="9" w:name="_Toc35393790"/>
      <w:bookmarkStart w:id="10" w:name="_Toc28359002"/>
      <w:bookmarkStart w:id="11" w:name="_Hlk24379207"/>
    </w:p>
    <w:p>
      <w:pPr>
        <w:spacing w:line="440" w:lineRule="exact"/>
        <w:jc w:val="left"/>
        <w:rPr>
          <w:rFonts w:ascii="黑体" w:hAnsi="黑体" w:eastAsia="黑体" w:cs="黑体"/>
          <w:b/>
          <w:bCs/>
          <w:color w:val="auto"/>
        </w:rPr>
      </w:pPr>
      <w:r>
        <w:rPr>
          <w:rFonts w:hint="eastAsia" w:ascii="黑体" w:hAnsi="黑体" w:eastAsia="黑体" w:cs="黑体"/>
          <w:b/>
          <w:bCs/>
          <w:color w:val="auto"/>
        </w:rPr>
        <w:t>一、项目基本情况</w:t>
      </w:r>
      <w:bookmarkEnd w:id="6"/>
      <w:bookmarkEnd w:id="7"/>
      <w:bookmarkEnd w:id="8"/>
      <w:bookmarkEnd w:id="9"/>
      <w:bookmarkEnd w:id="10"/>
    </w:p>
    <w:p>
      <w:pPr>
        <w:spacing w:line="440" w:lineRule="exact"/>
        <w:ind w:firstLine="420" w:firstLineChars="200"/>
        <w:jc w:val="left"/>
        <w:rPr>
          <w:rFonts w:ascii="宋体" w:hAnsi="宋体" w:cs="宋体"/>
          <w:color w:val="auto"/>
        </w:rPr>
      </w:pPr>
      <w:r>
        <w:rPr>
          <w:rFonts w:hint="eastAsia" w:ascii="宋体" w:hAnsi="宋体" w:cs="宋体"/>
          <w:color w:val="auto"/>
        </w:rPr>
        <w:t>项目编号：2023CG-015</w:t>
      </w:r>
    </w:p>
    <w:p>
      <w:pPr>
        <w:spacing w:line="440" w:lineRule="exact"/>
        <w:ind w:firstLine="420" w:firstLineChars="200"/>
        <w:jc w:val="left"/>
        <w:rPr>
          <w:rFonts w:ascii="宋体" w:hAnsi="宋体" w:cs="宋体"/>
          <w:color w:val="auto"/>
        </w:rPr>
      </w:pPr>
      <w:r>
        <w:rPr>
          <w:rFonts w:hint="eastAsia" w:ascii="宋体" w:hAnsi="宋体" w:cs="宋体"/>
          <w:color w:val="auto"/>
        </w:rPr>
        <w:t>项目名称：</w:t>
      </w:r>
      <w:bookmarkEnd w:id="11"/>
      <w:r>
        <w:rPr>
          <w:rFonts w:hint="eastAsia" w:ascii="宋体" w:hAnsi="宋体" w:cs="宋体"/>
          <w:color w:val="auto"/>
        </w:rPr>
        <w:t>滁州学院磁盘阵列和移动固态硬盘采购项目</w:t>
      </w:r>
    </w:p>
    <w:p>
      <w:pPr>
        <w:spacing w:line="440" w:lineRule="exact"/>
        <w:ind w:firstLine="420" w:firstLineChars="200"/>
        <w:jc w:val="left"/>
        <w:rPr>
          <w:rFonts w:ascii="宋体" w:hAnsi="宋体" w:cs="宋体"/>
          <w:color w:val="auto"/>
        </w:rPr>
      </w:pPr>
      <w:r>
        <w:rPr>
          <w:rFonts w:hint="eastAsia" w:ascii="宋体" w:hAnsi="宋体" w:cs="宋体"/>
          <w:color w:val="auto"/>
        </w:rPr>
        <w:t>最高限价：2</w:t>
      </w:r>
      <w:r>
        <w:rPr>
          <w:rFonts w:hint="eastAsia" w:ascii="宋体" w:hAnsi="宋体" w:cs="宋体"/>
          <w:color w:val="auto"/>
          <w:lang w:val="en-US" w:eastAsia="zh-CN"/>
        </w:rPr>
        <w:t>8</w:t>
      </w:r>
      <w:r>
        <w:rPr>
          <w:rFonts w:hint="eastAsia" w:ascii="宋体" w:hAnsi="宋体" w:cs="宋体"/>
          <w:color w:val="auto"/>
        </w:rPr>
        <w:t>0000元；</w:t>
      </w:r>
    </w:p>
    <w:p>
      <w:pPr>
        <w:spacing w:line="440" w:lineRule="exact"/>
        <w:ind w:firstLine="420" w:firstLineChars="200"/>
        <w:jc w:val="left"/>
        <w:rPr>
          <w:rFonts w:ascii="宋体" w:hAnsi="宋体" w:cs="宋体"/>
          <w:color w:val="auto"/>
        </w:rPr>
      </w:pPr>
      <w:r>
        <w:rPr>
          <w:rFonts w:hint="eastAsia" w:ascii="宋体" w:hAnsi="宋体" w:cs="宋体"/>
          <w:color w:val="auto"/>
        </w:rPr>
        <w:t>采购需求：具体详见本公告附件《采购需求及技术参数要求》。</w:t>
      </w:r>
    </w:p>
    <w:p>
      <w:pPr>
        <w:spacing w:line="440" w:lineRule="exact"/>
        <w:ind w:firstLine="420" w:firstLineChars="200"/>
        <w:jc w:val="left"/>
        <w:rPr>
          <w:rFonts w:ascii="宋体" w:hAnsi="宋体" w:cs="宋体"/>
          <w:color w:val="auto"/>
        </w:rPr>
      </w:pPr>
      <w:r>
        <w:rPr>
          <w:rFonts w:hint="eastAsia" w:ascii="宋体" w:hAnsi="宋体" w:cs="宋体"/>
          <w:color w:val="auto"/>
        </w:rPr>
        <w:t xml:space="preserve">合同履行期限：签订合同后7个日历天供货安装完毕。 </w:t>
      </w:r>
    </w:p>
    <w:p>
      <w:pPr>
        <w:spacing w:line="440" w:lineRule="exact"/>
        <w:jc w:val="left"/>
        <w:rPr>
          <w:rFonts w:ascii="黑体" w:hAnsi="黑体" w:eastAsia="黑体" w:cs="黑体"/>
          <w:b/>
          <w:bCs/>
          <w:color w:val="auto"/>
        </w:rPr>
      </w:pPr>
      <w:bookmarkStart w:id="12" w:name="_Toc35393622"/>
      <w:bookmarkStart w:id="13" w:name="_Toc28359003"/>
      <w:bookmarkStart w:id="14" w:name="_Toc28359080"/>
      <w:bookmarkStart w:id="15" w:name="_Toc35393791"/>
      <w:bookmarkStart w:id="16" w:name="_Toc22650"/>
      <w:r>
        <w:rPr>
          <w:rFonts w:hint="eastAsia" w:ascii="黑体" w:hAnsi="黑体" w:eastAsia="黑体" w:cs="黑体"/>
          <w:b/>
          <w:bCs/>
          <w:color w:val="auto"/>
        </w:rPr>
        <w:t>二、申请人的资格要求</w:t>
      </w:r>
      <w:bookmarkEnd w:id="12"/>
      <w:bookmarkEnd w:id="13"/>
      <w:bookmarkEnd w:id="14"/>
      <w:bookmarkEnd w:id="15"/>
      <w:bookmarkEnd w:id="16"/>
    </w:p>
    <w:p>
      <w:pPr>
        <w:spacing w:line="440" w:lineRule="exact"/>
        <w:ind w:firstLine="422" w:firstLineChars="200"/>
        <w:jc w:val="left"/>
        <w:rPr>
          <w:rFonts w:ascii="宋体" w:hAnsi="宋体" w:cs="宋体"/>
          <w:b/>
          <w:bCs/>
          <w:color w:val="auto"/>
        </w:rPr>
      </w:pPr>
      <w:bookmarkStart w:id="17" w:name="_Toc35393792"/>
      <w:bookmarkStart w:id="18" w:name="_Toc35393623"/>
      <w:bookmarkStart w:id="19" w:name="_Toc28359004"/>
      <w:bookmarkStart w:id="20" w:name="_Toc28359081"/>
      <w:r>
        <w:rPr>
          <w:rFonts w:hint="eastAsia" w:ascii="宋体" w:hAnsi="宋体" w:cs="宋体"/>
          <w:b/>
          <w:bCs/>
          <w:color w:val="auto"/>
        </w:rPr>
        <w:t>1.供应商具有独立法人资格，具有有效的营业执照、组织机构代码证、税务登记证（或三证合一证书）；</w:t>
      </w:r>
    </w:p>
    <w:p>
      <w:pPr>
        <w:spacing w:line="440" w:lineRule="exact"/>
        <w:ind w:firstLine="420" w:firstLineChars="200"/>
        <w:jc w:val="left"/>
        <w:rPr>
          <w:rFonts w:ascii="宋体" w:hAnsi="宋体" w:cs="宋体"/>
          <w:color w:val="auto"/>
        </w:rPr>
      </w:pPr>
      <w:r>
        <w:rPr>
          <w:rFonts w:hint="eastAsia" w:ascii="宋体" w:hAnsi="宋体" w:cs="宋体"/>
          <w:color w:val="auto"/>
        </w:rPr>
        <w:t>2.信誉要求：供应商不得存在以下情形：</w:t>
      </w:r>
    </w:p>
    <w:p>
      <w:pPr>
        <w:spacing w:line="440" w:lineRule="exact"/>
        <w:ind w:firstLine="420" w:firstLineChars="200"/>
        <w:jc w:val="left"/>
        <w:rPr>
          <w:rFonts w:ascii="宋体" w:hAnsi="宋体" w:cs="宋体"/>
          <w:color w:val="auto"/>
        </w:rPr>
      </w:pPr>
      <w:r>
        <w:rPr>
          <w:rFonts w:hint="eastAsia" w:ascii="宋体" w:hAnsi="宋体" w:cs="宋体"/>
          <w:color w:val="auto"/>
        </w:rPr>
        <w:t>①供应商被人民法院列入失信被执行人的；</w:t>
      </w:r>
    </w:p>
    <w:p>
      <w:pPr>
        <w:spacing w:line="440" w:lineRule="exact"/>
        <w:ind w:firstLine="420" w:firstLineChars="200"/>
        <w:jc w:val="left"/>
        <w:rPr>
          <w:rFonts w:ascii="宋体" w:hAnsi="宋体" w:cs="宋体"/>
          <w:color w:val="auto"/>
        </w:rPr>
      </w:pPr>
      <w:r>
        <w:rPr>
          <w:rFonts w:hint="eastAsia" w:ascii="宋体" w:hAnsi="宋体" w:cs="宋体"/>
          <w:color w:val="auto"/>
        </w:rPr>
        <w:t>②供应商或其法定代表人被人民检察院列入行贿犯罪档案的；</w:t>
      </w:r>
    </w:p>
    <w:p>
      <w:pPr>
        <w:spacing w:line="440" w:lineRule="exact"/>
        <w:ind w:firstLine="420" w:firstLineChars="200"/>
        <w:jc w:val="left"/>
        <w:rPr>
          <w:rFonts w:ascii="宋体" w:hAnsi="宋体" w:cs="宋体"/>
          <w:color w:val="auto"/>
        </w:rPr>
      </w:pPr>
      <w:r>
        <w:rPr>
          <w:rFonts w:hint="eastAsia" w:ascii="宋体" w:hAnsi="宋体" w:cs="宋体"/>
          <w:color w:val="auto"/>
        </w:rPr>
        <w:t>③供应商被市场监督管理部门列入经营异常名录或者严重违法企业名单的；</w:t>
      </w:r>
    </w:p>
    <w:p>
      <w:pPr>
        <w:spacing w:line="440" w:lineRule="exact"/>
        <w:ind w:firstLine="420" w:firstLineChars="200"/>
        <w:jc w:val="left"/>
        <w:rPr>
          <w:rFonts w:ascii="宋体" w:hAnsi="宋体" w:cs="宋体"/>
          <w:color w:val="auto"/>
        </w:rPr>
      </w:pPr>
      <w:r>
        <w:rPr>
          <w:rFonts w:hint="eastAsia" w:ascii="宋体" w:hAnsi="宋体" w:cs="宋体"/>
          <w:color w:val="auto"/>
        </w:rPr>
        <w:t>④供应商被税收部门列入重大税收违法案件当事人的；</w:t>
      </w:r>
    </w:p>
    <w:p>
      <w:pPr>
        <w:spacing w:line="440" w:lineRule="exact"/>
        <w:ind w:firstLine="420" w:firstLineChars="200"/>
        <w:jc w:val="left"/>
        <w:rPr>
          <w:rFonts w:ascii="宋体" w:hAnsi="宋体" w:cs="宋体"/>
          <w:color w:val="auto"/>
        </w:rPr>
      </w:pPr>
      <w:r>
        <w:rPr>
          <w:rFonts w:hint="eastAsia" w:ascii="宋体" w:hAnsi="宋体" w:cs="宋体"/>
          <w:color w:val="auto"/>
        </w:rPr>
        <w:t>⑤供应商被采购监管部门列入采购严重违法失信行为记录名单的；</w:t>
      </w:r>
    </w:p>
    <w:p>
      <w:pPr>
        <w:spacing w:line="440" w:lineRule="exact"/>
        <w:ind w:firstLine="420" w:firstLineChars="200"/>
        <w:jc w:val="left"/>
        <w:rPr>
          <w:rFonts w:ascii="宋体" w:hAnsi="宋体" w:cs="宋体"/>
          <w:color w:val="auto"/>
        </w:rPr>
      </w:pPr>
      <w:r>
        <w:rPr>
          <w:rFonts w:hint="eastAsia" w:ascii="宋体" w:hAnsi="宋体" w:cs="宋体"/>
          <w:color w:val="auto"/>
        </w:rPr>
        <w:t>⑥在“信用中国”网站上披露仍在公示期的严重失信行为的；</w:t>
      </w:r>
    </w:p>
    <w:p>
      <w:pPr>
        <w:spacing w:line="440" w:lineRule="exact"/>
        <w:ind w:firstLine="420" w:firstLineChars="200"/>
        <w:jc w:val="left"/>
        <w:rPr>
          <w:rFonts w:ascii="宋体" w:hAnsi="宋体" w:cs="宋体"/>
          <w:color w:val="auto"/>
        </w:rPr>
      </w:pPr>
      <w:r>
        <w:rPr>
          <w:rFonts w:hint="eastAsia" w:ascii="宋体" w:hAnsi="宋体" w:cs="宋体"/>
          <w:color w:val="auto"/>
        </w:rPr>
        <w:t xml:space="preserve">⑦被滁州市县两级行业主管部门及公管部门禁止在一定期限内参加采购活动且在禁止期限内的； </w:t>
      </w:r>
    </w:p>
    <w:p>
      <w:pPr>
        <w:spacing w:line="440" w:lineRule="exact"/>
        <w:ind w:firstLine="420" w:firstLineChars="200"/>
        <w:jc w:val="left"/>
        <w:rPr>
          <w:rFonts w:ascii="宋体" w:hAnsi="宋体" w:cs="宋体"/>
          <w:color w:val="auto"/>
        </w:rPr>
      </w:pPr>
      <w:r>
        <w:rPr>
          <w:rFonts w:hint="eastAsia" w:ascii="宋体" w:hAnsi="宋体" w:cs="宋体"/>
          <w:color w:val="auto"/>
        </w:rPr>
        <w:t>⑧被滁州市县两级公管部门记入不良行为记录或者信用信息记录，且在披露期内的；</w:t>
      </w:r>
    </w:p>
    <w:p>
      <w:pPr>
        <w:numPr>
          <w:ilvl w:val="0"/>
          <w:numId w:val="1"/>
        </w:numPr>
        <w:spacing w:line="440" w:lineRule="exact"/>
        <w:jc w:val="left"/>
        <w:rPr>
          <w:rFonts w:ascii="黑体" w:hAnsi="黑体" w:eastAsia="黑体" w:cs="黑体"/>
          <w:b/>
          <w:bCs/>
          <w:color w:val="auto"/>
          <w:kern w:val="0"/>
        </w:rPr>
      </w:pPr>
      <w:r>
        <w:rPr>
          <w:rFonts w:hint="eastAsia" w:ascii="黑体" w:hAnsi="黑体" w:eastAsia="黑体" w:cs="黑体"/>
          <w:b/>
          <w:bCs/>
          <w:color w:val="auto"/>
          <w:kern w:val="0"/>
        </w:rPr>
        <w:t>获取招标文件</w:t>
      </w:r>
    </w:p>
    <w:p>
      <w:pPr>
        <w:spacing w:line="440" w:lineRule="exact"/>
        <w:ind w:firstLine="420" w:firstLineChars="200"/>
        <w:jc w:val="left"/>
        <w:rPr>
          <w:rFonts w:ascii="宋体" w:hAnsi="宋体" w:cs="宋体"/>
          <w:color w:val="auto"/>
          <w:kern w:val="0"/>
        </w:rPr>
      </w:pPr>
      <w:r>
        <w:rPr>
          <w:rFonts w:hint="eastAsia" w:ascii="宋体" w:hAnsi="宋体" w:cs="宋体"/>
          <w:color w:val="auto"/>
          <w:kern w:val="0"/>
        </w:rPr>
        <w:t>时间：2023年</w:t>
      </w:r>
      <w:r>
        <w:rPr>
          <w:rFonts w:hint="eastAsia" w:ascii="宋体" w:hAnsi="宋体" w:cs="宋体"/>
          <w:color w:val="auto"/>
          <w:kern w:val="0"/>
          <w:lang w:val="en-US" w:eastAsia="zh-CN"/>
        </w:rPr>
        <w:t>5</w:t>
      </w:r>
      <w:r>
        <w:rPr>
          <w:rFonts w:hint="eastAsia" w:ascii="宋体" w:hAnsi="宋体" w:cs="宋体"/>
          <w:color w:val="auto"/>
          <w:kern w:val="0"/>
        </w:rPr>
        <w:t xml:space="preserve">月 </w:t>
      </w:r>
      <w:r>
        <w:rPr>
          <w:rFonts w:hint="eastAsia" w:ascii="宋体" w:hAnsi="宋体" w:cs="宋体"/>
          <w:color w:val="auto"/>
          <w:kern w:val="0"/>
          <w:lang w:val="en-US" w:eastAsia="zh-CN"/>
        </w:rPr>
        <w:t>16</w:t>
      </w:r>
      <w:r>
        <w:rPr>
          <w:rFonts w:hint="eastAsia" w:ascii="宋体" w:hAnsi="宋体" w:cs="宋体"/>
          <w:color w:val="auto"/>
          <w:kern w:val="0"/>
        </w:rPr>
        <w:t>日至2023年</w:t>
      </w:r>
      <w:r>
        <w:rPr>
          <w:rFonts w:hint="eastAsia" w:ascii="宋体" w:hAnsi="宋体" w:cs="宋体"/>
          <w:color w:val="auto"/>
          <w:kern w:val="0"/>
          <w:lang w:val="en-US" w:eastAsia="zh-CN"/>
        </w:rPr>
        <w:t>5</w:t>
      </w:r>
      <w:r>
        <w:rPr>
          <w:rFonts w:hint="eastAsia" w:ascii="宋体" w:hAnsi="宋体" w:cs="宋体"/>
          <w:color w:val="auto"/>
          <w:kern w:val="0"/>
        </w:rPr>
        <w:t>月</w:t>
      </w:r>
      <w:r>
        <w:rPr>
          <w:rFonts w:hint="eastAsia" w:ascii="宋体" w:hAnsi="宋体" w:cs="宋体"/>
          <w:color w:val="auto"/>
          <w:kern w:val="0"/>
          <w:lang w:val="en-US" w:eastAsia="zh-CN"/>
        </w:rPr>
        <w:t>23</w:t>
      </w:r>
      <w:r>
        <w:rPr>
          <w:rFonts w:hint="eastAsia" w:ascii="宋体" w:hAnsi="宋体" w:cs="宋体"/>
          <w:color w:val="auto"/>
          <w:kern w:val="0"/>
        </w:rPr>
        <w:t>日（提供期限自本公告发布之日起不得少于5日）地点：滁州学院网站（http://zcc.chzu.edu.cn）资产与实验室管理处网页采购公告栏中下载文件。</w:t>
      </w:r>
    </w:p>
    <w:p>
      <w:pPr>
        <w:spacing w:line="440" w:lineRule="exact"/>
        <w:ind w:firstLine="420" w:firstLineChars="200"/>
        <w:jc w:val="left"/>
        <w:rPr>
          <w:rFonts w:ascii="宋体" w:hAnsi="宋体" w:cs="宋体"/>
          <w:color w:val="auto"/>
          <w:kern w:val="0"/>
        </w:rPr>
      </w:pPr>
      <w:r>
        <w:rPr>
          <w:rFonts w:hint="eastAsia" w:ascii="宋体" w:hAnsi="宋体" w:cs="宋体"/>
          <w:color w:val="auto"/>
          <w:kern w:val="0"/>
        </w:rPr>
        <w:t>方式：网上下载</w:t>
      </w:r>
    </w:p>
    <w:p>
      <w:pPr>
        <w:spacing w:line="440" w:lineRule="exact"/>
        <w:ind w:firstLine="420" w:firstLineChars="200"/>
        <w:jc w:val="left"/>
        <w:rPr>
          <w:rFonts w:ascii="宋体" w:hAnsi="宋体" w:cs="宋体"/>
          <w:color w:val="auto"/>
          <w:kern w:val="0"/>
        </w:rPr>
      </w:pPr>
      <w:r>
        <w:rPr>
          <w:rFonts w:hint="eastAsia" w:ascii="宋体" w:hAnsi="宋体" w:cs="宋体"/>
          <w:color w:val="auto"/>
          <w:kern w:val="0"/>
        </w:rPr>
        <w:t>售价：0元</w:t>
      </w:r>
    </w:p>
    <w:p>
      <w:pPr>
        <w:spacing w:line="440" w:lineRule="exact"/>
        <w:jc w:val="left"/>
        <w:rPr>
          <w:rFonts w:ascii="黑体" w:hAnsi="黑体" w:cs="黑体"/>
          <w:b/>
          <w:bCs/>
          <w:color w:val="auto"/>
          <w:kern w:val="0"/>
        </w:rPr>
      </w:pPr>
      <w:r>
        <w:rPr>
          <w:rFonts w:hint="eastAsia" w:ascii="黑体" w:hAnsi="黑体" w:cs="黑体"/>
          <w:b/>
          <w:bCs/>
          <w:color w:val="auto"/>
          <w:kern w:val="0"/>
        </w:rPr>
        <w:t>四、提交响应文件截止时间、开标时间和地点</w:t>
      </w:r>
    </w:p>
    <w:p>
      <w:pPr>
        <w:spacing w:line="440" w:lineRule="exact"/>
        <w:ind w:firstLine="420" w:firstLineChars="200"/>
        <w:jc w:val="left"/>
        <w:rPr>
          <w:rFonts w:ascii="宋体" w:hAnsi="宋体" w:cs="宋体"/>
          <w:color w:val="auto"/>
          <w:kern w:val="0"/>
        </w:rPr>
      </w:pPr>
      <w:r>
        <w:rPr>
          <w:rFonts w:hint="eastAsia" w:ascii="宋体" w:hAnsi="宋体" w:cs="宋体"/>
          <w:color w:val="auto"/>
          <w:kern w:val="0"/>
        </w:rPr>
        <w:t>2023年</w:t>
      </w:r>
      <w:r>
        <w:rPr>
          <w:rFonts w:hint="eastAsia" w:ascii="宋体" w:hAnsi="宋体" w:cs="宋体"/>
          <w:color w:val="auto"/>
          <w:kern w:val="0"/>
          <w:lang w:val="en-US" w:eastAsia="zh-CN"/>
        </w:rPr>
        <w:t>5</w:t>
      </w:r>
      <w:r>
        <w:rPr>
          <w:rFonts w:hint="eastAsia" w:ascii="宋体" w:hAnsi="宋体" w:cs="宋体"/>
          <w:color w:val="auto"/>
          <w:kern w:val="0"/>
        </w:rPr>
        <w:t>月</w:t>
      </w:r>
      <w:r>
        <w:rPr>
          <w:rFonts w:hint="eastAsia" w:ascii="宋体" w:hAnsi="宋体" w:cs="宋体"/>
          <w:color w:val="auto"/>
          <w:kern w:val="0"/>
          <w:lang w:val="en-US" w:eastAsia="zh-CN"/>
        </w:rPr>
        <w:t>23</w:t>
      </w:r>
      <w:r>
        <w:rPr>
          <w:rFonts w:hint="eastAsia" w:ascii="宋体" w:hAnsi="宋体" w:cs="宋体"/>
          <w:color w:val="auto"/>
          <w:kern w:val="0"/>
        </w:rPr>
        <w:t>日</w:t>
      </w:r>
      <w:r>
        <w:rPr>
          <w:rFonts w:hint="eastAsia" w:ascii="宋体" w:hAnsi="宋体" w:cs="宋体"/>
          <w:color w:val="auto"/>
          <w:kern w:val="0"/>
          <w:lang w:val="en-US" w:eastAsia="zh-CN"/>
        </w:rPr>
        <w:t>15</w:t>
      </w:r>
      <w:r>
        <w:rPr>
          <w:rFonts w:hint="eastAsia" w:ascii="宋体" w:hAnsi="宋体" w:cs="宋体"/>
          <w:color w:val="auto"/>
          <w:kern w:val="0"/>
        </w:rPr>
        <w:t>点00分（北京时间）（自招标文件开始发出之日起至供应商提交响应文件截止之日止，不得少于5日）</w:t>
      </w:r>
    </w:p>
    <w:p>
      <w:pPr>
        <w:spacing w:line="440" w:lineRule="exact"/>
        <w:ind w:firstLine="420" w:firstLineChars="200"/>
        <w:jc w:val="left"/>
        <w:rPr>
          <w:rFonts w:ascii="宋体" w:hAnsi="宋体" w:cs="宋体"/>
          <w:color w:val="auto"/>
          <w:kern w:val="0"/>
        </w:rPr>
      </w:pPr>
      <w:r>
        <w:rPr>
          <w:rFonts w:hint="eastAsia" w:ascii="宋体" w:hAnsi="宋体" w:cs="宋体"/>
          <w:color w:val="auto"/>
          <w:kern w:val="0"/>
        </w:rPr>
        <w:t>地点：滁州市丰乐大道1899号皖东国际车城A区写字楼A6栋3楼</w:t>
      </w:r>
    </w:p>
    <w:p>
      <w:pPr>
        <w:spacing w:line="440" w:lineRule="exact"/>
        <w:jc w:val="left"/>
        <w:rPr>
          <w:rFonts w:ascii="黑体" w:hAnsi="黑体" w:cs="黑体"/>
          <w:b/>
          <w:bCs/>
          <w:color w:val="auto"/>
          <w:kern w:val="0"/>
        </w:rPr>
      </w:pPr>
      <w:r>
        <w:rPr>
          <w:rFonts w:hint="eastAsia" w:ascii="黑体" w:hAnsi="黑体" w:cs="黑体"/>
          <w:b/>
          <w:bCs/>
          <w:color w:val="auto"/>
          <w:kern w:val="0"/>
        </w:rPr>
        <w:t>五、公告期限</w:t>
      </w:r>
    </w:p>
    <w:p>
      <w:pPr>
        <w:spacing w:line="440" w:lineRule="exact"/>
        <w:ind w:firstLine="420" w:firstLineChars="200"/>
        <w:jc w:val="left"/>
        <w:rPr>
          <w:rFonts w:ascii="宋体" w:hAnsi="宋体" w:cs="宋体"/>
          <w:color w:val="auto"/>
        </w:rPr>
      </w:pPr>
      <w:r>
        <w:rPr>
          <w:rFonts w:hint="eastAsia" w:ascii="宋体" w:hAnsi="宋体" w:cs="宋体"/>
          <w:color w:val="auto"/>
        </w:rPr>
        <w:t>自本公告发布之日起3个工作日。</w:t>
      </w:r>
    </w:p>
    <w:p>
      <w:pPr>
        <w:spacing w:line="440" w:lineRule="exact"/>
        <w:jc w:val="left"/>
        <w:rPr>
          <w:rFonts w:ascii="黑体" w:hAnsi="黑体" w:eastAsia="黑体" w:cs="黑体"/>
          <w:b/>
          <w:color w:val="auto"/>
        </w:rPr>
      </w:pPr>
      <w:r>
        <w:rPr>
          <w:rFonts w:hint="eastAsia" w:ascii="黑体" w:hAnsi="黑体" w:eastAsia="黑体" w:cs="黑体"/>
          <w:b/>
          <w:color w:val="auto"/>
        </w:rPr>
        <w:t>六、投标保证金金额及缴纳账户</w:t>
      </w:r>
    </w:p>
    <w:p>
      <w:pPr>
        <w:spacing w:line="440" w:lineRule="exact"/>
        <w:ind w:firstLine="420" w:firstLineChars="200"/>
        <w:jc w:val="left"/>
        <w:rPr>
          <w:rFonts w:ascii="宋体" w:hAnsi="宋体" w:cs="宋体"/>
          <w:color w:val="auto"/>
        </w:rPr>
      </w:pPr>
      <w:r>
        <w:rPr>
          <w:rFonts w:hint="eastAsia" w:ascii="宋体" w:hAnsi="宋体" w:cs="宋体"/>
          <w:color w:val="auto"/>
        </w:rPr>
        <w:t>1.是否要求供应商提交投标保证金：</w:t>
      </w:r>
    </w:p>
    <w:p>
      <w:pPr>
        <w:spacing w:line="440" w:lineRule="exact"/>
        <w:ind w:firstLine="420" w:firstLineChars="200"/>
        <w:jc w:val="left"/>
        <w:rPr>
          <w:rFonts w:ascii="宋体" w:hAnsi="宋体" w:cs="宋体"/>
          <w:color w:val="auto"/>
        </w:rPr>
      </w:pPr>
      <w:r>
        <w:rPr>
          <w:rFonts w:hint="eastAsia" w:ascii="宋体" w:hAnsi="宋体" w:cs="宋体"/>
          <w:color w:val="auto"/>
        </w:rPr>
        <w:sym w:font="Wingdings 2" w:char="0052"/>
      </w:r>
      <w:r>
        <w:rPr>
          <w:rFonts w:hint="eastAsia" w:ascii="宋体" w:hAnsi="宋体" w:cs="宋体"/>
          <w:color w:val="auto"/>
        </w:rPr>
        <w:t>不要求，□要求。</w:t>
      </w:r>
    </w:p>
    <w:p>
      <w:pPr>
        <w:pStyle w:val="21"/>
        <w:spacing w:line="440" w:lineRule="exact"/>
        <w:jc w:val="left"/>
        <w:rPr>
          <w:rFonts w:ascii="黑体" w:hAnsi="黑体" w:eastAsia="黑体" w:cs="黑体"/>
          <w:bCs w:val="0"/>
          <w:color w:val="auto"/>
          <w:sz w:val="21"/>
          <w:szCs w:val="21"/>
        </w:rPr>
      </w:pPr>
      <w:r>
        <w:rPr>
          <w:rFonts w:hint="eastAsia" w:ascii="黑体" w:hAnsi="黑体" w:eastAsia="黑体" w:cs="黑体"/>
          <w:bCs w:val="0"/>
          <w:color w:val="auto"/>
          <w:sz w:val="21"/>
          <w:szCs w:val="21"/>
        </w:rPr>
        <w:t>七、联系方法</w:t>
      </w:r>
    </w:p>
    <w:p>
      <w:pPr>
        <w:autoSpaceDE w:val="0"/>
        <w:autoSpaceDN w:val="0"/>
        <w:adjustRightInd w:val="0"/>
        <w:spacing w:line="440" w:lineRule="exact"/>
        <w:ind w:firstLine="420" w:firstLineChars="200"/>
        <w:jc w:val="left"/>
        <w:rPr>
          <w:rFonts w:ascii="宋体" w:hAnsi="宋体" w:cs="宋体"/>
          <w:color w:val="auto"/>
        </w:rPr>
      </w:pPr>
      <w:r>
        <w:rPr>
          <w:rFonts w:hint="eastAsia" w:ascii="宋体" w:hAnsi="宋体" w:cs="宋体"/>
          <w:color w:val="auto"/>
        </w:rPr>
        <w:t>1、项目单位：资产与实验室管理处</w:t>
      </w:r>
    </w:p>
    <w:p>
      <w:pPr>
        <w:autoSpaceDE w:val="0"/>
        <w:autoSpaceDN w:val="0"/>
        <w:adjustRightInd w:val="0"/>
        <w:spacing w:line="440" w:lineRule="exact"/>
        <w:ind w:firstLine="420" w:firstLineChars="200"/>
        <w:jc w:val="left"/>
        <w:rPr>
          <w:rFonts w:ascii="宋体" w:hAnsi="宋体" w:cs="宋体"/>
          <w:color w:val="auto"/>
        </w:rPr>
      </w:pPr>
      <w:r>
        <w:rPr>
          <w:rFonts w:hint="eastAsia" w:ascii="宋体" w:hAnsi="宋体" w:cs="宋体"/>
          <w:color w:val="auto"/>
        </w:rPr>
        <w:t>地址：安徽省滁州市会峰西路1号滁州学院会峰校区220室</w:t>
      </w:r>
    </w:p>
    <w:p>
      <w:pPr>
        <w:autoSpaceDE w:val="0"/>
        <w:autoSpaceDN w:val="0"/>
        <w:adjustRightInd w:val="0"/>
        <w:spacing w:line="440" w:lineRule="exact"/>
        <w:ind w:firstLine="420" w:firstLineChars="200"/>
        <w:jc w:val="left"/>
        <w:rPr>
          <w:rFonts w:ascii="宋体" w:hAnsi="宋体" w:cs="宋体"/>
          <w:color w:val="auto"/>
        </w:rPr>
      </w:pPr>
      <w:r>
        <w:rPr>
          <w:rFonts w:hint="eastAsia" w:ascii="宋体" w:hAnsi="宋体" w:cs="宋体"/>
          <w:color w:val="auto"/>
        </w:rPr>
        <w:t xml:space="preserve">采购联系人：张老师  李老师 </w:t>
      </w:r>
    </w:p>
    <w:p>
      <w:pPr>
        <w:autoSpaceDE w:val="0"/>
        <w:autoSpaceDN w:val="0"/>
        <w:adjustRightInd w:val="0"/>
        <w:spacing w:line="440" w:lineRule="exact"/>
        <w:ind w:firstLine="420" w:firstLineChars="200"/>
        <w:jc w:val="left"/>
        <w:rPr>
          <w:rFonts w:ascii="宋体" w:hAnsi="宋体" w:cs="宋体"/>
          <w:color w:val="auto"/>
        </w:rPr>
      </w:pPr>
      <w:r>
        <w:rPr>
          <w:rFonts w:hint="eastAsia" w:ascii="宋体" w:hAnsi="宋体" w:cs="宋体"/>
          <w:color w:val="auto"/>
        </w:rPr>
        <w:t>电话：0550-3511816   0550-3512003</w:t>
      </w:r>
    </w:p>
    <w:p>
      <w:pPr>
        <w:autoSpaceDE w:val="0"/>
        <w:autoSpaceDN w:val="0"/>
        <w:adjustRightInd w:val="0"/>
        <w:spacing w:line="440" w:lineRule="exact"/>
        <w:ind w:firstLine="420" w:firstLineChars="200"/>
        <w:jc w:val="left"/>
        <w:rPr>
          <w:rFonts w:ascii="宋体" w:hAnsi="宋体" w:cs="宋体"/>
          <w:color w:val="auto"/>
        </w:rPr>
      </w:pPr>
      <w:r>
        <w:rPr>
          <w:rFonts w:hint="eastAsia" w:ascii="宋体" w:hAnsi="宋体" w:cs="宋体"/>
          <w:color w:val="auto"/>
        </w:rPr>
        <w:t>2、招标代理机构：安徽立地工程咨询有限公司</w:t>
      </w:r>
    </w:p>
    <w:p>
      <w:pPr>
        <w:autoSpaceDE w:val="0"/>
        <w:autoSpaceDN w:val="0"/>
        <w:adjustRightInd w:val="0"/>
        <w:spacing w:line="440" w:lineRule="exact"/>
        <w:ind w:firstLine="420" w:firstLineChars="200"/>
        <w:jc w:val="left"/>
        <w:rPr>
          <w:rFonts w:ascii="宋体" w:hAnsi="宋体" w:cs="宋体"/>
          <w:color w:val="auto"/>
        </w:rPr>
      </w:pPr>
      <w:r>
        <w:rPr>
          <w:rFonts w:hint="eastAsia" w:ascii="宋体" w:hAnsi="宋体" w:cs="宋体"/>
          <w:color w:val="auto"/>
        </w:rPr>
        <w:t>地址：滁州市丰乐大道1899号皖东国际车城A区写字楼A6栋3楼</w:t>
      </w:r>
    </w:p>
    <w:p>
      <w:pPr>
        <w:autoSpaceDE w:val="0"/>
        <w:autoSpaceDN w:val="0"/>
        <w:adjustRightInd w:val="0"/>
        <w:spacing w:line="440" w:lineRule="exact"/>
        <w:ind w:firstLine="420" w:firstLineChars="200"/>
        <w:jc w:val="left"/>
        <w:rPr>
          <w:rFonts w:ascii="宋体" w:hAnsi="宋体" w:cs="宋体"/>
          <w:color w:val="auto"/>
        </w:rPr>
      </w:pPr>
      <w:r>
        <w:rPr>
          <w:rFonts w:hint="eastAsia" w:ascii="宋体" w:hAnsi="宋体" w:cs="宋体"/>
          <w:color w:val="auto"/>
        </w:rPr>
        <w:t>联系人：翁海玲</w:t>
      </w:r>
    </w:p>
    <w:p>
      <w:pPr>
        <w:autoSpaceDE w:val="0"/>
        <w:autoSpaceDN w:val="0"/>
        <w:adjustRightInd w:val="0"/>
        <w:spacing w:line="440" w:lineRule="exact"/>
        <w:ind w:firstLine="420" w:firstLineChars="200"/>
        <w:jc w:val="left"/>
        <w:rPr>
          <w:rFonts w:ascii="宋体" w:hAnsi="宋体" w:cs="宋体"/>
          <w:color w:val="auto"/>
        </w:rPr>
      </w:pPr>
      <w:r>
        <w:rPr>
          <w:rFonts w:hint="eastAsia" w:ascii="宋体" w:hAnsi="宋体" w:cs="宋体"/>
          <w:color w:val="auto"/>
        </w:rPr>
        <w:t>电话：0550-3831128、13965950189</w:t>
      </w:r>
    </w:p>
    <w:p>
      <w:pPr>
        <w:pStyle w:val="21"/>
        <w:spacing w:line="440" w:lineRule="exact"/>
        <w:jc w:val="left"/>
        <w:rPr>
          <w:rFonts w:ascii="黑体" w:hAnsi="黑体" w:eastAsia="黑体" w:cs="黑体"/>
          <w:bCs w:val="0"/>
          <w:color w:val="auto"/>
          <w:sz w:val="21"/>
          <w:szCs w:val="21"/>
        </w:rPr>
      </w:pPr>
      <w:r>
        <w:rPr>
          <w:rFonts w:hint="eastAsia" w:ascii="黑体" w:hAnsi="黑体" w:eastAsia="黑体" w:cs="黑体"/>
          <w:bCs w:val="0"/>
          <w:color w:val="auto"/>
          <w:sz w:val="21"/>
          <w:szCs w:val="21"/>
        </w:rPr>
        <w:t>八、公告发布媒体</w:t>
      </w:r>
    </w:p>
    <w:p>
      <w:pPr>
        <w:spacing w:line="440" w:lineRule="exact"/>
        <w:ind w:firstLine="420" w:firstLineChars="200"/>
        <w:jc w:val="left"/>
        <w:rPr>
          <w:rFonts w:ascii="宋体" w:hAnsi="宋体" w:cs="宋体"/>
          <w:color w:val="auto"/>
        </w:rPr>
      </w:pPr>
      <w:r>
        <w:rPr>
          <w:rFonts w:hint="eastAsia" w:ascii="宋体" w:hAnsi="宋体" w:cs="宋体"/>
          <w:color w:val="auto"/>
        </w:rPr>
        <w:t>滁州学院网站、安徽省招标投标信息网</w:t>
      </w:r>
      <w:bookmarkEnd w:id="17"/>
      <w:bookmarkEnd w:id="18"/>
      <w:bookmarkEnd w:id="19"/>
      <w:bookmarkEnd w:id="20"/>
    </w:p>
    <w:p>
      <w:pPr>
        <w:pStyle w:val="137"/>
        <w:ind w:firstLine="0" w:firstLineChars="0"/>
        <w:rPr>
          <w:color w:val="auto"/>
          <w:szCs w:val="21"/>
        </w:rPr>
      </w:pPr>
    </w:p>
    <w:p>
      <w:pPr>
        <w:pStyle w:val="137"/>
        <w:ind w:firstLine="0" w:firstLineChars="0"/>
        <w:rPr>
          <w:color w:val="auto"/>
          <w:szCs w:val="21"/>
        </w:rPr>
      </w:pPr>
    </w:p>
    <w:p>
      <w:pPr>
        <w:pStyle w:val="137"/>
        <w:ind w:firstLine="0" w:firstLineChars="0"/>
        <w:rPr>
          <w:color w:val="auto"/>
          <w:szCs w:val="21"/>
        </w:rPr>
      </w:pPr>
    </w:p>
    <w:p>
      <w:pPr>
        <w:pStyle w:val="137"/>
        <w:ind w:firstLine="0" w:firstLineChars="0"/>
        <w:rPr>
          <w:color w:val="auto"/>
          <w:szCs w:val="21"/>
        </w:rPr>
      </w:pPr>
    </w:p>
    <w:p>
      <w:pPr>
        <w:pStyle w:val="137"/>
        <w:ind w:firstLine="0" w:firstLineChars="0"/>
        <w:rPr>
          <w:color w:val="auto"/>
          <w:szCs w:val="21"/>
        </w:rPr>
      </w:pPr>
    </w:p>
    <w:p>
      <w:pPr>
        <w:pStyle w:val="137"/>
        <w:ind w:firstLine="0" w:firstLineChars="0"/>
        <w:rPr>
          <w:color w:val="auto"/>
          <w:szCs w:val="21"/>
        </w:rPr>
      </w:pPr>
    </w:p>
    <w:p>
      <w:pPr>
        <w:pStyle w:val="137"/>
        <w:ind w:firstLine="0" w:firstLineChars="0"/>
        <w:rPr>
          <w:color w:val="auto"/>
          <w:szCs w:val="21"/>
        </w:rPr>
      </w:pPr>
    </w:p>
    <w:p>
      <w:pPr>
        <w:pStyle w:val="137"/>
        <w:ind w:firstLine="0" w:firstLineChars="0"/>
        <w:rPr>
          <w:color w:val="auto"/>
          <w:szCs w:val="21"/>
        </w:rPr>
      </w:pPr>
    </w:p>
    <w:p>
      <w:pPr>
        <w:pStyle w:val="137"/>
        <w:ind w:firstLine="0" w:firstLineChars="0"/>
        <w:rPr>
          <w:color w:val="auto"/>
          <w:szCs w:val="21"/>
        </w:rPr>
      </w:pPr>
    </w:p>
    <w:p>
      <w:pPr>
        <w:pStyle w:val="137"/>
        <w:ind w:firstLine="0" w:firstLineChars="0"/>
        <w:rPr>
          <w:color w:val="auto"/>
          <w:szCs w:val="21"/>
        </w:rPr>
      </w:pPr>
    </w:p>
    <w:p>
      <w:pPr>
        <w:pStyle w:val="137"/>
        <w:ind w:firstLine="0" w:firstLineChars="0"/>
        <w:rPr>
          <w:color w:val="auto"/>
          <w:szCs w:val="21"/>
        </w:rPr>
      </w:pPr>
    </w:p>
    <w:p>
      <w:pPr>
        <w:pStyle w:val="137"/>
        <w:ind w:firstLine="0" w:firstLineChars="0"/>
        <w:rPr>
          <w:color w:val="auto"/>
          <w:szCs w:val="21"/>
        </w:rPr>
      </w:pPr>
    </w:p>
    <w:p>
      <w:pPr>
        <w:pStyle w:val="137"/>
        <w:ind w:firstLine="0" w:firstLineChars="0"/>
        <w:rPr>
          <w:color w:val="auto"/>
          <w:szCs w:val="21"/>
        </w:rPr>
      </w:pPr>
    </w:p>
    <w:p>
      <w:pPr>
        <w:pStyle w:val="137"/>
        <w:ind w:firstLine="0" w:firstLineChars="0"/>
        <w:rPr>
          <w:color w:val="auto"/>
          <w:szCs w:val="21"/>
        </w:rPr>
      </w:pPr>
    </w:p>
    <w:p>
      <w:pPr>
        <w:pStyle w:val="137"/>
        <w:ind w:firstLine="0" w:firstLineChars="0"/>
        <w:rPr>
          <w:color w:val="auto"/>
          <w:szCs w:val="21"/>
        </w:rPr>
      </w:pPr>
    </w:p>
    <w:p>
      <w:pPr>
        <w:pStyle w:val="137"/>
        <w:ind w:firstLine="0" w:firstLineChars="0"/>
        <w:rPr>
          <w:color w:val="auto"/>
          <w:szCs w:val="21"/>
        </w:rPr>
      </w:pPr>
    </w:p>
    <w:p>
      <w:pPr>
        <w:pStyle w:val="137"/>
        <w:ind w:firstLine="0" w:firstLineChars="0"/>
        <w:rPr>
          <w:color w:val="auto"/>
          <w:szCs w:val="21"/>
        </w:rPr>
      </w:pPr>
    </w:p>
    <w:p>
      <w:pPr>
        <w:pStyle w:val="137"/>
        <w:ind w:firstLine="0" w:firstLineChars="0"/>
        <w:rPr>
          <w:color w:val="auto"/>
          <w:szCs w:val="21"/>
        </w:rPr>
      </w:pPr>
    </w:p>
    <w:p>
      <w:pPr>
        <w:pStyle w:val="137"/>
        <w:ind w:firstLine="0" w:firstLineChars="0"/>
        <w:rPr>
          <w:color w:val="auto"/>
          <w:szCs w:val="21"/>
        </w:rPr>
      </w:pPr>
    </w:p>
    <w:p>
      <w:pPr>
        <w:pStyle w:val="137"/>
        <w:ind w:firstLine="0" w:firstLineChars="0"/>
        <w:rPr>
          <w:color w:val="auto"/>
          <w:szCs w:val="21"/>
        </w:rPr>
      </w:pPr>
    </w:p>
    <w:p>
      <w:pPr>
        <w:pStyle w:val="137"/>
        <w:ind w:firstLine="0" w:firstLineChars="0"/>
        <w:rPr>
          <w:color w:val="auto"/>
          <w:szCs w:val="21"/>
        </w:rPr>
      </w:pPr>
    </w:p>
    <w:p>
      <w:pPr>
        <w:pStyle w:val="137"/>
        <w:ind w:firstLine="0" w:firstLineChars="0"/>
        <w:rPr>
          <w:color w:val="auto"/>
          <w:szCs w:val="21"/>
        </w:rPr>
      </w:pPr>
    </w:p>
    <w:p>
      <w:pPr>
        <w:pStyle w:val="137"/>
        <w:ind w:firstLine="0" w:firstLineChars="0"/>
        <w:rPr>
          <w:color w:val="auto"/>
          <w:szCs w:val="21"/>
        </w:rPr>
      </w:pPr>
    </w:p>
    <w:bookmarkEnd w:id="1"/>
    <w:bookmarkEnd w:id="2"/>
    <w:bookmarkEnd w:id="3"/>
    <w:p>
      <w:pPr>
        <w:pStyle w:val="7"/>
        <w:numPr>
          <w:ilvl w:val="0"/>
          <w:numId w:val="2"/>
        </w:numPr>
        <w:spacing w:line="360" w:lineRule="auto"/>
        <w:jc w:val="center"/>
        <w:rPr>
          <w:color w:val="auto"/>
          <w:sz w:val="28"/>
          <w:szCs w:val="28"/>
        </w:rPr>
      </w:pPr>
      <w:bookmarkStart w:id="21" w:name="_Toc246928893"/>
      <w:r>
        <w:rPr>
          <w:rFonts w:hint="eastAsia"/>
          <w:color w:val="auto"/>
          <w:sz w:val="28"/>
          <w:szCs w:val="28"/>
        </w:rPr>
        <w:t>供应商须知前附表</w:t>
      </w:r>
      <w:bookmarkEnd w:id="4"/>
      <w:bookmarkEnd w:id="5"/>
      <w:bookmarkEnd w:id="21"/>
    </w:p>
    <w:tbl>
      <w:tblPr>
        <w:tblStyle w:val="47"/>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741"/>
        <w:gridCol w:w="7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6" w:type="dxa"/>
            <w:vAlign w:val="center"/>
          </w:tcPr>
          <w:p>
            <w:pPr>
              <w:spacing w:line="440" w:lineRule="exact"/>
              <w:jc w:val="center"/>
              <w:rPr>
                <w:rFonts w:ascii="宋体" w:hAnsi="宋体" w:cs="宋体"/>
                <w:color w:val="auto"/>
              </w:rPr>
            </w:pPr>
            <w:r>
              <w:rPr>
                <w:rFonts w:hint="eastAsia" w:ascii="宋体" w:hAnsi="宋体" w:cs="宋体"/>
                <w:color w:val="auto"/>
              </w:rPr>
              <w:t>1</w:t>
            </w:r>
          </w:p>
        </w:tc>
        <w:tc>
          <w:tcPr>
            <w:tcW w:w="1741" w:type="dxa"/>
            <w:vAlign w:val="center"/>
          </w:tcPr>
          <w:p>
            <w:pPr>
              <w:spacing w:line="440" w:lineRule="exact"/>
              <w:jc w:val="center"/>
              <w:rPr>
                <w:rFonts w:ascii="宋体" w:hAnsi="宋体" w:cs="宋体"/>
                <w:color w:val="auto"/>
              </w:rPr>
            </w:pPr>
            <w:r>
              <w:rPr>
                <w:rFonts w:hint="eastAsia" w:ascii="宋体" w:hAnsi="宋体" w:cs="宋体"/>
                <w:color w:val="auto"/>
              </w:rPr>
              <w:t>采购项目名称</w:t>
            </w:r>
          </w:p>
        </w:tc>
        <w:tc>
          <w:tcPr>
            <w:tcW w:w="7780" w:type="dxa"/>
            <w:vAlign w:val="center"/>
          </w:tcPr>
          <w:p>
            <w:pPr>
              <w:spacing w:line="440" w:lineRule="exact"/>
              <w:rPr>
                <w:rFonts w:ascii="宋体" w:hAnsi="宋体" w:cs="宋体"/>
                <w:color w:val="auto"/>
              </w:rPr>
            </w:pPr>
            <w:r>
              <w:rPr>
                <w:rFonts w:hint="eastAsia" w:ascii="宋体" w:hAnsi="宋体" w:cs="宋体"/>
                <w:color w:val="auto"/>
              </w:rPr>
              <w:t>滁州学院磁盘阵列和移动固态硬盘采购项目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6" w:type="dxa"/>
            <w:vAlign w:val="center"/>
          </w:tcPr>
          <w:p>
            <w:pPr>
              <w:spacing w:line="440" w:lineRule="exact"/>
              <w:jc w:val="center"/>
              <w:rPr>
                <w:rFonts w:ascii="宋体" w:hAnsi="宋体" w:cs="宋体"/>
                <w:color w:val="auto"/>
              </w:rPr>
            </w:pPr>
            <w:r>
              <w:rPr>
                <w:rFonts w:hint="eastAsia" w:ascii="宋体" w:hAnsi="宋体" w:cs="宋体"/>
                <w:color w:val="auto"/>
              </w:rPr>
              <w:t>2</w:t>
            </w:r>
          </w:p>
        </w:tc>
        <w:tc>
          <w:tcPr>
            <w:tcW w:w="1741" w:type="dxa"/>
            <w:vAlign w:val="center"/>
          </w:tcPr>
          <w:p>
            <w:pPr>
              <w:spacing w:line="440" w:lineRule="exact"/>
              <w:jc w:val="center"/>
              <w:rPr>
                <w:rFonts w:ascii="宋体" w:hAnsi="宋体" w:cs="宋体"/>
                <w:color w:val="auto"/>
              </w:rPr>
            </w:pPr>
            <w:r>
              <w:rPr>
                <w:rFonts w:hint="eastAsia" w:ascii="宋体" w:hAnsi="宋体" w:cs="宋体"/>
                <w:color w:val="auto"/>
              </w:rPr>
              <w:t>采购项目类别</w:t>
            </w:r>
          </w:p>
        </w:tc>
        <w:tc>
          <w:tcPr>
            <w:tcW w:w="7780" w:type="dxa"/>
            <w:vAlign w:val="center"/>
          </w:tcPr>
          <w:p>
            <w:pPr>
              <w:spacing w:line="440" w:lineRule="exact"/>
              <w:rPr>
                <w:rFonts w:ascii="宋体" w:hAnsi="宋体" w:cs="宋体"/>
                <w:color w:val="auto"/>
              </w:rPr>
            </w:pPr>
            <w:r>
              <w:rPr>
                <w:rFonts w:hint="eastAsia" w:ascii="宋体" w:hAnsi="宋体" w:cs="宋体"/>
                <w:color w:val="auto"/>
                <w:kern w:val="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46" w:type="dxa"/>
            <w:vAlign w:val="center"/>
          </w:tcPr>
          <w:p>
            <w:pPr>
              <w:spacing w:line="440" w:lineRule="exact"/>
              <w:jc w:val="center"/>
              <w:rPr>
                <w:rFonts w:ascii="宋体" w:hAnsi="宋体" w:cs="宋体"/>
                <w:color w:val="auto"/>
              </w:rPr>
            </w:pPr>
            <w:r>
              <w:rPr>
                <w:rFonts w:hint="eastAsia" w:ascii="宋体" w:hAnsi="宋体" w:cs="宋体"/>
                <w:color w:val="auto"/>
              </w:rPr>
              <w:t>3</w:t>
            </w:r>
          </w:p>
        </w:tc>
        <w:tc>
          <w:tcPr>
            <w:tcW w:w="1741" w:type="dxa"/>
            <w:vAlign w:val="center"/>
          </w:tcPr>
          <w:p>
            <w:pPr>
              <w:spacing w:line="440" w:lineRule="exact"/>
              <w:jc w:val="center"/>
              <w:rPr>
                <w:rFonts w:ascii="宋体" w:hAnsi="宋体" w:cs="宋体"/>
                <w:color w:val="auto"/>
              </w:rPr>
            </w:pPr>
            <w:r>
              <w:rPr>
                <w:rFonts w:hint="eastAsia" w:ascii="宋体" w:hAnsi="宋体" w:cs="宋体"/>
                <w:color w:val="auto"/>
              </w:rPr>
              <w:t>采购人</w:t>
            </w:r>
          </w:p>
        </w:tc>
        <w:tc>
          <w:tcPr>
            <w:tcW w:w="7780" w:type="dxa"/>
            <w:vAlign w:val="center"/>
          </w:tcPr>
          <w:p>
            <w:pPr>
              <w:spacing w:line="440" w:lineRule="exact"/>
              <w:rPr>
                <w:rFonts w:ascii="宋体" w:hAnsi="宋体" w:cs="宋体"/>
                <w:color w:val="auto"/>
              </w:rPr>
            </w:pPr>
            <w:r>
              <w:rPr>
                <w:rFonts w:hint="eastAsia" w:ascii="宋体" w:hAnsi="宋体" w:cs="宋体"/>
                <w:color w:val="auto"/>
              </w:rPr>
              <w:t>资产与实验室管理处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6" w:type="dxa"/>
            <w:vAlign w:val="center"/>
          </w:tcPr>
          <w:p>
            <w:pPr>
              <w:spacing w:line="440" w:lineRule="exact"/>
              <w:jc w:val="center"/>
              <w:rPr>
                <w:rFonts w:ascii="宋体" w:hAnsi="宋体" w:cs="宋体"/>
                <w:color w:val="auto"/>
              </w:rPr>
            </w:pPr>
            <w:r>
              <w:rPr>
                <w:rFonts w:hint="eastAsia" w:ascii="宋体" w:hAnsi="宋体" w:cs="宋体"/>
                <w:color w:val="auto"/>
              </w:rPr>
              <w:t>4</w:t>
            </w:r>
          </w:p>
        </w:tc>
        <w:tc>
          <w:tcPr>
            <w:tcW w:w="1741" w:type="dxa"/>
            <w:vAlign w:val="center"/>
          </w:tcPr>
          <w:p>
            <w:pPr>
              <w:spacing w:line="440" w:lineRule="exact"/>
              <w:jc w:val="center"/>
              <w:rPr>
                <w:rFonts w:ascii="宋体" w:hAnsi="宋体" w:cs="宋体"/>
                <w:color w:val="auto"/>
              </w:rPr>
            </w:pPr>
            <w:r>
              <w:rPr>
                <w:rFonts w:hint="eastAsia" w:ascii="宋体" w:hAnsi="宋体" w:cs="宋体"/>
                <w:color w:val="auto"/>
              </w:rPr>
              <w:t>采购代理机构</w:t>
            </w:r>
          </w:p>
        </w:tc>
        <w:tc>
          <w:tcPr>
            <w:tcW w:w="7780" w:type="dxa"/>
            <w:vAlign w:val="center"/>
          </w:tcPr>
          <w:p>
            <w:pPr>
              <w:spacing w:line="440" w:lineRule="exact"/>
              <w:rPr>
                <w:rFonts w:ascii="宋体" w:hAnsi="宋体" w:cs="宋体"/>
                <w:color w:val="auto"/>
              </w:rPr>
            </w:pPr>
            <w:r>
              <w:rPr>
                <w:rFonts w:hint="eastAsia" w:ascii="宋体" w:hAnsi="宋体" w:cs="宋体"/>
                <w:color w:val="auto"/>
              </w:rPr>
              <w:t>安徽立地工程咨询有限公司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746" w:type="dxa"/>
            <w:vAlign w:val="center"/>
          </w:tcPr>
          <w:p>
            <w:pPr>
              <w:spacing w:line="440" w:lineRule="exact"/>
              <w:jc w:val="center"/>
              <w:rPr>
                <w:rFonts w:ascii="宋体" w:hAnsi="宋体" w:cs="宋体"/>
                <w:color w:val="auto"/>
              </w:rPr>
            </w:pPr>
            <w:r>
              <w:rPr>
                <w:rFonts w:hint="eastAsia" w:ascii="宋体" w:hAnsi="宋体" w:cs="宋体"/>
                <w:color w:val="auto"/>
              </w:rPr>
              <w:t>5</w:t>
            </w:r>
          </w:p>
        </w:tc>
        <w:tc>
          <w:tcPr>
            <w:tcW w:w="1741" w:type="dxa"/>
            <w:vAlign w:val="center"/>
          </w:tcPr>
          <w:p>
            <w:pPr>
              <w:spacing w:line="440" w:lineRule="exact"/>
              <w:ind w:firstLine="210" w:firstLineChars="100"/>
              <w:rPr>
                <w:rFonts w:ascii="宋体" w:hAnsi="宋体" w:cs="宋体"/>
                <w:color w:val="auto"/>
              </w:rPr>
            </w:pPr>
            <w:r>
              <w:rPr>
                <w:rFonts w:hint="eastAsia" w:ascii="宋体" w:hAnsi="宋体" w:cs="宋体"/>
                <w:color w:val="auto"/>
              </w:rPr>
              <w:t>供货周期</w:t>
            </w:r>
          </w:p>
        </w:tc>
        <w:tc>
          <w:tcPr>
            <w:tcW w:w="7780" w:type="dxa"/>
            <w:vAlign w:val="center"/>
          </w:tcPr>
          <w:p>
            <w:pPr>
              <w:spacing w:line="440" w:lineRule="exact"/>
              <w:rPr>
                <w:rFonts w:ascii="宋体" w:hAnsi="宋体" w:cs="宋体"/>
                <w:color w:val="auto"/>
              </w:rPr>
            </w:pPr>
            <w:r>
              <w:rPr>
                <w:rFonts w:hint="eastAsia" w:ascii="宋体" w:hAnsi="宋体" w:cs="宋体"/>
                <w:color w:val="auto"/>
              </w:rPr>
              <w:t>资产与实验室管理处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746" w:type="dxa"/>
            <w:vAlign w:val="center"/>
          </w:tcPr>
          <w:p>
            <w:pPr>
              <w:spacing w:line="440" w:lineRule="exact"/>
              <w:jc w:val="center"/>
              <w:rPr>
                <w:rFonts w:ascii="宋体" w:hAnsi="宋体" w:cs="宋体"/>
                <w:color w:val="auto"/>
              </w:rPr>
            </w:pPr>
            <w:r>
              <w:rPr>
                <w:rFonts w:hint="eastAsia" w:ascii="宋体" w:hAnsi="宋体" w:cs="宋体"/>
                <w:color w:val="auto"/>
              </w:rPr>
              <w:t>6</w:t>
            </w:r>
          </w:p>
        </w:tc>
        <w:tc>
          <w:tcPr>
            <w:tcW w:w="1741" w:type="dxa"/>
            <w:vAlign w:val="center"/>
          </w:tcPr>
          <w:p>
            <w:pPr>
              <w:spacing w:line="440" w:lineRule="exact"/>
              <w:jc w:val="center"/>
              <w:rPr>
                <w:rFonts w:ascii="宋体" w:hAnsi="宋体" w:cs="宋体"/>
                <w:color w:val="auto"/>
              </w:rPr>
            </w:pPr>
            <w:r>
              <w:rPr>
                <w:rFonts w:hint="eastAsia" w:ascii="宋体" w:hAnsi="宋体" w:cs="宋体"/>
                <w:color w:val="auto"/>
              </w:rPr>
              <w:t>质量要求</w:t>
            </w:r>
          </w:p>
        </w:tc>
        <w:tc>
          <w:tcPr>
            <w:tcW w:w="7780" w:type="dxa"/>
            <w:vAlign w:val="center"/>
          </w:tcPr>
          <w:p>
            <w:pPr>
              <w:snapToGrid w:val="0"/>
              <w:spacing w:line="440" w:lineRule="exact"/>
              <w:rPr>
                <w:rFonts w:ascii="宋体" w:hAnsi="宋体" w:cs="宋体"/>
                <w:color w:val="auto"/>
              </w:rPr>
            </w:pPr>
            <w:r>
              <w:rPr>
                <w:rFonts w:hint="eastAsia" w:ascii="宋体" w:hAnsi="宋体" w:cs="宋体"/>
                <w:color w:val="auto"/>
              </w:rPr>
              <w:t>必须符合国家相关法律法规、地方标准及本招标文件要求。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6" w:type="dxa"/>
            <w:vAlign w:val="center"/>
          </w:tcPr>
          <w:p>
            <w:pPr>
              <w:spacing w:line="440" w:lineRule="exact"/>
              <w:jc w:val="center"/>
              <w:rPr>
                <w:rFonts w:ascii="宋体" w:hAnsi="宋体" w:cs="宋体"/>
                <w:color w:val="auto"/>
              </w:rPr>
            </w:pPr>
            <w:r>
              <w:rPr>
                <w:rFonts w:hint="eastAsia" w:ascii="宋体" w:hAnsi="宋体" w:cs="宋体"/>
                <w:color w:val="auto"/>
              </w:rPr>
              <w:t>7</w:t>
            </w:r>
          </w:p>
        </w:tc>
        <w:tc>
          <w:tcPr>
            <w:tcW w:w="1741" w:type="dxa"/>
            <w:vAlign w:val="center"/>
          </w:tcPr>
          <w:p>
            <w:pPr>
              <w:spacing w:line="440" w:lineRule="exact"/>
              <w:jc w:val="center"/>
              <w:rPr>
                <w:rFonts w:ascii="宋体" w:hAnsi="宋体" w:cs="宋体"/>
                <w:color w:val="auto"/>
              </w:rPr>
            </w:pPr>
            <w:r>
              <w:rPr>
                <w:rFonts w:hint="eastAsia" w:ascii="宋体" w:hAnsi="宋体" w:cs="宋体"/>
                <w:color w:val="auto"/>
              </w:rPr>
              <w:t>采购范围</w:t>
            </w:r>
          </w:p>
        </w:tc>
        <w:tc>
          <w:tcPr>
            <w:tcW w:w="7780" w:type="dxa"/>
            <w:vAlign w:val="center"/>
          </w:tcPr>
          <w:p>
            <w:pPr>
              <w:spacing w:line="440" w:lineRule="exact"/>
              <w:rPr>
                <w:rFonts w:ascii="宋体" w:hAnsi="宋体" w:cs="宋体"/>
                <w:color w:val="auto"/>
              </w:rPr>
            </w:pPr>
            <w:r>
              <w:rPr>
                <w:rFonts w:hint="eastAsia" w:ascii="宋体" w:hAnsi="宋体" w:cs="宋体"/>
                <w:color w:val="auto"/>
              </w:rPr>
              <w:t>见谈判文件第五部分采购内容及服务要求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6" w:type="dxa"/>
            <w:vAlign w:val="center"/>
          </w:tcPr>
          <w:p>
            <w:pPr>
              <w:spacing w:line="440" w:lineRule="exact"/>
              <w:jc w:val="center"/>
              <w:rPr>
                <w:rFonts w:ascii="宋体" w:hAnsi="宋体" w:cs="宋体"/>
                <w:color w:val="auto"/>
              </w:rPr>
            </w:pPr>
            <w:r>
              <w:rPr>
                <w:rFonts w:hint="eastAsia" w:ascii="宋体" w:hAnsi="宋体" w:cs="宋体"/>
                <w:color w:val="auto"/>
              </w:rPr>
              <w:t>8</w:t>
            </w:r>
          </w:p>
        </w:tc>
        <w:tc>
          <w:tcPr>
            <w:tcW w:w="1741" w:type="dxa"/>
            <w:vAlign w:val="center"/>
          </w:tcPr>
          <w:p>
            <w:pPr>
              <w:spacing w:line="440" w:lineRule="exact"/>
              <w:jc w:val="center"/>
              <w:rPr>
                <w:rFonts w:ascii="宋体" w:hAnsi="宋体" w:cs="宋体"/>
                <w:color w:val="auto"/>
              </w:rPr>
            </w:pPr>
            <w:r>
              <w:rPr>
                <w:rFonts w:hint="eastAsia" w:ascii="宋体" w:hAnsi="宋体" w:cs="宋体"/>
                <w:color w:val="auto"/>
              </w:rPr>
              <w:t>谈判有效期</w:t>
            </w:r>
          </w:p>
        </w:tc>
        <w:tc>
          <w:tcPr>
            <w:tcW w:w="7780" w:type="dxa"/>
            <w:vAlign w:val="center"/>
          </w:tcPr>
          <w:p>
            <w:pPr>
              <w:spacing w:line="440" w:lineRule="exact"/>
              <w:rPr>
                <w:rFonts w:ascii="宋体" w:hAnsi="宋体" w:cs="宋体"/>
                <w:color w:val="auto"/>
              </w:rPr>
            </w:pPr>
            <w:r>
              <w:rPr>
                <w:rFonts w:hint="eastAsia" w:ascii="宋体" w:hAnsi="宋体" w:cs="宋体"/>
                <w:color w:val="auto"/>
              </w:rPr>
              <w:t>60日历天（从提交响应文件截止之日算起）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746" w:type="dxa"/>
            <w:vAlign w:val="center"/>
          </w:tcPr>
          <w:p>
            <w:pPr>
              <w:spacing w:line="440" w:lineRule="exact"/>
              <w:jc w:val="center"/>
              <w:rPr>
                <w:rFonts w:ascii="宋体" w:hAnsi="宋体" w:cs="宋体"/>
                <w:color w:val="auto"/>
              </w:rPr>
            </w:pPr>
            <w:r>
              <w:rPr>
                <w:rFonts w:hint="eastAsia" w:ascii="宋体" w:hAnsi="宋体" w:cs="宋体"/>
                <w:color w:val="auto"/>
              </w:rPr>
              <w:t>9</w:t>
            </w:r>
          </w:p>
        </w:tc>
        <w:tc>
          <w:tcPr>
            <w:tcW w:w="1741" w:type="dxa"/>
            <w:vAlign w:val="center"/>
          </w:tcPr>
          <w:p>
            <w:pPr>
              <w:spacing w:line="440" w:lineRule="exact"/>
              <w:jc w:val="center"/>
              <w:rPr>
                <w:rFonts w:ascii="宋体" w:hAnsi="宋体" w:cs="宋体"/>
                <w:color w:val="auto"/>
              </w:rPr>
            </w:pPr>
            <w:r>
              <w:rPr>
                <w:rFonts w:hint="eastAsia" w:ascii="宋体" w:hAnsi="宋体" w:cs="宋体"/>
                <w:color w:val="auto"/>
              </w:rPr>
              <w:t>采购预算</w:t>
            </w:r>
          </w:p>
        </w:tc>
        <w:tc>
          <w:tcPr>
            <w:tcW w:w="7780" w:type="dxa"/>
            <w:vAlign w:val="center"/>
          </w:tcPr>
          <w:p>
            <w:pPr>
              <w:pStyle w:val="131"/>
              <w:autoSpaceDE/>
              <w:autoSpaceDN/>
              <w:adjustRightInd/>
              <w:spacing w:line="440" w:lineRule="exact"/>
              <w:jc w:val="both"/>
              <w:rPr>
                <w:color w:val="auto"/>
                <w:sz w:val="21"/>
                <w:szCs w:val="21"/>
              </w:rPr>
            </w:pPr>
            <w:r>
              <w:rPr>
                <w:rFonts w:hint="eastAsia"/>
                <w:color w:val="auto"/>
                <w:sz w:val="21"/>
                <w:szCs w:val="21"/>
                <w:lang w:val="zh-CN"/>
              </w:rPr>
              <w:t>项目概算</w:t>
            </w:r>
            <w:r>
              <w:rPr>
                <w:rFonts w:hint="eastAsia"/>
                <w:color w:val="auto"/>
                <w:sz w:val="21"/>
                <w:szCs w:val="21"/>
              </w:rPr>
              <w:t>2</w:t>
            </w:r>
            <w:r>
              <w:rPr>
                <w:rFonts w:hint="eastAsia"/>
                <w:color w:val="auto"/>
                <w:sz w:val="21"/>
                <w:szCs w:val="21"/>
                <w:lang w:val="en-US" w:eastAsia="zh-CN"/>
              </w:rPr>
              <w:t>8</w:t>
            </w:r>
            <w:r>
              <w:rPr>
                <w:rFonts w:hint="eastAsia"/>
                <w:color w:val="auto"/>
                <w:sz w:val="21"/>
                <w:szCs w:val="21"/>
              </w:rPr>
              <w:t>万</w:t>
            </w:r>
            <w:r>
              <w:rPr>
                <w:rFonts w:hint="eastAsia"/>
                <w:color w:val="auto"/>
                <w:sz w:val="21"/>
                <w:szCs w:val="21"/>
                <w:lang w:val="zh-CN"/>
              </w:rPr>
              <w:t>元，超过预算的报价无效。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746" w:type="dxa"/>
            <w:vAlign w:val="center"/>
          </w:tcPr>
          <w:p>
            <w:pPr>
              <w:spacing w:line="440" w:lineRule="exact"/>
              <w:jc w:val="center"/>
              <w:rPr>
                <w:rFonts w:ascii="宋体" w:hAnsi="宋体" w:cs="宋体"/>
                <w:color w:val="auto"/>
              </w:rPr>
            </w:pPr>
            <w:r>
              <w:rPr>
                <w:rFonts w:hint="eastAsia" w:ascii="宋体" w:hAnsi="宋体" w:cs="宋体"/>
                <w:color w:val="auto"/>
              </w:rPr>
              <w:t>10</w:t>
            </w:r>
          </w:p>
        </w:tc>
        <w:tc>
          <w:tcPr>
            <w:tcW w:w="1741" w:type="dxa"/>
            <w:vAlign w:val="center"/>
          </w:tcPr>
          <w:p>
            <w:pPr>
              <w:widowControl/>
              <w:spacing w:line="440" w:lineRule="exact"/>
              <w:rPr>
                <w:rFonts w:ascii="宋体" w:hAnsi="宋体" w:cs="宋体"/>
                <w:color w:val="auto"/>
              </w:rPr>
            </w:pPr>
            <w:r>
              <w:rPr>
                <w:rFonts w:hint="eastAsia" w:ascii="宋体" w:hAnsi="宋体" w:cs="宋体"/>
                <w:color w:val="auto"/>
                <w:kern w:val="0"/>
              </w:rPr>
              <w:t>供应商资格要求</w:t>
            </w:r>
          </w:p>
        </w:tc>
        <w:tc>
          <w:tcPr>
            <w:tcW w:w="7780" w:type="dxa"/>
            <w:vAlign w:val="center"/>
          </w:tcPr>
          <w:p>
            <w:pPr>
              <w:widowControl/>
              <w:spacing w:line="440" w:lineRule="exact"/>
              <w:jc w:val="left"/>
              <w:rPr>
                <w:color w:val="auto"/>
              </w:rPr>
            </w:pPr>
            <w:r>
              <w:rPr>
                <w:rFonts w:hint="eastAsia"/>
                <w:color w:val="auto"/>
              </w:rPr>
              <w:t xml:space="preserve">1、供应商具有合法有效的营业执照、组织机构代码证、税务登记证（三证合一的营业执照）。 </w:t>
            </w:r>
          </w:p>
          <w:p>
            <w:pPr>
              <w:widowControl/>
              <w:spacing w:line="440" w:lineRule="exact"/>
              <w:jc w:val="left"/>
              <w:rPr>
                <w:rFonts w:hAnsi="宋体" w:cs="宋体"/>
                <w:color w:val="auto"/>
              </w:rPr>
            </w:pPr>
            <w:r>
              <w:rPr>
                <w:rFonts w:hint="eastAsia" w:hAnsi="宋体" w:cs="宋体"/>
                <w:color w:val="auto"/>
              </w:rPr>
              <w:t>2.信誉要求：供应商不得存在以下情形：</w:t>
            </w:r>
          </w:p>
          <w:p>
            <w:pPr>
              <w:widowControl/>
              <w:spacing w:line="440" w:lineRule="exact"/>
              <w:jc w:val="left"/>
              <w:rPr>
                <w:rFonts w:hAnsi="宋体" w:cs="宋体"/>
                <w:color w:val="auto"/>
              </w:rPr>
            </w:pPr>
            <w:r>
              <w:rPr>
                <w:rFonts w:hint="eastAsia" w:hAnsi="宋体" w:cs="宋体"/>
                <w:color w:val="auto"/>
              </w:rPr>
              <w:t>①供应商被人民法院列入失信被执行人的；</w:t>
            </w:r>
          </w:p>
          <w:p>
            <w:pPr>
              <w:widowControl/>
              <w:spacing w:line="440" w:lineRule="exact"/>
              <w:jc w:val="left"/>
              <w:rPr>
                <w:rFonts w:hAnsi="宋体" w:cs="宋体"/>
                <w:color w:val="auto"/>
              </w:rPr>
            </w:pPr>
            <w:r>
              <w:rPr>
                <w:rFonts w:hint="eastAsia" w:hAnsi="宋体" w:cs="宋体"/>
                <w:color w:val="auto"/>
              </w:rPr>
              <w:t>②供应商或其法定代表人被人民检察院列入行贿犯罪档案的；</w:t>
            </w:r>
          </w:p>
          <w:p>
            <w:pPr>
              <w:widowControl/>
              <w:spacing w:line="440" w:lineRule="exact"/>
              <w:jc w:val="left"/>
              <w:rPr>
                <w:rFonts w:hAnsi="宋体" w:cs="宋体"/>
                <w:color w:val="auto"/>
              </w:rPr>
            </w:pPr>
            <w:r>
              <w:rPr>
                <w:rFonts w:hint="eastAsia" w:hAnsi="宋体" w:cs="宋体"/>
                <w:color w:val="auto"/>
              </w:rPr>
              <w:t>③供应商被市场监督管理部门列入经营异常名录或者严重违法企业名单的；</w:t>
            </w:r>
          </w:p>
          <w:p>
            <w:pPr>
              <w:widowControl/>
              <w:spacing w:line="440" w:lineRule="exact"/>
              <w:jc w:val="left"/>
              <w:rPr>
                <w:rFonts w:hAnsi="宋体" w:cs="宋体"/>
                <w:color w:val="auto"/>
              </w:rPr>
            </w:pPr>
            <w:r>
              <w:rPr>
                <w:rFonts w:hint="eastAsia" w:hAnsi="宋体" w:cs="宋体"/>
                <w:color w:val="auto"/>
              </w:rPr>
              <w:t>④供应商被税收部门列入重大税收违法案件当事人的；</w:t>
            </w:r>
          </w:p>
          <w:p>
            <w:pPr>
              <w:widowControl/>
              <w:spacing w:line="440" w:lineRule="exact"/>
              <w:jc w:val="left"/>
              <w:rPr>
                <w:rFonts w:hAnsi="宋体" w:cs="宋体"/>
                <w:color w:val="auto"/>
              </w:rPr>
            </w:pPr>
            <w:r>
              <w:rPr>
                <w:rFonts w:hint="eastAsia" w:hAnsi="宋体" w:cs="宋体"/>
                <w:color w:val="auto"/>
              </w:rPr>
              <w:t>⑤供应商被采购监管部门列入采购严重违法失信行为记录名单的；</w:t>
            </w:r>
          </w:p>
          <w:p>
            <w:pPr>
              <w:widowControl/>
              <w:spacing w:line="440" w:lineRule="exact"/>
              <w:jc w:val="left"/>
              <w:rPr>
                <w:rFonts w:hAnsi="宋体" w:cs="宋体"/>
                <w:color w:val="auto"/>
              </w:rPr>
            </w:pPr>
            <w:r>
              <w:rPr>
                <w:rFonts w:hint="eastAsia" w:hAnsi="宋体" w:cs="宋体"/>
                <w:color w:val="auto"/>
              </w:rPr>
              <w:t>⑥在“信用中国”网站上披露仍在公示期的严重失信行为的；</w:t>
            </w:r>
          </w:p>
          <w:p>
            <w:pPr>
              <w:widowControl/>
              <w:spacing w:line="440" w:lineRule="exact"/>
              <w:jc w:val="left"/>
              <w:rPr>
                <w:rFonts w:hAnsi="宋体" w:cs="宋体"/>
                <w:color w:val="auto"/>
              </w:rPr>
            </w:pPr>
            <w:r>
              <w:rPr>
                <w:rFonts w:hint="eastAsia" w:hAnsi="宋体" w:cs="宋体"/>
                <w:color w:val="auto"/>
              </w:rPr>
              <w:t xml:space="preserve">⑦被滁州市县两级行业主管部门及公管部门禁止在一定期限内参加采购活动且在禁止期限内的； </w:t>
            </w:r>
          </w:p>
          <w:p>
            <w:pPr>
              <w:widowControl/>
              <w:spacing w:line="440" w:lineRule="exact"/>
              <w:jc w:val="left"/>
              <w:rPr>
                <w:rFonts w:hAnsi="宋体" w:cs="宋体"/>
                <w:color w:val="auto"/>
              </w:rPr>
            </w:pPr>
            <w:r>
              <w:rPr>
                <w:rFonts w:hint="eastAsia" w:hAnsi="宋体" w:cs="宋体"/>
                <w:color w:val="auto"/>
              </w:rPr>
              <w:t>⑧被滁州市县两级公管部门记入不良行为记录或者信用信息记录，且在披露期内的；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46" w:type="dxa"/>
            <w:vAlign w:val="center"/>
          </w:tcPr>
          <w:p>
            <w:pPr>
              <w:spacing w:line="440" w:lineRule="exact"/>
              <w:jc w:val="left"/>
              <w:rPr>
                <w:rFonts w:ascii="宋体" w:hAnsi="宋体" w:cs="宋体"/>
                <w:color w:val="auto"/>
              </w:rPr>
            </w:pPr>
            <w:r>
              <w:rPr>
                <w:rFonts w:hint="eastAsia" w:ascii="宋体" w:hAnsi="宋体" w:cs="宋体"/>
                <w:color w:val="auto"/>
              </w:rPr>
              <w:t>11</w:t>
            </w:r>
          </w:p>
        </w:tc>
        <w:tc>
          <w:tcPr>
            <w:tcW w:w="1741" w:type="dxa"/>
            <w:vAlign w:val="center"/>
          </w:tcPr>
          <w:p>
            <w:pPr>
              <w:spacing w:line="440" w:lineRule="exact"/>
              <w:jc w:val="left"/>
              <w:rPr>
                <w:rFonts w:ascii="宋体" w:hAnsi="宋体" w:cs="宋体"/>
                <w:color w:val="auto"/>
              </w:rPr>
            </w:pPr>
            <w:r>
              <w:rPr>
                <w:rFonts w:hint="eastAsia" w:ascii="宋体" w:hAnsi="宋体" w:cs="宋体"/>
                <w:color w:val="auto"/>
              </w:rPr>
              <w:t>谈判保证金</w:t>
            </w:r>
          </w:p>
        </w:tc>
        <w:tc>
          <w:tcPr>
            <w:tcW w:w="7780" w:type="dxa"/>
            <w:vAlign w:val="center"/>
          </w:tcPr>
          <w:p>
            <w:pPr>
              <w:spacing w:line="440" w:lineRule="exact"/>
              <w:jc w:val="left"/>
              <w:rPr>
                <w:rFonts w:ascii="宋体" w:hAnsi="宋体" w:cs="宋体"/>
                <w:color w:val="auto"/>
              </w:rPr>
            </w:pPr>
            <w:r>
              <w:rPr>
                <w:rFonts w:hint="eastAsia" w:ascii="宋体" w:hAnsi="宋体" w:cs="宋体"/>
                <w:color w:val="auto"/>
              </w:rPr>
              <w:t>本项目不采用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46" w:type="dxa"/>
            <w:vAlign w:val="center"/>
          </w:tcPr>
          <w:p>
            <w:pPr>
              <w:spacing w:line="440" w:lineRule="exact"/>
              <w:jc w:val="left"/>
              <w:rPr>
                <w:rFonts w:ascii="宋体" w:hAnsi="宋体" w:cs="宋体"/>
                <w:color w:val="auto"/>
              </w:rPr>
            </w:pPr>
            <w:r>
              <w:rPr>
                <w:rFonts w:hint="eastAsia" w:ascii="宋体" w:hAnsi="宋体" w:cs="宋体"/>
                <w:color w:val="auto"/>
              </w:rPr>
              <w:t>12</w:t>
            </w:r>
          </w:p>
        </w:tc>
        <w:tc>
          <w:tcPr>
            <w:tcW w:w="1741" w:type="dxa"/>
            <w:vAlign w:val="center"/>
          </w:tcPr>
          <w:p>
            <w:pPr>
              <w:spacing w:line="440" w:lineRule="exact"/>
              <w:jc w:val="center"/>
              <w:rPr>
                <w:rFonts w:ascii="宋体" w:hAnsi="宋体" w:cs="宋体"/>
                <w:color w:val="auto"/>
              </w:rPr>
            </w:pPr>
            <w:r>
              <w:rPr>
                <w:rFonts w:hint="eastAsia" w:ascii="宋体" w:hAnsi="宋体" w:cs="宋体"/>
                <w:color w:val="auto"/>
                <w:kern w:val="0"/>
              </w:rPr>
              <w:t>质疑答疑</w:t>
            </w:r>
          </w:p>
        </w:tc>
        <w:tc>
          <w:tcPr>
            <w:tcW w:w="7780" w:type="dxa"/>
            <w:vAlign w:val="center"/>
          </w:tcPr>
          <w:p>
            <w:pPr>
              <w:spacing w:line="440" w:lineRule="exact"/>
              <w:rPr>
                <w:rFonts w:ascii="宋体" w:hAnsi="宋体" w:cs="宋体"/>
                <w:b/>
                <w:bCs/>
                <w:color w:val="auto"/>
              </w:rPr>
            </w:pPr>
            <w:r>
              <w:rPr>
                <w:rFonts w:hint="eastAsia" w:ascii="宋体" w:hAnsi="宋体" w:cs="宋体"/>
                <w:bCs/>
                <w:color w:val="auto"/>
              </w:rPr>
              <w:t>请于</w:t>
            </w:r>
            <w:r>
              <w:rPr>
                <w:rFonts w:hint="eastAsia" w:ascii="宋体" w:hAnsi="宋体" w:cs="宋体"/>
                <w:b/>
                <w:color w:val="auto"/>
              </w:rPr>
              <w:t>2023年</w:t>
            </w:r>
            <w:r>
              <w:rPr>
                <w:rFonts w:hint="eastAsia" w:ascii="宋体" w:hAnsi="宋体" w:cs="宋体"/>
                <w:b/>
                <w:color w:val="auto"/>
                <w:lang w:val="en-US" w:eastAsia="zh-CN"/>
              </w:rPr>
              <w:t>5</w:t>
            </w:r>
            <w:r>
              <w:rPr>
                <w:rFonts w:hint="eastAsia" w:ascii="宋体" w:hAnsi="宋体" w:cs="宋体"/>
                <w:b/>
                <w:color w:val="auto"/>
              </w:rPr>
              <w:t>月</w:t>
            </w:r>
            <w:r>
              <w:rPr>
                <w:rFonts w:hint="eastAsia" w:ascii="宋体" w:hAnsi="宋体" w:cs="宋体"/>
                <w:b/>
                <w:color w:val="auto"/>
                <w:lang w:val="en-US" w:eastAsia="zh-CN"/>
              </w:rPr>
              <w:t>21</w:t>
            </w:r>
            <w:r>
              <w:rPr>
                <w:color w:val="auto"/>
              </w:rPr>
              <w:fldChar w:fldCharType="begin"/>
            </w:r>
            <w:r>
              <w:rPr>
                <w:color w:val="auto"/>
              </w:rPr>
              <w:instrText xml:space="preserve"> HYPERLINK "mailto:日17时前，将疑问以书面形式（加盖公章）送至滁州学院资产与设备处（会峰校区行政楼220）或以邮件的形式发送至(603727167@qq.com)邮箱，招标人将在2019年11月" </w:instrText>
            </w:r>
            <w:r>
              <w:rPr>
                <w:color w:val="auto"/>
              </w:rPr>
              <w:fldChar w:fldCharType="separate"/>
            </w:r>
            <w:r>
              <w:rPr>
                <w:rStyle w:val="54"/>
                <w:rFonts w:hint="eastAsia" w:ascii="宋体" w:hAnsi="宋体" w:cs="宋体"/>
                <w:b/>
                <w:color w:val="auto"/>
              </w:rPr>
              <w:t>日17时前</w:t>
            </w:r>
            <w:r>
              <w:rPr>
                <w:rStyle w:val="54"/>
                <w:rFonts w:hint="eastAsia" w:ascii="宋体" w:hAnsi="宋体" w:cs="宋体"/>
                <w:bCs/>
                <w:color w:val="auto"/>
              </w:rPr>
              <w:t>，将疑问以书面形式（加盖公章）送至资产与实验室管理处（会峰校区行政楼220）或以邮件的形式发送至(909673365@qq.com)代理邮箱，采购人将在</w:t>
            </w:r>
            <w:r>
              <w:rPr>
                <w:rStyle w:val="54"/>
                <w:rFonts w:hint="eastAsia" w:ascii="宋体" w:hAnsi="宋体" w:cs="宋体"/>
                <w:b/>
                <w:color w:val="auto"/>
              </w:rPr>
              <w:t>2023年</w:t>
            </w:r>
            <w:r>
              <w:rPr>
                <w:rStyle w:val="54"/>
                <w:rFonts w:hint="eastAsia" w:ascii="宋体" w:hAnsi="宋体" w:cs="宋体"/>
                <w:b/>
                <w:color w:val="auto"/>
                <w:lang w:val="en-US" w:eastAsia="zh-CN"/>
              </w:rPr>
              <w:t>5</w:t>
            </w:r>
            <w:r>
              <w:rPr>
                <w:rStyle w:val="54"/>
                <w:rFonts w:hint="eastAsia" w:ascii="宋体" w:hAnsi="宋体" w:cs="宋体"/>
                <w:b/>
                <w:color w:val="auto"/>
              </w:rPr>
              <w:t>月</w:t>
            </w:r>
            <w:r>
              <w:rPr>
                <w:rStyle w:val="54"/>
                <w:rFonts w:hint="eastAsia" w:ascii="宋体" w:hAnsi="宋体" w:cs="宋体"/>
                <w:b/>
                <w:color w:val="auto"/>
              </w:rPr>
              <w:fldChar w:fldCharType="end"/>
            </w:r>
            <w:r>
              <w:rPr>
                <w:rFonts w:hint="eastAsia" w:ascii="宋体" w:hAnsi="宋体" w:cs="宋体"/>
                <w:b/>
                <w:color w:val="auto"/>
                <w:lang w:val="en-US" w:eastAsia="zh-CN"/>
              </w:rPr>
              <w:t>22</w:t>
            </w:r>
            <w:r>
              <w:rPr>
                <w:rFonts w:hint="eastAsia" w:ascii="宋体" w:hAnsi="宋体" w:cs="宋体"/>
                <w:b/>
                <w:color w:val="auto"/>
              </w:rPr>
              <w:t>日17时前</w:t>
            </w:r>
            <w:r>
              <w:rPr>
                <w:rFonts w:hint="eastAsia" w:ascii="宋体" w:hAnsi="宋体" w:cs="宋体"/>
                <w:bCs/>
                <w:color w:val="auto"/>
              </w:rPr>
              <w:t>以澄清公告形式在滁州学院网站（http://zcc.chzu.edu.cn）资产与实验室管理处网页采购公告栏，请各潜在投标人注意查看有关澄清内容，如不及时查看造成后果由投标人自负。</w:t>
            </w:r>
          </w:p>
          <w:p>
            <w:pPr>
              <w:widowControl/>
              <w:spacing w:line="440" w:lineRule="exact"/>
              <w:ind w:left="-15" w:leftChars="-7" w:right="-2" w:firstLine="15" w:firstLineChars="7"/>
              <w:jc w:val="left"/>
              <w:rPr>
                <w:rFonts w:ascii="宋体" w:hAnsi="宋体" w:cs="宋体"/>
                <w:color w:val="auto"/>
              </w:rPr>
            </w:pPr>
            <w:r>
              <w:rPr>
                <w:rFonts w:hint="eastAsia" w:ascii="宋体" w:hAnsi="宋体" w:cs="宋体"/>
                <w:b/>
                <w:color w:val="auto"/>
              </w:rPr>
              <w:t>各投标单位请注意：</w:t>
            </w:r>
            <w:r>
              <w:rPr>
                <w:rFonts w:hint="eastAsia" w:ascii="宋体" w:hAnsi="宋体" w:cs="宋体"/>
                <w:bCs/>
                <w:color w:val="auto"/>
              </w:rPr>
              <w:t>采购代理机构对招标文件进行的澄清、更正或更改，将在网站上及时发布，该公告内容为招标文件的组成部分，对供应商具有同样约束力效力。供应商应主动上网查询。采购代理机构不承担供应商未及时关注相关信息引发的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46" w:type="dxa"/>
            <w:vAlign w:val="center"/>
          </w:tcPr>
          <w:p>
            <w:pPr>
              <w:spacing w:line="440" w:lineRule="exact"/>
              <w:jc w:val="left"/>
              <w:rPr>
                <w:rFonts w:ascii="宋体" w:hAnsi="宋体" w:cs="宋体"/>
                <w:color w:val="auto"/>
              </w:rPr>
            </w:pPr>
            <w:r>
              <w:rPr>
                <w:rFonts w:hint="eastAsia" w:ascii="宋体" w:hAnsi="宋体" w:cs="宋体"/>
                <w:color w:val="auto"/>
              </w:rPr>
              <w:t>13</w:t>
            </w:r>
          </w:p>
        </w:tc>
        <w:tc>
          <w:tcPr>
            <w:tcW w:w="1741" w:type="dxa"/>
            <w:vAlign w:val="center"/>
          </w:tcPr>
          <w:p>
            <w:pPr>
              <w:spacing w:line="440" w:lineRule="exact"/>
              <w:jc w:val="left"/>
              <w:rPr>
                <w:rFonts w:ascii="宋体" w:hAnsi="宋体" w:cs="宋体"/>
                <w:color w:val="auto"/>
              </w:rPr>
            </w:pPr>
            <w:r>
              <w:rPr>
                <w:rFonts w:hint="eastAsia" w:ascii="宋体" w:hAnsi="宋体" w:cs="宋体"/>
                <w:color w:val="auto"/>
              </w:rPr>
              <w:t>联合体谈判</w:t>
            </w:r>
          </w:p>
        </w:tc>
        <w:tc>
          <w:tcPr>
            <w:tcW w:w="7780" w:type="dxa"/>
            <w:vAlign w:val="center"/>
          </w:tcPr>
          <w:p>
            <w:pPr>
              <w:spacing w:line="440" w:lineRule="exact"/>
              <w:jc w:val="left"/>
              <w:rPr>
                <w:rFonts w:ascii="宋体" w:hAnsi="宋体" w:cs="宋体"/>
                <w:color w:val="auto"/>
              </w:rPr>
            </w:pPr>
            <w:r>
              <w:rPr>
                <w:rFonts w:hint="eastAsia" w:ascii="宋体" w:hAnsi="宋体" w:cs="宋体"/>
                <w:color w:val="auto"/>
              </w:rPr>
              <w:t>本次采购不接受联合体供应商参加谈判。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46" w:type="dxa"/>
            <w:vAlign w:val="center"/>
          </w:tcPr>
          <w:p>
            <w:pPr>
              <w:spacing w:line="440" w:lineRule="exact"/>
              <w:jc w:val="left"/>
              <w:rPr>
                <w:rFonts w:ascii="宋体" w:hAnsi="宋体" w:cs="宋体"/>
                <w:color w:val="auto"/>
              </w:rPr>
            </w:pPr>
            <w:r>
              <w:rPr>
                <w:rFonts w:hint="eastAsia" w:ascii="宋体" w:hAnsi="宋体" w:cs="宋体"/>
                <w:color w:val="auto"/>
              </w:rPr>
              <w:t>14</w:t>
            </w:r>
          </w:p>
        </w:tc>
        <w:tc>
          <w:tcPr>
            <w:tcW w:w="1741" w:type="dxa"/>
            <w:vAlign w:val="center"/>
          </w:tcPr>
          <w:p>
            <w:pPr>
              <w:spacing w:line="440" w:lineRule="exact"/>
              <w:jc w:val="left"/>
              <w:rPr>
                <w:rFonts w:ascii="宋体" w:hAnsi="宋体" w:cs="宋体"/>
                <w:b/>
                <w:bCs/>
                <w:color w:val="auto"/>
              </w:rPr>
            </w:pPr>
            <w:r>
              <w:rPr>
                <w:rFonts w:hint="eastAsia" w:ascii="宋体" w:hAnsi="宋体" w:cs="宋体"/>
                <w:b/>
                <w:bCs/>
                <w:color w:val="auto"/>
              </w:rPr>
              <w:t>响应文件份数</w:t>
            </w:r>
          </w:p>
        </w:tc>
        <w:tc>
          <w:tcPr>
            <w:tcW w:w="7780" w:type="dxa"/>
            <w:vAlign w:val="center"/>
          </w:tcPr>
          <w:p>
            <w:pPr>
              <w:spacing w:line="440" w:lineRule="exact"/>
              <w:jc w:val="left"/>
              <w:rPr>
                <w:rFonts w:hint="eastAsia" w:ascii="宋体" w:hAnsi="宋体" w:eastAsia="宋体" w:cs="宋体"/>
                <w:b/>
                <w:bCs/>
                <w:color w:val="auto"/>
                <w:lang w:eastAsia="zh-CN"/>
              </w:rPr>
            </w:pPr>
            <w:r>
              <w:rPr>
                <w:rFonts w:hint="eastAsia" w:ascii="宋体" w:hAnsi="宋体" w:cs="宋体"/>
                <w:b/>
                <w:bCs/>
                <w:color w:val="auto"/>
              </w:rPr>
              <w:t>正本一份，副本两份；</w:t>
            </w:r>
            <w:r>
              <w:rPr>
                <w:rFonts w:hint="eastAsia" w:ascii="宋体" w:hAnsi="宋体" w:cs="宋体"/>
                <w:b/>
                <w:bCs/>
                <w:color w:val="auto"/>
                <w:lang w:eastAsia="zh-CN"/>
              </w:rPr>
              <w:t>资信证明文件正副本一个包装，技术文件正副本一个包装，商务正副本一个包装。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6" w:type="dxa"/>
            <w:vAlign w:val="center"/>
          </w:tcPr>
          <w:p>
            <w:pPr>
              <w:spacing w:line="440" w:lineRule="exact"/>
              <w:jc w:val="left"/>
              <w:rPr>
                <w:rFonts w:ascii="宋体" w:hAnsi="宋体" w:cs="宋体"/>
                <w:color w:val="auto"/>
              </w:rPr>
            </w:pPr>
            <w:r>
              <w:rPr>
                <w:rFonts w:hint="eastAsia" w:ascii="宋体" w:hAnsi="宋体" w:cs="宋体"/>
                <w:color w:val="auto"/>
              </w:rPr>
              <w:t>15</w:t>
            </w:r>
          </w:p>
        </w:tc>
        <w:tc>
          <w:tcPr>
            <w:tcW w:w="1741" w:type="dxa"/>
            <w:vAlign w:val="center"/>
          </w:tcPr>
          <w:p>
            <w:pPr>
              <w:spacing w:line="440" w:lineRule="exact"/>
              <w:jc w:val="left"/>
              <w:rPr>
                <w:rFonts w:ascii="宋体" w:hAnsi="宋体" w:cs="宋体"/>
                <w:color w:val="auto"/>
              </w:rPr>
            </w:pPr>
            <w:r>
              <w:rPr>
                <w:rFonts w:hint="eastAsia" w:ascii="宋体" w:hAnsi="宋体" w:cs="宋体"/>
                <w:color w:val="auto"/>
              </w:rPr>
              <w:t>封套上写明</w:t>
            </w:r>
          </w:p>
        </w:tc>
        <w:tc>
          <w:tcPr>
            <w:tcW w:w="7780" w:type="dxa"/>
            <w:vAlign w:val="center"/>
          </w:tcPr>
          <w:p>
            <w:pPr>
              <w:spacing w:line="440" w:lineRule="exact"/>
              <w:jc w:val="left"/>
              <w:rPr>
                <w:rFonts w:ascii="宋体" w:hAnsi="宋体" w:cs="宋体"/>
                <w:color w:val="auto"/>
              </w:rPr>
            </w:pPr>
            <w:r>
              <w:rPr>
                <w:rFonts w:hint="eastAsia" w:ascii="宋体" w:hAnsi="宋体" w:cs="宋体"/>
                <w:color w:val="auto"/>
              </w:rPr>
              <w:t>1、供应商名称以及标注“正本”或 “副本”字样，密封处应加盖单位公章。</w:t>
            </w:r>
          </w:p>
          <w:p>
            <w:pPr>
              <w:spacing w:line="440" w:lineRule="exact"/>
              <w:jc w:val="left"/>
              <w:rPr>
                <w:rFonts w:ascii="宋体" w:hAnsi="宋体" w:cs="宋体"/>
                <w:color w:val="auto"/>
              </w:rPr>
            </w:pPr>
            <w:r>
              <w:rPr>
                <w:rFonts w:hint="eastAsia" w:ascii="宋体" w:hAnsi="宋体" w:cs="宋体"/>
                <w:color w:val="auto"/>
              </w:rPr>
              <w:t xml:space="preserve">2、项目名称：                        </w:t>
            </w:r>
          </w:p>
          <w:p>
            <w:pPr>
              <w:spacing w:line="440" w:lineRule="exact"/>
              <w:jc w:val="left"/>
              <w:rPr>
                <w:rFonts w:ascii="宋体" w:hAnsi="宋体" w:cs="宋体"/>
                <w:color w:val="auto"/>
              </w:rPr>
            </w:pPr>
            <w:r>
              <w:rPr>
                <w:rFonts w:hint="eastAsia" w:ascii="宋体" w:hAnsi="宋体" w:cs="宋体"/>
                <w:color w:val="auto"/>
              </w:rPr>
              <w:t>3、标明 “请勿在(填入前附表中规定的谈判日期和时间)之前启封”字样。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46" w:type="dxa"/>
            <w:vAlign w:val="center"/>
          </w:tcPr>
          <w:p>
            <w:pPr>
              <w:spacing w:line="440" w:lineRule="exact"/>
              <w:jc w:val="left"/>
              <w:rPr>
                <w:rFonts w:ascii="宋体" w:hAnsi="宋体" w:cs="宋体"/>
                <w:color w:val="auto"/>
              </w:rPr>
            </w:pPr>
            <w:r>
              <w:rPr>
                <w:rFonts w:hint="eastAsia" w:ascii="宋体" w:hAnsi="宋体" w:cs="宋体"/>
                <w:color w:val="auto"/>
              </w:rPr>
              <w:t>16</w:t>
            </w:r>
          </w:p>
        </w:tc>
        <w:tc>
          <w:tcPr>
            <w:tcW w:w="1741" w:type="dxa"/>
            <w:vAlign w:val="center"/>
          </w:tcPr>
          <w:p>
            <w:pPr>
              <w:pStyle w:val="26"/>
              <w:spacing w:line="440" w:lineRule="exact"/>
              <w:jc w:val="left"/>
              <w:rPr>
                <w:rFonts w:hAnsi="宋体" w:cs="宋体"/>
                <w:b/>
                <w:bCs/>
                <w:color w:val="auto"/>
                <w:kern w:val="2"/>
                <w:sz w:val="21"/>
              </w:rPr>
            </w:pPr>
            <w:r>
              <w:rPr>
                <w:rFonts w:hint="eastAsia" w:hAnsi="宋体" w:cs="宋体"/>
                <w:b/>
                <w:bCs/>
                <w:color w:val="auto"/>
                <w:kern w:val="2"/>
                <w:sz w:val="21"/>
              </w:rPr>
              <w:t>最高限价</w:t>
            </w:r>
          </w:p>
        </w:tc>
        <w:tc>
          <w:tcPr>
            <w:tcW w:w="7780" w:type="dxa"/>
            <w:vAlign w:val="center"/>
          </w:tcPr>
          <w:p>
            <w:pPr>
              <w:spacing w:line="440" w:lineRule="exact"/>
              <w:jc w:val="left"/>
              <w:rPr>
                <w:rFonts w:ascii="宋体" w:hAnsi="宋体" w:cs="宋体"/>
                <w:b/>
                <w:bCs/>
                <w:color w:val="auto"/>
                <w:lang w:val="zh-CN"/>
              </w:rPr>
            </w:pPr>
            <w:r>
              <w:rPr>
                <w:rFonts w:hint="eastAsia" w:ascii="宋体" w:hAnsi="宋体" w:cs="宋体"/>
                <w:b/>
                <w:bCs/>
                <w:color w:val="auto"/>
              </w:rPr>
              <w:t>贰拾</w:t>
            </w:r>
            <w:r>
              <w:rPr>
                <w:rFonts w:hint="eastAsia" w:ascii="宋体" w:hAnsi="宋体" w:cs="宋体"/>
                <w:b/>
                <w:bCs/>
                <w:color w:val="auto"/>
                <w:lang w:eastAsia="zh-CN"/>
              </w:rPr>
              <w:t>捌</w:t>
            </w:r>
            <w:r>
              <w:rPr>
                <w:rFonts w:hint="eastAsia" w:ascii="宋体" w:hAnsi="宋体" w:cs="宋体"/>
                <w:b/>
                <w:bCs/>
                <w:color w:val="auto"/>
              </w:rPr>
              <w:t>万玖仟元整</w:t>
            </w:r>
            <w:r>
              <w:rPr>
                <w:rFonts w:hint="eastAsia" w:ascii="宋体" w:hAnsi="宋体" w:cs="宋体"/>
                <w:b/>
                <w:bCs/>
                <w:color w:val="auto"/>
                <w:lang w:val="zh-CN"/>
              </w:rPr>
              <w:t>（</w:t>
            </w:r>
            <w:r>
              <w:rPr>
                <w:rFonts w:hint="eastAsia" w:ascii="宋体" w:hAnsi="宋体" w:cs="宋体"/>
                <w:b/>
                <w:bCs/>
                <w:color w:val="auto"/>
              </w:rPr>
              <w:t>2</w:t>
            </w:r>
            <w:r>
              <w:rPr>
                <w:rFonts w:hint="eastAsia" w:ascii="宋体" w:hAnsi="宋体" w:cs="宋体"/>
                <w:b/>
                <w:bCs/>
                <w:color w:val="auto"/>
                <w:lang w:val="en-US" w:eastAsia="zh-CN"/>
              </w:rPr>
              <w:t>8</w:t>
            </w:r>
            <w:r>
              <w:rPr>
                <w:rFonts w:hint="eastAsia" w:ascii="宋体" w:hAnsi="宋体" w:cs="宋体"/>
                <w:b/>
                <w:bCs/>
                <w:color w:val="auto"/>
              </w:rPr>
              <w:t>0000元</w:t>
            </w:r>
            <w:r>
              <w:rPr>
                <w:rFonts w:hint="eastAsia" w:ascii="宋体" w:hAnsi="宋体" w:cs="宋体"/>
                <w:b/>
                <w:bCs/>
                <w:color w:val="auto"/>
                <w:lang w:val="zh-CN"/>
              </w:rPr>
              <w:t>），供应商所报投标报价不得高于最高限价，否则将作为无效响应处理。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46" w:type="dxa"/>
            <w:vAlign w:val="center"/>
          </w:tcPr>
          <w:p>
            <w:pPr>
              <w:spacing w:line="440" w:lineRule="exact"/>
              <w:jc w:val="left"/>
              <w:rPr>
                <w:rFonts w:ascii="宋体" w:hAnsi="宋体" w:cs="宋体"/>
                <w:color w:val="auto"/>
              </w:rPr>
            </w:pPr>
            <w:r>
              <w:rPr>
                <w:rFonts w:hint="eastAsia" w:ascii="宋体" w:hAnsi="宋体" w:cs="宋体"/>
                <w:color w:val="auto"/>
              </w:rPr>
              <w:t>17</w:t>
            </w:r>
          </w:p>
        </w:tc>
        <w:tc>
          <w:tcPr>
            <w:tcW w:w="1741" w:type="dxa"/>
            <w:vAlign w:val="center"/>
          </w:tcPr>
          <w:p>
            <w:pPr>
              <w:spacing w:line="440" w:lineRule="exact"/>
              <w:jc w:val="left"/>
              <w:rPr>
                <w:rFonts w:ascii="宋体" w:hAnsi="宋体" w:cs="宋体"/>
                <w:color w:val="auto"/>
              </w:rPr>
            </w:pPr>
            <w:r>
              <w:rPr>
                <w:rFonts w:hint="eastAsia" w:ascii="宋体" w:hAnsi="宋体" w:cs="宋体"/>
                <w:color w:val="auto"/>
              </w:rPr>
              <w:t>现场踏勘</w:t>
            </w:r>
          </w:p>
        </w:tc>
        <w:tc>
          <w:tcPr>
            <w:tcW w:w="7780" w:type="dxa"/>
            <w:vAlign w:val="center"/>
          </w:tcPr>
          <w:p>
            <w:pPr>
              <w:spacing w:line="440" w:lineRule="exact"/>
              <w:jc w:val="left"/>
              <w:rPr>
                <w:rFonts w:ascii="宋体" w:hAnsi="宋体" w:cs="宋体"/>
                <w:color w:val="auto"/>
              </w:rPr>
            </w:pPr>
            <w:r>
              <w:rPr>
                <w:rFonts w:hint="eastAsia" w:ascii="宋体" w:hAnsi="宋体" w:cs="宋体"/>
                <w:color w:val="auto"/>
              </w:rPr>
              <w:t>供应商应自行仔细勘察现场，综合考虑现场情况，作出报价，由此发生的风险由供应商自行承担。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6" w:type="dxa"/>
            <w:vAlign w:val="center"/>
          </w:tcPr>
          <w:p>
            <w:pPr>
              <w:spacing w:line="440" w:lineRule="exact"/>
              <w:jc w:val="left"/>
              <w:rPr>
                <w:rFonts w:ascii="宋体" w:hAnsi="宋体" w:cs="宋体"/>
                <w:color w:val="auto"/>
              </w:rPr>
            </w:pPr>
            <w:r>
              <w:rPr>
                <w:rFonts w:hint="eastAsia" w:ascii="宋体" w:hAnsi="宋体" w:cs="宋体"/>
                <w:color w:val="auto"/>
              </w:rPr>
              <w:t>18</w:t>
            </w:r>
          </w:p>
        </w:tc>
        <w:tc>
          <w:tcPr>
            <w:tcW w:w="1741" w:type="dxa"/>
            <w:vAlign w:val="center"/>
          </w:tcPr>
          <w:p>
            <w:pPr>
              <w:spacing w:line="440" w:lineRule="exact"/>
              <w:jc w:val="left"/>
              <w:rPr>
                <w:rFonts w:ascii="宋体" w:hAnsi="宋体" w:cs="宋体"/>
                <w:color w:val="auto"/>
              </w:rPr>
            </w:pPr>
            <w:r>
              <w:rPr>
                <w:rFonts w:hint="eastAsia" w:ascii="宋体" w:hAnsi="宋体" w:cs="宋体"/>
                <w:color w:val="auto"/>
              </w:rPr>
              <w:t>装订、密封要求</w:t>
            </w:r>
          </w:p>
        </w:tc>
        <w:tc>
          <w:tcPr>
            <w:tcW w:w="7780" w:type="dxa"/>
            <w:vAlign w:val="center"/>
          </w:tcPr>
          <w:p>
            <w:pPr>
              <w:spacing w:line="440" w:lineRule="exact"/>
              <w:jc w:val="left"/>
              <w:rPr>
                <w:rFonts w:ascii="宋体" w:hAnsi="宋体" w:cs="宋体"/>
                <w:color w:val="auto"/>
              </w:rPr>
            </w:pPr>
            <w:r>
              <w:rPr>
                <w:rFonts w:hint="eastAsia" w:ascii="宋体" w:hAnsi="宋体" w:cs="宋体"/>
                <w:color w:val="auto"/>
              </w:rPr>
              <w:t>响应文件的正本和副本应采用胶装方式左侧装订，不得采用活页夹的可随时拆换的方式装订，不得有零散页。响应文件应按照“谈判文件格式”的目录次序装订。响应文件正副本密封于响应文件袋内。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6" w:type="dxa"/>
            <w:vAlign w:val="center"/>
          </w:tcPr>
          <w:p>
            <w:pPr>
              <w:spacing w:line="440" w:lineRule="exact"/>
              <w:jc w:val="left"/>
              <w:rPr>
                <w:rFonts w:ascii="宋体" w:hAnsi="宋体" w:cs="宋体"/>
                <w:color w:val="auto"/>
              </w:rPr>
            </w:pPr>
            <w:r>
              <w:rPr>
                <w:rFonts w:hint="eastAsia" w:ascii="宋体" w:hAnsi="宋体" w:cs="宋体"/>
                <w:color w:val="auto"/>
              </w:rPr>
              <w:t>19</w:t>
            </w:r>
          </w:p>
        </w:tc>
        <w:tc>
          <w:tcPr>
            <w:tcW w:w="1741" w:type="dxa"/>
            <w:vAlign w:val="center"/>
          </w:tcPr>
          <w:p>
            <w:pPr>
              <w:spacing w:line="440" w:lineRule="exact"/>
              <w:jc w:val="left"/>
              <w:rPr>
                <w:rFonts w:ascii="宋体" w:hAnsi="宋体" w:cs="宋体"/>
                <w:color w:val="auto"/>
              </w:rPr>
            </w:pPr>
            <w:r>
              <w:rPr>
                <w:rFonts w:hint="eastAsia" w:ascii="宋体" w:hAnsi="宋体" w:cs="宋体"/>
                <w:color w:val="auto"/>
              </w:rPr>
              <w:t>响应文件提交截止时间及地点</w:t>
            </w:r>
          </w:p>
        </w:tc>
        <w:tc>
          <w:tcPr>
            <w:tcW w:w="7780" w:type="dxa"/>
            <w:vAlign w:val="center"/>
          </w:tcPr>
          <w:p>
            <w:pPr>
              <w:spacing w:line="440" w:lineRule="exact"/>
              <w:jc w:val="left"/>
              <w:rPr>
                <w:rFonts w:ascii="宋体" w:hAnsi="宋体" w:cs="宋体"/>
                <w:b/>
                <w:bCs/>
                <w:color w:val="auto"/>
              </w:rPr>
            </w:pPr>
            <w:r>
              <w:rPr>
                <w:rFonts w:hint="eastAsia" w:ascii="宋体" w:hAnsi="宋体" w:cs="宋体"/>
                <w:b/>
                <w:bCs/>
                <w:color w:val="auto"/>
              </w:rPr>
              <w:t>收件人：安徽立地工程咨询有限公司</w:t>
            </w:r>
          </w:p>
          <w:p>
            <w:pPr>
              <w:spacing w:line="440" w:lineRule="exact"/>
              <w:jc w:val="left"/>
              <w:rPr>
                <w:rFonts w:ascii="宋体" w:hAnsi="宋体" w:cs="宋体"/>
                <w:b/>
                <w:bCs/>
                <w:color w:val="auto"/>
              </w:rPr>
            </w:pPr>
            <w:r>
              <w:rPr>
                <w:rFonts w:hint="eastAsia" w:ascii="宋体" w:hAnsi="宋体" w:cs="宋体"/>
                <w:b/>
                <w:bCs/>
                <w:color w:val="auto"/>
              </w:rPr>
              <w:t>时 间：2023年5月</w:t>
            </w:r>
            <w:r>
              <w:rPr>
                <w:rFonts w:hint="eastAsia" w:ascii="宋体" w:hAnsi="宋体" w:cs="宋体"/>
                <w:b/>
                <w:bCs/>
                <w:color w:val="auto"/>
                <w:lang w:val="en-US" w:eastAsia="zh-CN"/>
              </w:rPr>
              <w:t>23</w:t>
            </w:r>
            <w:r>
              <w:rPr>
                <w:rFonts w:hint="eastAsia" w:ascii="宋体" w:hAnsi="宋体" w:cs="宋体"/>
                <w:b/>
                <w:bCs/>
                <w:color w:val="auto"/>
              </w:rPr>
              <w:t xml:space="preserve"> 日</w:t>
            </w:r>
            <w:r>
              <w:rPr>
                <w:rFonts w:hint="eastAsia" w:ascii="宋体" w:hAnsi="宋体" w:cs="宋体"/>
                <w:b/>
                <w:bCs/>
                <w:color w:val="auto"/>
                <w:lang w:val="en-US" w:eastAsia="zh-CN"/>
              </w:rPr>
              <w:t>15</w:t>
            </w:r>
            <w:r>
              <w:rPr>
                <w:rFonts w:hint="eastAsia" w:ascii="宋体" w:hAnsi="宋体" w:cs="宋体"/>
                <w:b/>
                <w:bCs/>
                <w:color w:val="auto"/>
              </w:rPr>
              <w:t>时00分（北京时间）</w:t>
            </w:r>
          </w:p>
          <w:p>
            <w:pPr>
              <w:spacing w:line="440" w:lineRule="exact"/>
              <w:jc w:val="left"/>
              <w:rPr>
                <w:rFonts w:ascii="宋体" w:hAnsi="宋体" w:cs="宋体"/>
                <w:color w:val="auto"/>
              </w:rPr>
            </w:pPr>
            <w:r>
              <w:rPr>
                <w:rFonts w:hint="eastAsia" w:ascii="宋体" w:hAnsi="宋体" w:cs="宋体"/>
                <w:b/>
                <w:bCs/>
                <w:color w:val="auto"/>
              </w:rPr>
              <w:t>地 点：滁州市丰乐大道1899号皖东国际车城A区写字楼A6栋3楼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6" w:type="dxa"/>
            <w:vAlign w:val="center"/>
          </w:tcPr>
          <w:p>
            <w:pPr>
              <w:spacing w:line="440" w:lineRule="exact"/>
              <w:jc w:val="center"/>
              <w:rPr>
                <w:rFonts w:ascii="宋体" w:hAnsi="宋体" w:cs="宋体"/>
                <w:color w:val="auto"/>
              </w:rPr>
            </w:pPr>
            <w:r>
              <w:rPr>
                <w:rFonts w:hint="eastAsia" w:ascii="宋体" w:hAnsi="宋体" w:cs="宋体"/>
                <w:color w:val="auto"/>
              </w:rPr>
              <w:t>20</w:t>
            </w:r>
          </w:p>
        </w:tc>
        <w:tc>
          <w:tcPr>
            <w:tcW w:w="1741" w:type="dxa"/>
            <w:vAlign w:val="center"/>
          </w:tcPr>
          <w:p>
            <w:pPr>
              <w:spacing w:line="440" w:lineRule="exact"/>
              <w:jc w:val="left"/>
              <w:rPr>
                <w:rFonts w:ascii="宋体" w:hAnsi="宋体" w:cs="宋体"/>
                <w:color w:val="auto"/>
              </w:rPr>
            </w:pPr>
            <w:r>
              <w:rPr>
                <w:rFonts w:hint="eastAsia" w:ascii="宋体" w:hAnsi="宋体" w:cs="宋体"/>
                <w:color w:val="auto"/>
              </w:rPr>
              <w:t>谈判时间及地点</w:t>
            </w:r>
          </w:p>
        </w:tc>
        <w:tc>
          <w:tcPr>
            <w:tcW w:w="7780" w:type="dxa"/>
            <w:vAlign w:val="center"/>
          </w:tcPr>
          <w:p>
            <w:pPr>
              <w:spacing w:line="440" w:lineRule="exact"/>
              <w:jc w:val="left"/>
              <w:rPr>
                <w:rFonts w:ascii="宋体" w:hAnsi="宋体" w:cs="宋体"/>
                <w:color w:val="auto"/>
              </w:rPr>
            </w:pPr>
            <w:r>
              <w:rPr>
                <w:rFonts w:hint="eastAsia" w:ascii="宋体" w:hAnsi="宋体" w:cs="宋体"/>
                <w:color w:val="auto"/>
              </w:rPr>
              <w:t>谈判时间：同响应文件提交截止时间</w:t>
            </w:r>
          </w:p>
          <w:p>
            <w:pPr>
              <w:spacing w:line="440" w:lineRule="exact"/>
              <w:jc w:val="left"/>
              <w:rPr>
                <w:rFonts w:ascii="宋体" w:hAnsi="宋体" w:cs="宋体"/>
                <w:color w:val="auto"/>
              </w:rPr>
            </w:pPr>
            <w:r>
              <w:rPr>
                <w:rFonts w:hint="eastAsia" w:ascii="宋体" w:hAnsi="宋体" w:cs="宋体"/>
                <w:color w:val="auto"/>
              </w:rPr>
              <w:t>谈判地点：同响应文件提交地点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46" w:type="dxa"/>
            <w:vAlign w:val="center"/>
          </w:tcPr>
          <w:p>
            <w:pPr>
              <w:spacing w:line="440" w:lineRule="exact"/>
              <w:jc w:val="center"/>
              <w:rPr>
                <w:rFonts w:ascii="宋体" w:hAnsi="宋体" w:cs="宋体"/>
                <w:color w:val="auto"/>
              </w:rPr>
            </w:pPr>
            <w:r>
              <w:rPr>
                <w:rFonts w:hint="eastAsia" w:ascii="宋体" w:hAnsi="宋体" w:cs="宋体"/>
                <w:color w:val="auto"/>
              </w:rPr>
              <w:t>21</w:t>
            </w:r>
          </w:p>
        </w:tc>
        <w:tc>
          <w:tcPr>
            <w:tcW w:w="1741" w:type="dxa"/>
            <w:vAlign w:val="center"/>
          </w:tcPr>
          <w:p>
            <w:pPr>
              <w:pStyle w:val="26"/>
              <w:spacing w:line="440" w:lineRule="exact"/>
              <w:jc w:val="left"/>
              <w:rPr>
                <w:rFonts w:hAnsi="宋体" w:cs="宋体"/>
                <w:color w:val="auto"/>
                <w:kern w:val="2"/>
                <w:sz w:val="21"/>
              </w:rPr>
            </w:pPr>
            <w:r>
              <w:rPr>
                <w:rFonts w:hint="eastAsia" w:hAnsi="宋体" w:cs="宋体"/>
                <w:color w:val="auto"/>
                <w:kern w:val="2"/>
                <w:sz w:val="21"/>
              </w:rPr>
              <w:t>谈判小组的组建</w:t>
            </w:r>
          </w:p>
        </w:tc>
        <w:tc>
          <w:tcPr>
            <w:tcW w:w="7780" w:type="dxa"/>
            <w:vAlign w:val="center"/>
          </w:tcPr>
          <w:p>
            <w:pPr>
              <w:spacing w:line="440" w:lineRule="exact"/>
              <w:jc w:val="left"/>
              <w:rPr>
                <w:rFonts w:ascii="宋体" w:hAnsi="宋体" w:cs="宋体"/>
                <w:color w:val="auto"/>
              </w:rPr>
            </w:pPr>
            <w:r>
              <w:rPr>
                <w:rFonts w:hint="eastAsia" w:ascii="宋体" w:hAnsi="宋体" w:cs="宋体"/>
                <w:color w:val="auto"/>
              </w:rPr>
              <w:t>评</w:t>
            </w:r>
            <w:r>
              <w:rPr>
                <w:rFonts w:hint="eastAsia" w:hAnsi="宋体" w:cs="宋体"/>
                <w:color w:val="auto"/>
              </w:rPr>
              <w:t>谈判小组</w:t>
            </w:r>
            <w:r>
              <w:rPr>
                <w:rFonts w:hint="eastAsia" w:ascii="宋体" w:hAnsi="宋体" w:cs="宋体"/>
                <w:color w:val="auto"/>
              </w:rPr>
              <w:t>由1名采购人代表及2名</w:t>
            </w:r>
            <w:r>
              <w:rPr>
                <w:rFonts w:ascii="宋体" w:hAnsi="宋体" w:cs="宋体"/>
                <w:color w:val="auto"/>
              </w:rPr>
              <w:t>专家评委</w:t>
            </w:r>
            <w:r>
              <w:rPr>
                <w:rFonts w:hint="eastAsia" w:ascii="宋体" w:hAnsi="宋体" w:cs="宋体"/>
                <w:color w:val="auto"/>
              </w:rPr>
              <w:t>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6" w:type="dxa"/>
            <w:vAlign w:val="center"/>
          </w:tcPr>
          <w:p>
            <w:pPr>
              <w:spacing w:line="440" w:lineRule="exact"/>
              <w:jc w:val="center"/>
              <w:rPr>
                <w:rFonts w:ascii="宋体" w:hAnsi="宋体" w:cs="宋体"/>
                <w:color w:val="auto"/>
              </w:rPr>
            </w:pPr>
            <w:r>
              <w:rPr>
                <w:rFonts w:hint="eastAsia" w:ascii="宋体" w:hAnsi="宋体" w:cs="宋体"/>
                <w:color w:val="auto"/>
              </w:rPr>
              <w:t>22</w:t>
            </w:r>
          </w:p>
        </w:tc>
        <w:tc>
          <w:tcPr>
            <w:tcW w:w="1741" w:type="dxa"/>
            <w:vAlign w:val="center"/>
          </w:tcPr>
          <w:p>
            <w:pPr>
              <w:spacing w:line="440" w:lineRule="exact"/>
              <w:rPr>
                <w:rFonts w:ascii="宋体" w:hAnsi="宋体" w:cs="宋体"/>
                <w:color w:val="auto"/>
              </w:rPr>
            </w:pPr>
            <w:r>
              <w:rPr>
                <w:rFonts w:hint="eastAsia" w:ascii="宋体" w:hAnsi="宋体" w:cs="宋体"/>
                <w:color w:val="auto"/>
              </w:rPr>
              <w:t>是否授权谈判小组确定成交候选供应商</w:t>
            </w:r>
          </w:p>
        </w:tc>
        <w:tc>
          <w:tcPr>
            <w:tcW w:w="7780" w:type="dxa"/>
            <w:vAlign w:val="center"/>
          </w:tcPr>
          <w:p>
            <w:pPr>
              <w:pStyle w:val="26"/>
              <w:spacing w:line="440" w:lineRule="exact"/>
              <w:rPr>
                <w:rFonts w:hAnsi="宋体" w:cs="宋体"/>
                <w:color w:val="auto"/>
                <w:kern w:val="2"/>
                <w:sz w:val="21"/>
              </w:rPr>
            </w:pPr>
            <w:r>
              <w:rPr>
                <w:rFonts w:hint="eastAsia" w:hAnsi="宋体" w:cs="宋体"/>
                <w:color w:val="auto"/>
                <w:kern w:val="2"/>
                <w:sz w:val="21"/>
              </w:rPr>
              <w:t>是，推荐的成交候选供应商人数：3名，标明排序。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46" w:type="dxa"/>
            <w:vAlign w:val="center"/>
          </w:tcPr>
          <w:p>
            <w:pPr>
              <w:spacing w:line="440" w:lineRule="exact"/>
              <w:jc w:val="center"/>
              <w:rPr>
                <w:rFonts w:ascii="宋体" w:hAnsi="宋体" w:cs="宋体"/>
                <w:color w:val="auto"/>
              </w:rPr>
            </w:pPr>
            <w:r>
              <w:rPr>
                <w:rFonts w:hint="eastAsia" w:ascii="宋体" w:hAnsi="宋体" w:cs="宋体"/>
                <w:color w:val="auto"/>
              </w:rPr>
              <w:t>23</w:t>
            </w:r>
          </w:p>
        </w:tc>
        <w:tc>
          <w:tcPr>
            <w:tcW w:w="1741" w:type="dxa"/>
            <w:vAlign w:val="center"/>
          </w:tcPr>
          <w:p>
            <w:pPr>
              <w:spacing w:line="440" w:lineRule="exact"/>
              <w:rPr>
                <w:rFonts w:ascii="宋体" w:hAnsi="宋体" w:cs="宋体"/>
                <w:color w:val="auto"/>
              </w:rPr>
            </w:pPr>
            <w:r>
              <w:rPr>
                <w:rFonts w:hint="eastAsia" w:ascii="宋体" w:hAnsi="宋体" w:cs="宋体"/>
                <w:color w:val="auto"/>
              </w:rPr>
              <w:t>成交通知书</w:t>
            </w:r>
          </w:p>
        </w:tc>
        <w:tc>
          <w:tcPr>
            <w:tcW w:w="7780" w:type="dxa"/>
            <w:vAlign w:val="center"/>
          </w:tcPr>
          <w:p>
            <w:pPr>
              <w:spacing w:line="440" w:lineRule="exact"/>
              <w:rPr>
                <w:rFonts w:ascii="宋体" w:hAnsi="宋体" w:cs="宋体"/>
                <w:color w:val="auto"/>
              </w:rPr>
            </w:pPr>
            <w:r>
              <w:rPr>
                <w:rFonts w:hint="eastAsia" w:ascii="宋体" w:hAnsi="宋体" w:cs="宋体"/>
                <w:color w:val="auto"/>
              </w:rPr>
              <w:t>成交通知书须加盖采购人公章后方可发出。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46" w:type="dxa"/>
            <w:vAlign w:val="center"/>
          </w:tcPr>
          <w:p>
            <w:pPr>
              <w:spacing w:line="440" w:lineRule="exact"/>
              <w:jc w:val="center"/>
              <w:rPr>
                <w:rFonts w:ascii="宋体" w:hAnsi="宋体" w:cs="宋体"/>
                <w:color w:val="auto"/>
              </w:rPr>
            </w:pPr>
            <w:r>
              <w:rPr>
                <w:rFonts w:hint="eastAsia" w:ascii="宋体" w:hAnsi="宋体" w:cs="宋体"/>
                <w:color w:val="auto"/>
              </w:rPr>
              <w:t>24</w:t>
            </w:r>
          </w:p>
        </w:tc>
        <w:tc>
          <w:tcPr>
            <w:tcW w:w="1741" w:type="dxa"/>
            <w:vAlign w:val="center"/>
          </w:tcPr>
          <w:p>
            <w:pPr>
              <w:spacing w:line="440" w:lineRule="exact"/>
              <w:jc w:val="center"/>
              <w:rPr>
                <w:rFonts w:ascii="宋体" w:hAnsi="宋体" w:cs="宋体"/>
                <w:color w:val="auto"/>
              </w:rPr>
            </w:pPr>
            <w:r>
              <w:rPr>
                <w:rFonts w:hint="eastAsia" w:ascii="宋体" w:hAnsi="宋体" w:cs="宋体"/>
                <w:color w:val="auto"/>
                <w:kern w:val="0"/>
              </w:rPr>
              <w:t>履约保证金</w:t>
            </w:r>
          </w:p>
        </w:tc>
        <w:tc>
          <w:tcPr>
            <w:tcW w:w="7780" w:type="dxa"/>
            <w:vAlign w:val="center"/>
          </w:tcPr>
          <w:p>
            <w:pPr>
              <w:spacing w:line="440" w:lineRule="exact"/>
              <w:jc w:val="left"/>
              <w:rPr>
                <w:rFonts w:ascii="宋体" w:hAnsi="宋体" w:cs="宋体"/>
                <w:color w:val="auto"/>
              </w:rPr>
            </w:pPr>
            <w:r>
              <w:rPr>
                <w:rFonts w:hint="eastAsia" w:ascii="宋体" w:hAnsi="宋体" w:cs="宋体"/>
                <w:color w:val="auto"/>
              </w:rPr>
              <w:t>履约担保的形式：转账</w:t>
            </w:r>
          </w:p>
          <w:p>
            <w:pPr>
              <w:spacing w:line="440" w:lineRule="exact"/>
              <w:jc w:val="left"/>
              <w:rPr>
                <w:rFonts w:ascii="宋体" w:hAnsi="宋体" w:cs="宋体"/>
                <w:color w:val="auto"/>
              </w:rPr>
            </w:pPr>
            <w:r>
              <w:rPr>
                <w:rFonts w:hint="eastAsia" w:ascii="宋体" w:hAnsi="宋体" w:cs="宋体"/>
                <w:color w:val="auto"/>
              </w:rPr>
              <w:t>履约担保的金额：中标价款的2.5%</w:t>
            </w:r>
          </w:p>
          <w:p>
            <w:pPr>
              <w:spacing w:line="440" w:lineRule="exact"/>
              <w:jc w:val="left"/>
              <w:rPr>
                <w:rFonts w:ascii="宋体" w:hAnsi="宋体" w:cs="宋体"/>
                <w:color w:val="auto"/>
              </w:rPr>
            </w:pPr>
            <w:r>
              <w:rPr>
                <w:rFonts w:hint="eastAsia" w:ascii="宋体" w:hAnsi="宋体" w:cs="宋体"/>
                <w:color w:val="auto"/>
              </w:rPr>
              <w:t>缴纳时间：签定合同前</w:t>
            </w:r>
          </w:p>
          <w:p>
            <w:pPr>
              <w:spacing w:line="440" w:lineRule="exact"/>
              <w:jc w:val="left"/>
              <w:rPr>
                <w:rFonts w:ascii="宋体" w:hAnsi="宋体" w:cs="宋体"/>
                <w:color w:val="auto"/>
              </w:rPr>
            </w:pPr>
            <w:r>
              <w:rPr>
                <w:rFonts w:hint="eastAsia" w:ascii="宋体" w:hAnsi="宋体" w:cs="宋体"/>
                <w:color w:val="auto"/>
              </w:rPr>
              <w:t>中标人在签订合同前需将中标价2.5%的履约保证金交至学校指定账户，项目完成验收合格之日起一年后无息退还。</w:t>
            </w:r>
          </w:p>
          <w:p>
            <w:pPr>
              <w:spacing w:line="440" w:lineRule="exact"/>
              <w:jc w:val="left"/>
              <w:rPr>
                <w:rFonts w:ascii="宋体" w:hAnsi="宋体" w:cs="宋体"/>
                <w:color w:val="auto"/>
              </w:rPr>
            </w:pPr>
            <w:r>
              <w:rPr>
                <w:rFonts w:hint="eastAsia" w:ascii="宋体" w:hAnsi="宋体" w:cs="宋体"/>
                <w:color w:val="auto"/>
              </w:rPr>
              <w:t>单位：滁州学院</w:t>
            </w:r>
          </w:p>
          <w:p>
            <w:pPr>
              <w:spacing w:line="440" w:lineRule="exact"/>
              <w:jc w:val="left"/>
              <w:rPr>
                <w:rFonts w:ascii="宋体" w:hAnsi="宋体" w:cs="宋体"/>
                <w:color w:val="auto"/>
              </w:rPr>
            </w:pPr>
            <w:r>
              <w:rPr>
                <w:rFonts w:hint="eastAsia" w:ascii="宋体" w:hAnsi="宋体" w:cs="宋体"/>
                <w:color w:val="auto"/>
              </w:rPr>
              <w:t>开户行：工行醉翁亭支行</w:t>
            </w:r>
          </w:p>
          <w:p>
            <w:pPr>
              <w:spacing w:line="440" w:lineRule="exact"/>
              <w:rPr>
                <w:rFonts w:ascii="宋体" w:hAnsi="宋体" w:cs="宋体"/>
                <w:color w:val="auto"/>
              </w:rPr>
            </w:pPr>
            <w:r>
              <w:rPr>
                <w:rFonts w:hint="eastAsia" w:ascii="宋体" w:hAnsi="宋体" w:cs="宋体"/>
                <w:color w:val="auto"/>
              </w:rPr>
              <w:t>帐号：1313062809024904784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746" w:type="dxa"/>
            <w:vAlign w:val="center"/>
          </w:tcPr>
          <w:p>
            <w:pPr>
              <w:spacing w:line="440" w:lineRule="exact"/>
              <w:jc w:val="center"/>
              <w:rPr>
                <w:rFonts w:ascii="宋体" w:hAnsi="宋体" w:cs="宋体"/>
                <w:color w:val="auto"/>
              </w:rPr>
            </w:pPr>
            <w:r>
              <w:rPr>
                <w:rFonts w:hint="eastAsia" w:ascii="宋体" w:hAnsi="宋体" w:cs="宋体"/>
                <w:color w:val="auto"/>
              </w:rPr>
              <w:t>25</w:t>
            </w:r>
          </w:p>
        </w:tc>
        <w:tc>
          <w:tcPr>
            <w:tcW w:w="1741" w:type="dxa"/>
            <w:vAlign w:val="center"/>
          </w:tcPr>
          <w:p>
            <w:pPr>
              <w:spacing w:line="440" w:lineRule="exact"/>
              <w:rPr>
                <w:rFonts w:ascii="宋体" w:hAnsi="宋体" w:cs="宋体"/>
                <w:color w:val="auto"/>
              </w:rPr>
            </w:pPr>
            <w:r>
              <w:rPr>
                <w:rFonts w:hint="eastAsia" w:ascii="宋体" w:hAnsi="宋体" w:cs="宋体"/>
                <w:color w:val="auto"/>
                <w:kern w:val="0"/>
              </w:rPr>
              <w:t>付款方式</w:t>
            </w:r>
          </w:p>
        </w:tc>
        <w:tc>
          <w:tcPr>
            <w:tcW w:w="7780" w:type="dxa"/>
            <w:vAlign w:val="center"/>
          </w:tcPr>
          <w:p>
            <w:pPr>
              <w:spacing w:line="440" w:lineRule="exact"/>
              <w:jc w:val="left"/>
              <w:rPr>
                <w:rFonts w:ascii="宋体" w:hAnsi="宋体" w:cs="宋体"/>
                <w:color w:val="auto"/>
              </w:rPr>
            </w:pPr>
            <w:r>
              <w:rPr>
                <w:rFonts w:hint="eastAsia" w:ascii="宋体" w:hAnsi="宋体" w:cs="宋体"/>
                <w:color w:val="auto"/>
                <w:kern w:val="0"/>
              </w:rPr>
              <w:t>合同签订后7个日历天完成供货安装完毕，并经采购人经验收合格后，</w:t>
            </w:r>
            <w:r>
              <w:rPr>
                <w:rFonts w:hint="eastAsia" w:ascii="宋体" w:hAnsi="宋体" w:cs="宋体"/>
                <w:color w:val="auto"/>
              </w:rPr>
              <w:t>一次性支付合同价款。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46" w:type="dxa"/>
            <w:vAlign w:val="center"/>
          </w:tcPr>
          <w:p>
            <w:pPr>
              <w:spacing w:line="440" w:lineRule="exact"/>
              <w:jc w:val="center"/>
              <w:rPr>
                <w:rFonts w:ascii="宋体" w:hAnsi="宋体" w:cs="宋体"/>
                <w:color w:val="auto"/>
              </w:rPr>
            </w:pPr>
            <w:r>
              <w:rPr>
                <w:rFonts w:hint="eastAsia" w:ascii="宋体" w:hAnsi="宋体" w:cs="宋体"/>
                <w:color w:val="auto"/>
              </w:rPr>
              <w:t>26</w:t>
            </w:r>
          </w:p>
        </w:tc>
        <w:tc>
          <w:tcPr>
            <w:tcW w:w="1741" w:type="dxa"/>
            <w:vAlign w:val="center"/>
          </w:tcPr>
          <w:p>
            <w:pPr>
              <w:spacing w:line="440" w:lineRule="exact"/>
              <w:rPr>
                <w:rFonts w:ascii="宋体" w:hAnsi="宋体" w:cs="宋体"/>
                <w:color w:val="auto"/>
              </w:rPr>
            </w:pPr>
            <w:r>
              <w:rPr>
                <w:rFonts w:hint="eastAsia" w:ascii="宋体" w:hAnsi="宋体" w:cs="宋体"/>
                <w:color w:val="auto"/>
              </w:rPr>
              <w:t>采购代理费</w:t>
            </w:r>
          </w:p>
        </w:tc>
        <w:tc>
          <w:tcPr>
            <w:tcW w:w="7780" w:type="dxa"/>
            <w:vAlign w:val="center"/>
          </w:tcPr>
          <w:p>
            <w:pPr>
              <w:spacing w:line="440" w:lineRule="exact"/>
              <w:rPr>
                <w:rFonts w:ascii="宋体" w:hAnsi="宋体" w:cs="宋体"/>
                <w:color w:val="auto"/>
              </w:rPr>
            </w:pPr>
            <w:r>
              <w:rPr>
                <w:rFonts w:hint="eastAsia" w:ascii="宋体" w:hAnsi="宋体" w:cs="宋体"/>
                <w:color w:val="auto"/>
              </w:rPr>
              <w:t>本项目采购代理费按3000元，由成交供应商在领取成交通知书前一次性向采购代理机构付清。上述费用供应商在报价让利时应综合考虑在报价中。</w:t>
            </w:r>
          </w:p>
        </w:tc>
      </w:tr>
    </w:tbl>
    <w:p>
      <w:pPr>
        <w:pStyle w:val="8"/>
        <w:rPr>
          <w:color w:val="auto"/>
          <w:sz w:val="36"/>
        </w:rPr>
        <w:sectPr>
          <w:footnotePr>
            <w:pos w:val="beneathText"/>
          </w:footnotePr>
          <w:pgSz w:w="11906" w:h="16838"/>
          <w:pgMar w:top="1440" w:right="746" w:bottom="1219" w:left="1440" w:header="851" w:footer="992" w:gutter="0"/>
          <w:cols w:space="720" w:num="1"/>
          <w:docGrid w:linePitch="312" w:charSpace="0"/>
        </w:sectPr>
      </w:pPr>
      <w:bookmarkStart w:id="22" w:name="_Toc246928894"/>
    </w:p>
    <w:p>
      <w:pPr>
        <w:pStyle w:val="7"/>
        <w:spacing w:line="360" w:lineRule="auto"/>
        <w:jc w:val="center"/>
        <w:rPr>
          <w:rFonts w:ascii="宋体" w:hAnsi="宋体"/>
          <w:color w:val="auto"/>
          <w:sz w:val="28"/>
          <w:szCs w:val="28"/>
        </w:rPr>
      </w:pPr>
      <w:bookmarkStart w:id="23" w:name="_Toc46309801"/>
      <w:bookmarkStart w:id="24" w:name="_Toc46310025"/>
      <w:r>
        <w:rPr>
          <w:rFonts w:hint="eastAsia" w:ascii="宋体" w:hAnsi="宋体"/>
          <w:color w:val="auto"/>
          <w:sz w:val="28"/>
          <w:szCs w:val="28"/>
        </w:rPr>
        <w:t>第二部分</w:t>
      </w:r>
      <w:r>
        <w:rPr>
          <w:rFonts w:ascii="宋体" w:hAnsi="宋体"/>
          <w:color w:val="auto"/>
          <w:sz w:val="28"/>
          <w:szCs w:val="28"/>
        </w:rPr>
        <w:t xml:space="preserve">  </w:t>
      </w:r>
      <w:bookmarkEnd w:id="22"/>
      <w:r>
        <w:rPr>
          <w:rFonts w:hint="eastAsia" w:ascii="宋体" w:hAnsi="宋体"/>
          <w:color w:val="auto"/>
          <w:sz w:val="28"/>
          <w:szCs w:val="28"/>
        </w:rPr>
        <w:t>供应商须知</w:t>
      </w:r>
      <w:bookmarkEnd w:id="23"/>
      <w:bookmarkEnd w:id="24"/>
    </w:p>
    <w:p>
      <w:pPr>
        <w:pStyle w:val="8"/>
        <w:spacing w:before="0" w:after="0" w:line="500" w:lineRule="exact"/>
        <w:jc w:val="center"/>
        <w:rPr>
          <w:rFonts w:ascii="宋体" w:hAnsi="宋体" w:eastAsia="宋体"/>
          <w:b w:val="0"/>
          <w:color w:val="auto"/>
          <w:sz w:val="28"/>
          <w:szCs w:val="28"/>
        </w:rPr>
      </w:pPr>
      <w:bookmarkStart w:id="25" w:name="_Toc489284199"/>
      <w:bookmarkStart w:id="26" w:name="_Toc46309802"/>
      <w:bookmarkStart w:id="27" w:name="_Toc246928895"/>
      <w:r>
        <w:rPr>
          <w:rFonts w:ascii="宋体" w:hAnsi="宋体" w:eastAsia="宋体"/>
          <w:b w:val="0"/>
          <w:color w:val="auto"/>
          <w:sz w:val="28"/>
          <w:szCs w:val="28"/>
        </w:rPr>
        <w:t xml:space="preserve">A </w:t>
      </w:r>
      <w:r>
        <w:rPr>
          <w:rFonts w:hint="eastAsia" w:ascii="宋体" w:hAnsi="宋体" w:eastAsia="宋体"/>
          <w:b w:val="0"/>
          <w:color w:val="auto"/>
          <w:sz w:val="28"/>
          <w:szCs w:val="28"/>
        </w:rPr>
        <w:t>总则</w:t>
      </w:r>
      <w:bookmarkEnd w:id="25"/>
      <w:bookmarkEnd w:id="26"/>
    </w:p>
    <w:bookmarkEnd w:id="27"/>
    <w:p>
      <w:pPr>
        <w:pStyle w:val="9"/>
        <w:overflowPunct w:val="0"/>
        <w:adjustRightInd w:val="0"/>
        <w:snapToGrid w:val="0"/>
        <w:spacing w:before="0" w:after="0" w:line="440" w:lineRule="exact"/>
        <w:jc w:val="left"/>
        <w:rPr>
          <w:rFonts w:ascii="宋体" w:hAnsi="宋体"/>
          <w:color w:val="auto"/>
          <w:sz w:val="21"/>
          <w:szCs w:val="21"/>
        </w:rPr>
      </w:pPr>
      <w:bookmarkStart w:id="28" w:name="_Toc489284200"/>
      <w:bookmarkStart w:id="29" w:name="_Toc246928896"/>
      <w:bookmarkStart w:id="30" w:name="_Toc46309803"/>
      <w:r>
        <w:rPr>
          <w:rFonts w:ascii="宋体" w:hAnsi="宋体"/>
          <w:color w:val="auto"/>
          <w:sz w:val="21"/>
          <w:szCs w:val="21"/>
        </w:rPr>
        <w:t xml:space="preserve">1. </w:t>
      </w:r>
      <w:r>
        <w:rPr>
          <w:rFonts w:hint="eastAsia" w:ascii="宋体" w:hAnsi="宋体"/>
          <w:color w:val="auto"/>
          <w:sz w:val="21"/>
          <w:szCs w:val="21"/>
        </w:rPr>
        <w:t>适用范围</w:t>
      </w:r>
      <w:bookmarkEnd w:id="28"/>
      <w:bookmarkEnd w:id="29"/>
      <w:bookmarkEnd w:id="30"/>
    </w:p>
    <w:p>
      <w:pPr>
        <w:overflowPunct w:val="0"/>
        <w:adjustRightInd w:val="0"/>
        <w:snapToGrid w:val="0"/>
        <w:spacing w:line="440" w:lineRule="exact"/>
        <w:jc w:val="left"/>
        <w:rPr>
          <w:rFonts w:ascii="宋体" w:hAnsi="宋体"/>
          <w:color w:val="auto"/>
        </w:rPr>
      </w:pPr>
      <w:bookmarkStart w:id="31" w:name="_Toc246928897"/>
      <w:r>
        <w:rPr>
          <w:rFonts w:ascii="宋体" w:hAnsi="宋体"/>
          <w:color w:val="auto"/>
        </w:rPr>
        <w:t xml:space="preserve">1.1 </w:t>
      </w:r>
      <w:r>
        <w:rPr>
          <w:rFonts w:hint="eastAsia" w:ascii="宋体" w:hAnsi="宋体"/>
          <w:color w:val="auto"/>
        </w:rPr>
        <w:t>本谈判文件仅适用于本谈判邀请中所叙述项目的服务采购。</w:t>
      </w:r>
    </w:p>
    <w:p>
      <w:pPr>
        <w:overflowPunct w:val="0"/>
        <w:adjustRightInd w:val="0"/>
        <w:snapToGrid w:val="0"/>
        <w:spacing w:line="440" w:lineRule="exact"/>
        <w:jc w:val="left"/>
        <w:rPr>
          <w:rFonts w:ascii="宋体" w:hAnsi="宋体"/>
          <w:color w:val="auto"/>
        </w:rPr>
      </w:pPr>
      <w:r>
        <w:rPr>
          <w:rFonts w:ascii="宋体" w:hAnsi="宋体"/>
          <w:color w:val="auto"/>
        </w:rPr>
        <w:t>1.2</w:t>
      </w:r>
      <w:r>
        <w:rPr>
          <w:rFonts w:hint="eastAsia" w:ascii="宋体" w:hAnsi="宋体"/>
          <w:color w:val="auto"/>
        </w:rPr>
        <w:t>本次采购属服务类采购，采购人，采购代理机构、供应商、谈判小组的相关行为均受 《</w:t>
      </w:r>
      <w:r>
        <w:rPr>
          <w:rFonts w:ascii="宋体" w:hAnsi="宋体"/>
          <w:color w:val="auto"/>
        </w:rPr>
        <w:t>政府采购非招标采购方式管理办法</w:t>
      </w:r>
      <w:r>
        <w:rPr>
          <w:rFonts w:hint="eastAsia" w:ascii="宋体" w:hAnsi="宋体"/>
          <w:color w:val="auto"/>
        </w:rPr>
        <w:t>》及项目所在地有关法规、规章的约束，其权利受到上述法律法规的保护。</w:t>
      </w:r>
    </w:p>
    <w:p>
      <w:pPr>
        <w:pStyle w:val="9"/>
        <w:overflowPunct w:val="0"/>
        <w:adjustRightInd w:val="0"/>
        <w:snapToGrid w:val="0"/>
        <w:spacing w:before="0" w:after="0" w:line="440" w:lineRule="exact"/>
        <w:jc w:val="left"/>
        <w:rPr>
          <w:rFonts w:ascii="宋体" w:hAnsi="宋体"/>
          <w:color w:val="auto"/>
          <w:sz w:val="21"/>
          <w:szCs w:val="21"/>
        </w:rPr>
      </w:pPr>
      <w:bookmarkStart w:id="32" w:name="_Toc46309804"/>
      <w:bookmarkStart w:id="33" w:name="_Toc489284201"/>
      <w:r>
        <w:rPr>
          <w:rFonts w:ascii="宋体" w:hAnsi="宋体"/>
          <w:color w:val="auto"/>
          <w:sz w:val="21"/>
          <w:szCs w:val="21"/>
        </w:rPr>
        <w:t xml:space="preserve">2. </w:t>
      </w:r>
      <w:r>
        <w:rPr>
          <w:rFonts w:hint="eastAsia" w:ascii="宋体" w:hAnsi="宋体"/>
          <w:color w:val="auto"/>
          <w:sz w:val="21"/>
          <w:szCs w:val="21"/>
        </w:rPr>
        <w:t>定义</w:t>
      </w:r>
      <w:bookmarkEnd w:id="31"/>
      <w:bookmarkEnd w:id="32"/>
      <w:bookmarkEnd w:id="33"/>
    </w:p>
    <w:p>
      <w:pPr>
        <w:spacing w:line="440" w:lineRule="exact"/>
        <w:jc w:val="left"/>
        <w:rPr>
          <w:rFonts w:ascii="宋体" w:hAnsi="宋体"/>
          <w:color w:val="auto"/>
        </w:rPr>
      </w:pPr>
      <w:r>
        <w:rPr>
          <w:rFonts w:ascii="宋体" w:hAnsi="宋体"/>
          <w:color w:val="auto"/>
        </w:rPr>
        <w:t>2.1 “</w:t>
      </w:r>
      <w:r>
        <w:rPr>
          <w:rFonts w:hint="eastAsia" w:ascii="宋体" w:hAnsi="宋体"/>
          <w:color w:val="auto"/>
        </w:rPr>
        <w:t>采购人</w:t>
      </w:r>
      <w:r>
        <w:rPr>
          <w:rFonts w:ascii="宋体" w:hAnsi="宋体"/>
          <w:color w:val="auto"/>
        </w:rPr>
        <w:t>”</w:t>
      </w:r>
      <w:r>
        <w:rPr>
          <w:rFonts w:hint="eastAsia" w:ascii="宋体" w:hAnsi="宋体"/>
          <w:color w:val="auto"/>
        </w:rPr>
        <w:t>系指资产与实验室管理处；</w:t>
      </w:r>
    </w:p>
    <w:p>
      <w:pPr>
        <w:overflowPunct w:val="0"/>
        <w:adjustRightInd w:val="0"/>
        <w:snapToGrid w:val="0"/>
        <w:spacing w:line="440" w:lineRule="exact"/>
        <w:jc w:val="left"/>
        <w:rPr>
          <w:rFonts w:ascii="宋体" w:hAnsi="宋体"/>
          <w:color w:val="auto"/>
        </w:rPr>
      </w:pPr>
      <w:r>
        <w:rPr>
          <w:rFonts w:ascii="宋体" w:hAnsi="宋体"/>
          <w:color w:val="auto"/>
        </w:rPr>
        <w:t>2.2“</w:t>
      </w:r>
      <w:r>
        <w:rPr>
          <w:rFonts w:hint="eastAsia" w:ascii="宋体" w:hAnsi="宋体"/>
          <w:color w:val="auto"/>
        </w:rPr>
        <w:t>采购代理机构</w:t>
      </w:r>
      <w:r>
        <w:rPr>
          <w:rFonts w:ascii="宋体" w:hAnsi="宋体"/>
          <w:color w:val="auto"/>
        </w:rPr>
        <w:t>”</w:t>
      </w:r>
      <w:r>
        <w:rPr>
          <w:rFonts w:hint="eastAsia" w:ascii="宋体" w:hAnsi="宋体"/>
          <w:color w:val="auto"/>
        </w:rPr>
        <w:t>系指安徽立地工程咨询有限公司。</w:t>
      </w:r>
    </w:p>
    <w:p>
      <w:pPr>
        <w:overflowPunct w:val="0"/>
        <w:adjustRightInd w:val="0"/>
        <w:snapToGrid w:val="0"/>
        <w:spacing w:line="440" w:lineRule="exact"/>
        <w:jc w:val="left"/>
        <w:rPr>
          <w:rFonts w:ascii="宋体" w:hAnsi="宋体"/>
          <w:color w:val="auto"/>
        </w:rPr>
      </w:pPr>
      <w:r>
        <w:rPr>
          <w:rFonts w:ascii="宋体" w:hAnsi="宋体"/>
          <w:color w:val="auto"/>
        </w:rPr>
        <w:t>2.3 “</w:t>
      </w:r>
      <w:r>
        <w:rPr>
          <w:rFonts w:hint="eastAsia" w:ascii="宋体" w:hAnsi="宋体"/>
          <w:color w:val="auto"/>
        </w:rPr>
        <w:t>供应商</w:t>
      </w:r>
      <w:r>
        <w:rPr>
          <w:rFonts w:ascii="宋体" w:hAnsi="宋体"/>
          <w:color w:val="auto"/>
        </w:rPr>
        <w:t>”</w:t>
      </w:r>
      <w:r>
        <w:rPr>
          <w:rFonts w:hint="eastAsia" w:ascii="宋体" w:hAnsi="宋体"/>
          <w:color w:val="auto"/>
        </w:rPr>
        <w:t>系指响应采购人要求提交响应文件的单位。</w:t>
      </w:r>
    </w:p>
    <w:p>
      <w:pPr>
        <w:overflowPunct w:val="0"/>
        <w:adjustRightInd w:val="0"/>
        <w:snapToGrid w:val="0"/>
        <w:spacing w:line="440" w:lineRule="exact"/>
        <w:jc w:val="left"/>
        <w:rPr>
          <w:rFonts w:ascii="宋体" w:hAnsi="宋体"/>
          <w:color w:val="auto"/>
        </w:rPr>
      </w:pPr>
      <w:r>
        <w:rPr>
          <w:rFonts w:ascii="宋体" w:hAnsi="宋体"/>
          <w:color w:val="auto"/>
        </w:rPr>
        <w:t>2.4 “</w:t>
      </w:r>
      <w:r>
        <w:rPr>
          <w:rFonts w:hint="eastAsia" w:ascii="宋体" w:hAnsi="宋体"/>
          <w:color w:val="auto"/>
        </w:rPr>
        <w:t>谈判小组</w:t>
      </w:r>
      <w:r>
        <w:rPr>
          <w:rFonts w:ascii="宋体" w:hAnsi="宋体"/>
          <w:color w:val="auto"/>
        </w:rPr>
        <w:t>”</w:t>
      </w:r>
      <w:r>
        <w:rPr>
          <w:rFonts w:hint="eastAsia" w:ascii="宋体" w:hAnsi="宋体"/>
          <w:color w:val="auto"/>
        </w:rPr>
        <w:t>：是指采购人组建的专门负责本次谈判评审工作的临时机构。</w:t>
      </w:r>
    </w:p>
    <w:p>
      <w:pPr>
        <w:overflowPunct w:val="0"/>
        <w:adjustRightInd w:val="0"/>
        <w:snapToGrid w:val="0"/>
        <w:spacing w:line="440" w:lineRule="exact"/>
        <w:jc w:val="left"/>
        <w:rPr>
          <w:rFonts w:ascii="宋体" w:hAnsi="宋体"/>
          <w:color w:val="auto"/>
        </w:rPr>
      </w:pPr>
      <w:bookmarkStart w:id="34" w:name="_Toc246928898"/>
      <w:r>
        <w:rPr>
          <w:rFonts w:ascii="宋体" w:hAnsi="宋体"/>
          <w:color w:val="auto"/>
        </w:rPr>
        <w:t>2.5 “</w:t>
      </w:r>
      <w:r>
        <w:rPr>
          <w:rFonts w:hint="eastAsia" w:ascii="宋体" w:hAnsi="宋体"/>
          <w:color w:val="auto"/>
        </w:rPr>
        <w:t>服务</w:t>
      </w:r>
      <w:r>
        <w:rPr>
          <w:rFonts w:ascii="宋体" w:hAnsi="宋体"/>
          <w:color w:val="auto"/>
        </w:rPr>
        <w:t>”</w:t>
      </w:r>
      <w:r>
        <w:rPr>
          <w:rFonts w:hint="eastAsia" w:ascii="宋体" w:hAnsi="宋体"/>
          <w:color w:val="auto"/>
        </w:rPr>
        <w:t>系指谈判文件规定供应商须承担服务的义务。</w:t>
      </w:r>
    </w:p>
    <w:p>
      <w:pPr>
        <w:overflowPunct w:val="0"/>
        <w:adjustRightInd w:val="0"/>
        <w:snapToGrid w:val="0"/>
        <w:spacing w:line="440" w:lineRule="exact"/>
        <w:jc w:val="left"/>
        <w:rPr>
          <w:rFonts w:ascii="宋体" w:hAnsi="宋体"/>
          <w:color w:val="auto"/>
        </w:rPr>
      </w:pPr>
      <w:r>
        <w:rPr>
          <w:rFonts w:ascii="宋体" w:hAnsi="宋体"/>
          <w:color w:val="auto"/>
        </w:rPr>
        <w:t>2.6“</w:t>
      </w:r>
      <w:r>
        <w:rPr>
          <w:rFonts w:hint="eastAsia" w:ascii="宋体" w:hAnsi="宋体"/>
          <w:color w:val="auto"/>
        </w:rPr>
        <w:t>日期</w:t>
      </w:r>
      <w:r>
        <w:rPr>
          <w:rFonts w:ascii="宋体" w:hAnsi="宋体"/>
          <w:color w:val="auto"/>
        </w:rPr>
        <w:t>”</w:t>
      </w:r>
      <w:r>
        <w:rPr>
          <w:rFonts w:hint="eastAsia" w:ascii="宋体" w:hAnsi="宋体"/>
          <w:color w:val="auto"/>
        </w:rPr>
        <w:t>指日历日。</w:t>
      </w:r>
    </w:p>
    <w:p>
      <w:pPr>
        <w:overflowPunct w:val="0"/>
        <w:adjustRightInd w:val="0"/>
        <w:snapToGrid w:val="0"/>
        <w:spacing w:line="440" w:lineRule="exact"/>
        <w:jc w:val="left"/>
        <w:rPr>
          <w:rFonts w:ascii="宋体" w:hAnsi="宋体"/>
          <w:color w:val="auto"/>
        </w:rPr>
      </w:pPr>
      <w:r>
        <w:rPr>
          <w:rFonts w:ascii="宋体" w:hAnsi="宋体"/>
          <w:color w:val="auto"/>
        </w:rPr>
        <w:t>2.7</w:t>
      </w:r>
      <w:r>
        <w:rPr>
          <w:rFonts w:hint="eastAsia" w:ascii="宋体" w:hAnsi="宋体"/>
          <w:color w:val="auto"/>
        </w:rPr>
        <w:t>谈判文件中所规定的</w:t>
      </w:r>
      <w:r>
        <w:rPr>
          <w:rFonts w:ascii="宋体" w:hAnsi="宋体"/>
          <w:color w:val="auto"/>
        </w:rPr>
        <w:t>“</w:t>
      </w:r>
      <w:r>
        <w:rPr>
          <w:rFonts w:hint="eastAsia" w:ascii="宋体" w:hAnsi="宋体"/>
          <w:color w:val="auto"/>
        </w:rPr>
        <w:t>书面形式</w:t>
      </w:r>
      <w:r>
        <w:rPr>
          <w:rFonts w:ascii="宋体" w:hAnsi="宋体"/>
          <w:color w:val="auto"/>
        </w:rPr>
        <w:t>”</w:t>
      </w:r>
      <w:r>
        <w:rPr>
          <w:rFonts w:hint="eastAsia" w:ascii="宋体" w:hAnsi="宋体"/>
          <w:color w:val="auto"/>
        </w:rPr>
        <w:t>，是指任何手写的、打印或印刷的形式，包括电报和传真发送。</w:t>
      </w:r>
    </w:p>
    <w:p>
      <w:pPr>
        <w:pStyle w:val="9"/>
        <w:overflowPunct w:val="0"/>
        <w:adjustRightInd w:val="0"/>
        <w:snapToGrid w:val="0"/>
        <w:spacing w:before="0" w:after="0" w:line="440" w:lineRule="exact"/>
        <w:jc w:val="left"/>
        <w:rPr>
          <w:rFonts w:ascii="宋体" w:hAnsi="宋体"/>
          <w:color w:val="auto"/>
          <w:sz w:val="21"/>
          <w:szCs w:val="21"/>
        </w:rPr>
      </w:pPr>
      <w:bookmarkStart w:id="35" w:name="_Toc489284202"/>
      <w:bookmarkStart w:id="36" w:name="_Toc46309805"/>
      <w:r>
        <w:rPr>
          <w:rFonts w:ascii="宋体" w:hAnsi="宋体"/>
          <w:color w:val="auto"/>
          <w:sz w:val="21"/>
          <w:szCs w:val="21"/>
        </w:rPr>
        <w:t xml:space="preserve">3. </w:t>
      </w:r>
      <w:r>
        <w:rPr>
          <w:rFonts w:hint="eastAsia" w:ascii="宋体" w:hAnsi="宋体"/>
          <w:color w:val="auto"/>
          <w:sz w:val="21"/>
          <w:szCs w:val="21"/>
        </w:rPr>
        <w:t>合格的供应商</w:t>
      </w:r>
      <w:bookmarkEnd w:id="34"/>
      <w:bookmarkEnd w:id="35"/>
      <w:bookmarkEnd w:id="36"/>
    </w:p>
    <w:p>
      <w:pPr>
        <w:spacing w:line="440" w:lineRule="exact"/>
        <w:jc w:val="left"/>
        <w:rPr>
          <w:rFonts w:ascii="宋体" w:hAnsi="宋体" w:cs="宋体"/>
          <w:color w:val="auto"/>
          <w:kern w:val="0"/>
        </w:rPr>
      </w:pPr>
      <w:bookmarkStart w:id="37" w:name="_Toc489284203"/>
      <w:bookmarkStart w:id="38" w:name="_Toc311415574"/>
      <w:bookmarkStart w:id="39" w:name="_Toc246928900"/>
      <w:r>
        <w:rPr>
          <w:rFonts w:ascii="宋体" w:hAnsi="宋体"/>
          <w:color w:val="auto"/>
        </w:rPr>
        <w:t>3.1</w:t>
      </w:r>
      <w:r>
        <w:rPr>
          <w:rFonts w:hint="eastAsia" w:ascii="宋体" w:hAnsi="宋体"/>
          <w:color w:val="auto"/>
        </w:rPr>
        <w:t>供应商具有合法有效的营业执照、组织机构代码证、税务登记证（或三证合一的营业执照 ）</w:t>
      </w:r>
      <w:r>
        <w:rPr>
          <w:rFonts w:hint="eastAsia" w:ascii="宋体" w:hAnsi="宋体" w:cs="宋体"/>
          <w:color w:val="auto"/>
          <w:kern w:val="0"/>
        </w:rPr>
        <w:t>。</w:t>
      </w:r>
    </w:p>
    <w:p>
      <w:pPr>
        <w:spacing w:line="440" w:lineRule="exact"/>
        <w:jc w:val="left"/>
        <w:rPr>
          <w:rFonts w:ascii="宋体" w:hAnsi="宋体"/>
          <w:color w:val="auto"/>
        </w:rPr>
      </w:pPr>
      <w:r>
        <w:rPr>
          <w:rFonts w:hint="eastAsia" w:hAnsi="宋体" w:cs="宋体"/>
          <w:color w:val="auto"/>
          <w:kern w:val="0"/>
        </w:rPr>
        <w:t>3.2、</w:t>
      </w:r>
      <w:r>
        <w:rPr>
          <w:rFonts w:hint="eastAsia" w:ascii="宋体" w:hAnsi="宋体"/>
          <w:color w:val="auto"/>
        </w:rPr>
        <w:t>诚信谈判承诺书（格式见附件）；</w:t>
      </w:r>
    </w:p>
    <w:p>
      <w:pPr>
        <w:spacing w:line="440" w:lineRule="exact"/>
        <w:jc w:val="left"/>
        <w:rPr>
          <w:rFonts w:ascii="宋体" w:hAnsi="宋体"/>
          <w:color w:val="auto"/>
        </w:rPr>
      </w:pPr>
      <w:r>
        <w:rPr>
          <w:rFonts w:hint="eastAsia" w:ascii="宋体" w:hAnsi="宋体"/>
          <w:color w:val="auto"/>
        </w:rPr>
        <w:t>3.3、参加采购活动近三年内，在经营活动中没有重大违法记录的声明（格式见附件）；</w:t>
      </w:r>
    </w:p>
    <w:p>
      <w:pPr>
        <w:spacing w:line="440" w:lineRule="exact"/>
        <w:jc w:val="left"/>
        <w:rPr>
          <w:rFonts w:ascii="宋体" w:hAnsi="宋体"/>
          <w:color w:val="auto"/>
        </w:rPr>
      </w:pPr>
      <w:r>
        <w:rPr>
          <w:rFonts w:hint="eastAsia" w:ascii="宋体" w:hAnsi="宋体"/>
          <w:color w:val="auto"/>
        </w:rPr>
        <w:t>3.4、本项目不接受联合体参加谈判。</w:t>
      </w:r>
    </w:p>
    <w:p>
      <w:pPr>
        <w:pStyle w:val="9"/>
        <w:overflowPunct w:val="0"/>
        <w:adjustRightInd w:val="0"/>
        <w:snapToGrid w:val="0"/>
        <w:spacing w:before="0" w:after="0" w:line="440" w:lineRule="exact"/>
        <w:jc w:val="left"/>
        <w:rPr>
          <w:rFonts w:ascii="宋体" w:hAnsi="宋体"/>
          <w:color w:val="auto"/>
          <w:sz w:val="21"/>
          <w:szCs w:val="21"/>
        </w:rPr>
      </w:pPr>
      <w:bookmarkStart w:id="40" w:name="_Toc46309806"/>
      <w:r>
        <w:rPr>
          <w:rFonts w:ascii="宋体" w:hAnsi="宋体"/>
          <w:color w:val="auto"/>
          <w:sz w:val="21"/>
          <w:szCs w:val="21"/>
        </w:rPr>
        <w:t xml:space="preserve">4. </w:t>
      </w:r>
      <w:bookmarkEnd w:id="37"/>
      <w:bookmarkEnd w:id="38"/>
      <w:r>
        <w:rPr>
          <w:rFonts w:hint="eastAsia" w:ascii="宋体" w:hAnsi="宋体"/>
          <w:color w:val="auto"/>
          <w:sz w:val="21"/>
          <w:szCs w:val="21"/>
        </w:rPr>
        <w:t>服务期及服务质量</w:t>
      </w:r>
      <w:bookmarkEnd w:id="40"/>
    </w:p>
    <w:p>
      <w:pPr>
        <w:overflowPunct w:val="0"/>
        <w:adjustRightInd w:val="0"/>
        <w:snapToGrid w:val="0"/>
        <w:spacing w:line="440" w:lineRule="exact"/>
        <w:jc w:val="left"/>
        <w:rPr>
          <w:rFonts w:ascii="宋体" w:hAnsi="宋体" w:cs="宋体"/>
          <w:color w:val="auto"/>
          <w:kern w:val="0"/>
        </w:rPr>
      </w:pPr>
      <w:r>
        <w:rPr>
          <w:rFonts w:ascii="宋体" w:hAnsi="宋体"/>
          <w:color w:val="auto"/>
        </w:rPr>
        <w:t xml:space="preserve">4.1 </w:t>
      </w:r>
      <w:r>
        <w:rPr>
          <w:rFonts w:hint="eastAsia" w:ascii="宋体" w:hAnsi="宋体" w:cs="宋体"/>
          <w:color w:val="auto"/>
          <w:kern w:val="0"/>
        </w:rPr>
        <w:t>供货期：签订合同后7个日历天供货安装完毕。</w:t>
      </w:r>
    </w:p>
    <w:p>
      <w:pPr>
        <w:overflowPunct w:val="0"/>
        <w:adjustRightInd w:val="0"/>
        <w:snapToGrid w:val="0"/>
        <w:spacing w:line="440" w:lineRule="exact"/>
        <w:jc w:val="left"/>
        <w:rPr>
          <w:rFonts w:ascii="宋体" w:hAnsi="宋体" w:cs="宋体"/>
          <w:color w:val="auto"/>
          <w:kern w:val="0"/>
        </w:rPr>
      </w:pPr>
      <w:r>
        <w:rPr>
          <w:rFonts w:hint="eastAsia" w:ascii="宋体" w:hAnsi="宋体" w:cs="宋体"/>
          <w:color w:val="auto"/>
          <w:kern w:val="0"/>
        </w:rPr>
        <w:t>4.2服务质量：</w:t>
      </w:r>
      <w:r>
        <w:rPr>
          <w:rFonts w:hint="eastAsia" w:ascii="宋体" w:hAnsi="宋体" w:cs="宋体"/>
          <w:color w:val="auto"/>
        </w:rPr>
        <w:t>必须符合国家相关法律法规、地方标准及本谈判文件要求。</w:t>
      </w:r>
    </w:p>
    <w:p>
      <w:pPr>
        <w:pStyle w:val="9"/>
        <w:overflowPunct w:val="0"/>
        <w:adjustRightInd w:val="0"/>
        <w:snapToGrid w:val="0"/>
        <w:spacing w:before="0" w:after="0" w:line="440" w:lineRule="exact"/>
        <w:jc w:val="left"/>
        <w:rPr>
          <w:rFonts w:ascii="宋体" w:hAnsi="宋体"/>
          <w:color w:val="auto"/>
          <w:sz w:val="21"/>
          <w:szCs w:val="21"/>
        </w:rPr>
      </w:pPr>
      <w:bookmarkStart w:id="41" w:name="_Toc489284204"/>
      <w:bookmarkStart w:id="42" w:name="_Toc311415575"/>
      <w:bookmarkStart w:id="43" w:name="_Toc46309807"/>
      <w:r>
        <w:rPr>
          <w:rFonts w:ascii="宋体" w:hAnsi="宋体"/>
          <w:color w:val="auto"/>
          <w:sz w:val="21"/>
          <w:szCs w:val="21"/>
        </w:rPr>
        <w:t xml:space="preserve">5. </w:t>
      </w:r>
      <w:r>
        <w:rPr>
          <w:rFonts w:hint="eastAsia" w:ascii="宋体" w:hAnsi="宋体"/>
          <w:color w:val="auto"/>
          <w:sz w:val="21"/>
          <w:szCs w:val="21"/>
        </w:rPr>
        <w:t>费用</w:t>
      </w:r>
      <w:bookmarkEnd w:id="41"/>
      <w:bookmarkEnd w:id="42"/>
      <w:bookmarkEnd w:id="43"/>
    </w:p>
    <w:p>
      <w:pPr>
        <w:overflowPunct w:val="0"/>
        <w:adjustRightInd w:val="0"/>
        <w:snapToGrid w:val="0"/>
        <w:spacing w:line="440" w:lineRule="exact"/>
        <w:jc w:val="left"/>
        <w:rPr>
          <w:rFonts w:ascii="宋体" w:hAnsi="宋体"/>
          <w:color w:val="auto"/>
        </w:rPr>
      </w:pPr>
      <w:r>
        <w:rPr>
          <w:rFonts w:ascii="宋体" w:hAnsi="宋体"/>
          <w:color w:val="auto"/>
        </w:rPr>
        <w:t xml:space="preserve">5.1 </w:t>
      </w:r>
      <w:r>
        <w:rPr>
          <w:rFonts w:hint="eastAsia" w:ascii="宋体" w:hAnsi="宋体"/>
          <w:color w:val="auto"/>
        </w:rPr>
        <w:t>供应商应承担所有与准备和参加谈判有关的费用。无论谈判的结果如何，采购方和采购代理机构均无义务和责任承担这些费用。</w:t>
      </w:r>
    </w:p>
    <w:p>
      <w:pPr>
        <w:pStyle w:val="8"/>
        <w:spacing w:before="0" w:after="0" w:line="500" w:lineRule="exact"/>
        <w:jc w:val="center"/>
        <w:rPr>
          <w:rFonts w:ascii="宋体" w:hAnsi="宋体" w:eastAsia="宋体"/>
          <w:bCs w:val="0"/>
          <w:color w:val="auto"/>
          <w:sz w:val="21"/>
          <w:szCs w:val="21"/>
        </w:rPr>
      </w:pPr>
      <w:bookmarkStart w:id="44" w:name="_Toc46309808"/>
      <w:bookmarkStart w:id="45" w:name="_Toc489284205"/>
      <w:r>
        <w:rPr>
          <w:rFonts w:ascii="宋体" w:hAnsi="宋体" w:eastAsia="宋体"/>
          <w:bCs w:val="0"/>
          <w:color w:val="auto"/>
          <w:sz w:val="28"/>
          <w:szCs w:val="28"/>
        </w:rPr>
        <w:t xml:space="preserve">B </w:t>
      </w:r>
      <w:r>
        <w:rPr>
          <w:rFonts w:hint="eastAsia" w:ascii="宋体" w:hAnsi="宋体" w:eastAsia="宋体"/>
          <w:bCs w:val="0"/>
          <w:color w:val="auto"/>
          <w:sz w:val="28"/>
          <w:szCs w:val="28"/>
        </w:rPr>
        <w:t>谈判文件说明</w:t>
      </w:r>
      <w:bookmarkEnd w:id="39"/>
      <w:bookmarkEnd w:id="44"/>
      <w:bookmarkEnd w:id="45"/>
    </w:p>
    <w:p>
      <w:pPr>
        <w:pStyle w:val="9"/>
        <w:overflowPunct w:val="0"/>
        <w:adjustRightInd w:val="0"/>
        <w:snapToGrid w:val="0"/>
        <w:spacing w:before="0" w:after="0" w:line="440" w:lineRule="exact"/>
        <w:jc w:val="left"/>
        <w:rPr>
          <w:rFonts w:ascii="宋体" w:hAnsi="宋体"/>
          <w:color w:val="auto"/>
          <w:sz w:val="21"/>
          <w:szCs w:val="21"/>
        </w:rPr>
      </w:pPr>
      <w:bookmarkStart w:id="46" w:name="_Toc46309809"/>
      <w:bookmarkStart w:id="47" w:name="_Toc246928901"/>
      <w:bookmarkStart w:id="48" w:name="_Toc489284206"/>
      <w:r>
        <w:rPr>
          <w:rFonts w:ascii="宋体" w:hAnsi="宋体"/>
          <w:color w:val="auto"/>
          <w:sz w:val="21"/>
          <w:szCs w:val="21"/>
        </w:rPr>
        <w:t>6</w:t>
      </w:r>
      <w:r>
        <w:rPr>
          <w:rFonts w:hint="eastAsia" w:ascii="宋体" w:hAnsi="宋体"/>
          <w:color w:val="auto"/>
          <w:sz w:val="21"/>
          <w:szCs w:val="21"/>
        </w:rPr>
        <w:t>．谈判文件的构成</w:t>
      </w:r>
      <w:bookmarkEnd w:id="46"/>
      <w:bookmarkEnd w:id="47"/>
      <w:bookmarkEnd w:id="48"/>
    </w:p>
    <w:p>
      <w:pPr>
        <w:overflowPunct w:val="0"/>
        <w:adjustRightInd w:val="0"/>
        <w:snapToGrid w:val="0"/>
        <w:spacing w:line="440" w:lineRule="exact"/>
        <w:jc w:val="left"/>
        <w:rPr>
          <w:rFonts w:ascii="宋体" w:hAnsi="宋体"/>
          <w:color w:val="auto"/>
        </w:rPr>
      </w:pPr>
      <w:r>
        <w:rPr>
          <w:rFonts w:ascii="宋体" w:hAnsi="宋体"/>
          <w:color w:val="auto"/>
        </w:rPr>
        <w:t xml:space="preserve">6.1 </w:t>
      </w:r>
      <w:r>
        <w:rPr>
          <w:rFonts w:hint="eastAsia" w:ascii="宋体" w:hAnsi="宋体"/>
          <w:color w:val="auto"/>
        </w:rPr>
        <w:t>谈判文件用以阐明所需提供的服务、采购、谈判程序和合同条件。谈判文件包括：</w:t>
      </w:r>
    </w:p>
    <w:p>
      <w:pPr>
        <w:overflowPunct w:val="0"/>
        <w:adjustRightInd w:val="0"/>
        <w:snapToGrid w:val="0"/>
        <w:spacing w:line="440" w:lineRule="exact"/>
        <w:jc w:val="left"/>
        <w:rPr>
          <w:rFonts w:ascii="宋体" w:hAnsi="宋体"/>
          <w:color w:val="auto"/>
        </w:rPr>
      </w:pPr>
      <w:r>
        <w:rPr>
          <w:rFonts w:hint="eastAsia" w:ascii="宋体" w:hAnsi="宋体"/>
          <w:color w:val="auto"/>
        </w:rPr>
        <w:t>第一部分</w:t>
      </w:r>
      <w:r>
        <w:rPr>
          <w:rFonts w:ascii="宋体" w:hAnsi="宋体"/>
          <w:color w:val="auto"/>
        </w:rPr>
        <w:t xml:space="preserve">  </w:t>
      </w:r>
      <w:r>
        <w:rPr>
          <w:rFonts w:hint="eastAsia" w:ascii="宋体" w:hAnsi="宋体"/>
          <w:color w:val="auto"/>
        </w:rPr>
        <w:t>竞争性谈判邀请</w:t>
      </w:r>
    </w:p>
    <w:p>
      <w:pPr>
        <w:overflowPunct w:val="0"/>
        <w:adjustRightInd w:val="0"/>
        <w:snapToGrid w:val="0"/>
        <w:spacing w:line="440" w:lineRule="exact"/>
        <w:jc w:val="left"/>
        <w:rPr>
          <w:rFonts w:ascii="宋体" w:hAnsi="宋体"/>
          <w:color w:val="auto"/>
        </w:rPr>
      </w:pPr>
      <w:r>
        <w:rPr>
          <w:rFonts w:hint="eastAsia" w:ascii="宋体" w:hAnsi="宋体"/>
          <w:color w:val="auto"/>
        </w:rPr>
        <w:t>第二部分</w:t>
      </w:r>
      <w:r>
        <w:rPr>
          <w:rFonts w:ascii="宋体" w:hAnsi="宋体"/>
          <w:color w:val="auto"/>
        </w:rPr>
        <w:t xml:space="preserve">  </w:t>
      </w:r>
      <w:r>
        <w:rPr>
          <w:rFonts w:hint="eastAsia" w:ascii="宋体" w:hAnsi="宋体"/>
          <w:color w:val="auto"/>
        </w:rPr>
        <w:t>供应商须知前附表</w:t>
      </w:r>
    </w:p>
    <w:p>
      <w:pPr>
        <w:overflowPunct w:val="0"/>
        <w:adjustRightInd w:val="0"/>
        <w:snapToGrid w:val="0"/>
        <w:spacing w:line="440" w:lineRule="exact"/>
        <w:jc w:val="left"/>
        <w:rPr>
          <w:rFonts w:ascii="宋体" w:hAnsi="宋体"/>
          <w:color w:val="auto"/>
        </w:rPr>
      </w:pPr>
      <w:r>
        <w:rPr>
          <w:rFonts w:hint="eastAsia" w:ascii="宋体" w:hAnsi="宋体"/>
          <w:color w:val="auto"/>
        </w:rPr>
        <w:t>第三部分</w:t>
      </w:r>
      <w:r>
        <w:rPr>
          <w:rFonts w:ascii="宋体" w:hAnsi="宋体"/>
          <w:color w:val="auto"/>
        </w:rPr>
        <w:t xml:space="preserve">  </w:t>
      </w:r>
      <w:r>
        <w:rPr>
          <w:rFonts w:hint="eastAsia" w:ascii="宋体" w:hAnsi="宋体"/>
          <w:color w:val="auto"/>
        </w:rPr>
        <w:t>供应商须知</w:t>
      </w:r>
    </w:p>
    <w:p>
      <w:pPr>
        <w:overflowPunct w:val="0"/>
        <w:adjustRightInd w:val="0"/>
        <w:snapToGrid w:val="0"/>
        <w:spacing w:line="440" w:lineRule="exact"/>
        <w:jc w:val="left"/>
        <w:rPr>
          <w:rFonts w:ascii="宋体" w:hAnsi="宋体"/>
          <w:color w:val="auto"/>
        </w:rPr>
      </w:pPr>
      <w:r>
        <w:rPr>
          <w:rFonts w:hint="eastAsia" w:ascii="宋体" w:hAnsi="宋体"/>
          <w:color w:val="auto"/>
        </w:rPr>
        <w:t>第四部分</w:t>
      </w:r>
      <w:r>
        <w:rPr>
          <w:rFonts w:ascii="宋体" w:hAnsi="宋体"/>
          <w:color w:val="auto"/>
        </w:rPr>
        <w:t xml:space="preserve">  </w:t>
      </w:r>
      <w:r>
        <w:rPr>
          <w:rFonts w:hint="eastAsia" w:ascii="宋体" w:hAnsi="宋体"/>
          <w:color w:val="auto"/>
        </w:rPr>
        <w:t>谈判办法</w:t>
      </w:r>
    </w:p>
    <w:p>
      <w:pPr>
        <w:overflowPunct w:val="0"/>
        <w:adjustRightInd w:val="0"/>
        <w:snapToGrid w:val="0"/>
        <w:spacing w:line="440" w:lineRule="exact"/>
        <w:jc w:val="left"/>
        <w:rPr>
          <w:rFonts w:ascii="宋体" w:hAnsi="宋体"/>
          <w:color w:val="auto"/>
        </w:rPr>
      </w:pPr>
      <w:r>
        <w:rPr>
          <w:rFonts w:hint="eastAsia" w:ascii="宋体" w:hAnsi="宋体"/>
          <w:color w:val="auto"/>
        </w:rPr>
        <w:t>第五部分</w:t>
      </w:r>
      <w:r>
        <w:rPr>
          <w:rFonts w:ascii="宋体" w:hAnsi="宋体"/>
          <w:color w:val="auto"/>
        </w:rPr>
        <w:t xml:space="preserve">  </w:t>
      </w:r>
      <w:r>
        <w:rPr>
          <w:rFonts w:hint="eastAsia" w:ascii="宋体" w:hAnsi="宋体"/>
          <w:color w:val="auto"/>
        </w:rPr>
        <w:t>采购内容及服务要求</w:t>
      </w:r>
    </w:p>
    <w:p>
      <w:pPr>
        <w:overflowPunct w:val="0"/>
        <w:adjustRightInd w:val="0"/>
        <w:snapToGrid w:val="0"/>
        <w:spacing w:line="440" w:lineRule="exact"/>
        <w:jc w:val="left"/>
        <w:rPr>
          <w:rFonts w:ascii="宋体" w:hAnsi="宋体"/>
          <w:color w:val="auto"/>
        </w:rPr>
      </w:pPr>
      <w:r>
        <w:rPr>
          <w:rFonts w:hint="eastAsia" w:ascii="宋体" w:hAnsi="宋体"/>
          <w:color w:val="auto"/>
        </w:rPr>
        <w:t>第六部分</w:t>
      </w:r>
      <w:r>
        <w:rPr>
          <w:rFonts w:ascii="宋体" w:hAnsi="宋体"/>
          <w:color w:val="auto"/>
        </w:rPr>
        <w:t xml:space="preserve">  </w:t>
      </w:r>
      <w:r>
        <w:rPr>
          <w:rFonts w:hint="eastAsia" w:ascii="宋体" w:hAnsi="宋体"/>
          <w:color w:val="auto"/>
        </w:rPr>
        <w:t>合同条款</w:t>
      </w:r>
    </w:p>
    <w:p>
      <w:pPr>
        <w:overflowPunct w:val="0"/>
        <w:adjustRightInd w:val="0"/>
        <w:snapToGrid w:val="0"/>
        <w:spacing w:line="440" w:lineRule="exact"/>
        <w:jc w:val="left"/>
        <w:rPr>
          <w:rFonts w:ascii="宋体" w:hAnsi="宋体"/>
          <w:color w:val="auto"/>
        </w:rPr>
      </w:pPr>
      <w:r>
        <w:rPr>
          <w:rFonts w:hint="eastAsia" w:ascii="宋体" w:hAnsi="宋体"/>
          <w:color w:val="auto"/>
        </w:rPr>
        <w:t>第七部分</w:t>
      </w:r>
      <w:r>
        <w:rPr>
          <w:rFonts w:ascii="宋体" w:hAnsi="宋体"/>
          <w:color w:val="auto"/>
        </w:rPr>
        <w:t xml:space="preserve">  </w:t>
      </w:r>
      <w:r>
        <w:rPr>
          <w:rFonts w:hint="eastAsia" w:ascii="宋体" w:hAnsi="宋体"/>
          <w:color w:val="auto"/>
        </w:rPr>
        <w:t>附件</w:t>
      </w:r>
      <w:r>
        <w:rPr>
          <w:rFonts w:ascii="宋体" w:hAnsi="宋体"/>
          <w:color w:val="auto"/>
        </w:rPr>
        <w:t>--</w:t>
      </w:r>
      <w:r>
        <w:rPr>
          <w:rFonts w:hint="eastAsia" w:ascii="宋体" w:hAnsi="宋体"/>
          <w:color w:val="auto"/>
        </w:rPr>
        <w:t>响应文件格式</w:t>
      </w:r>
    </w:p>
    <w:p>
      <w:pPr>
        <w:overflowPunct w:val="0"/>
        <w:adjustRightInd w:val="0"/>
        <w:snapToGrid w:val="0"/>
        <w:spacing w:line="440" w:lineRule="exact"/>
        <w:jc w:val="left"/>
        <w:rPr>
          <w:rFonts w:ascii="宋体" w:hAnsi="宋体"/>
          <w:color w:val="auto"/>
        </w:rPr>
      </w:pPr>
      <w:r>
        <w:rPr>
          <w:rFonts w:hint="eastAsia" w:ascii="宋体" w:hAnsi="宋体"/>
          <w:color w:val="auto"/>
        </w:rPr>
        <w:t>第八部分  采购单位、采购代理机构对本谈判文件的确认</w:t>
      </w:r>
    </w:p>
    <w:p>
      <w:pPr>
        <w:overflowPunct w:val="0"/>
        <w:adjustRightInd w:val="0"/>
        <w:snapToGrid w:val="0"/>
        <w:spacing w:line="440" w:lineRule="exact"/>
        <w:jc w:val="left"/>
        <w:rPr>
          <w:rFonts w:ascii="宋体" w:hAnsi="宋体"/>
          <w:color w:val="auto"/>
        </w:rPr>
      </w:pPr>
      <w:r>
        <w:rPr>
          <w:rFonts w:ascii="宋体" w:hAnsi="宋体"/>
          <w:color w:val="auto"/>
        </w:rPr>
        <w:t>6.2</w:t>
      </w:r>
      <w:r>
        <w:rPr>
          <w:rFonts w:hint="eastAsia" w:ascii="宋体" w:hAnsi="宋体"/>
          <w:color w:val="auto"/>
        </w:rPr>
        <w:t>供应商应认真阅读谈判文件中所有的事项、格式条款和规范要求等。供应商没有对谈判文件全面做出实质性响应是供应商的风险。</w:t>
      </w:r>
      <w:bookmarkStart w:id="49" w:name="_Toc246928902"/>
    </w:p>
    <w:p>
      <w:pPr>
        <w:pStyle w:val="9"/>
        <w:overflowPunct w:val="0"/>
        <w:adjustRightInd w:val="0"/>
        <w:snapToGrid w:val="0"/>
        <w:spacing w:before="0" w:after="0" w:line="440" w:lineRule="exact"/>
        <w:jc w:val="left"/>
        <w:rPr>
          <w:rFonts w:ascii="宋体" w:hAnsi="宋体"/>
          <w:color w:val="auto"/>
          <w:sz w:val="21"/>
          <w:szCs w:val="21"/>
        </w:rPr>
      </w:pPr>
      <w:bookmarkStart w:id="50" w:name="_Toc46309810"/>
      <w:bookmarkStart w:id="51" w:name="_Toc489284207"/>
      <w:r>
        <w:rPr>
          <w:rFonts w:ascii="宋体" w:hAnsi="宋体"/>
          <w:color w:val="auto"/>
          <w:sz w:val="21"/>
          <w:szCs w:val="21"/>
        </w:rPr>
        <w:t>7</w:t>
      </w:r>
      <w:r>
        <w:rPr>
          <w:rFonts w:hint="eastAsia" w:ascii="宋体" w:hAnsi="宋体"/>
          <w:color w:val="auto"/>
          <w:sz w:val="21"/>
          <w:szCs w:val="21"/>
        </w:rPr>
        <w:t>．谈判文件的澄清</w:t>
      </w:r>
      <w:bookmarkEnd w:id="49"/>
      <w:bookmarkEnd w:id="50"/>
      <w:bookmarkEnd w:id="51"/>
    </w:p>
    <w:p>
      <w:pPr>
        <w:overflowPunct w:val="0"/>
        <w:adjustRightInd w:val="0"/>
        <w:snapToGrid w:val="0"/>
        <w:spacing w:line="440" w:lineRule="exact"/>
        <w:jc w:val="left"/>
        <w:rPr>
          <w:rFonts w:ascii="宋体" w:hAnsi="宋体"/>
          <w:color w:val="auto"/>
        </w:rPr>
      </w:pPr>
      <w:bookmarkStart w:id="52" w:name="_Toc246928903"/>
      <w:r>
        <w:rPr>
          <w:rFonts w:ascii="宋体" w:hAnsi="宋体"/>
          <w:color w:val="auto"/>
        </w:rPr>
        <w:t xml:space="preserve">7.1 </w:t>
      </w:r>
      <w:r>
        <w:rPr>
          <w:rFonts w:hint="eastAsia" w:ascii="宋体" w:hAnsi="宋体"/>
          <w:color w:val="auto"/>
        </w:rPr>
        <w:t>任何要求对谈判文件澄清的供应商，请按供应商须知前附表规定的时间和方式提出，采购人将按供应商须知前附表规定的时间和方式进行答复，并发送至各供应商谈判文件收受人。变更或修正内容发布更正公告，并以书面形式（或电子邮件形式）通知所有谈判文件收受人，且作为谈判文件的组成部分。</w:t>
      </w:r>
    </w:p>
    <w:p>
      <w:pPr>
        <w:pStyle w:val="9"/>
        <w:overflowPunct w:val="0"/>
        <w:adjustRightInd w:val="0"/>
        <w:snapToGrid w:val="0"/>
        <w:spacing w:before="0" w:after="0" w:line="440" w:lineRule="exact"/>
        <w:jc w:val="left"/>
        <w:rPr>
          <w:rFonts w:ascii="宋体" w:hAnsi="宋体"/>
          <w:color w:val="auto"/>
          <w:sz w:val="21"/>
          <w:szCs w:val="21"/>
        </w:rPr>
      </w:pPr>
      <w:bookmarkStart w:id="53" w:name="_Toc46309811"/>
      <w:bookmarkStart w:id="54" w:name="_Toc489284208"/>
      <w:r>
        <w:rPr>
          <w:rFonts w:ascii="宋体" w:hAnsi="宋体"/>
          <w:color w:val="auto"/>
          <w:sz w:val="21"/>
          <w:szCs w:val="21"/>
        </w:rPr>
        <w:t>8</w:t>
      </w:r>
      <w:r>
        <w:rPr>
          <w:rFonts w:hint="eastAsia" w:ascii="宋体" w:hAnsi="宋体"/>
          <w:color w:val="auto"/>
          <w:sz w:val="21"/>
          <w:szCs w:val="21"/>
        </w:rPr>
        <w:t>．谈判文件的修改</w:t>
      </w:r>
      <w:bookmarkEnd w:id="52"/>
      <w:bookmarkEnd w:id="53"/>
      <w:bookmarkEnd w:id="54"/>
    </w:p>
    <w:p>
      <w:pPr>
        <w:overflowPunct w:val="0"/>
        <w:adjustRightInd w:val="0"/>
        <w:snapToGrid w:val="0"/>
        <w:spacing w:line="440" w:lineRule="exact"/>
        <w:jc w:val="left"/>
        <w:rPr>
          <w:rFonts w:ascii="宋体" w:hAnsi="宋体"/>
          <w:color w:val="auto"/>
        </w:rPr>
      </w:pPr>
      <w:bookmarkStart w:id="55" w:name="_Toc409684168"/>
      <w:bookmarkStart w:id="56" w:name="_Toc332874421"/>
      <w:bookmarkStart w:id="57" w:name="_Toc311415580"/>
      <w:bookmarkStart w:id="58" w:name="_Toc283626504"/>
      <w:bookmarkStart w:id="59" w:name="_Toc283240488"/>
      <w:bookmarkStart w:id="60" w:name="_Toc389620207"/>
      <w:bookmarkStart w:id="61" w:name="_Toc385992368"/>
      <w:bookmarkStart w:id="62" w:name="_Toc246928929"/>
      <w:r>
        <w:rPr>
          <w:rFonts w:ascii="宋体" w:hAnsi="宋体"/>
          <w:color w:val="auto"/>
        </w:rPr>
        <w:t xml:space="preserve">8.1 </w:t>
      </w:r>
      <w:r>
        <w:rPr>
          <w:rFonts w:hint="eastAsia" w:ascii="宋体" w:hAnsi="宋体"/>
          <w:color w:val="auto"/>
        </w:rPr>
        <w:t>在谈判文件要求提交响应文件截止时间前，无论出于何种原因，采购人可主动地或在解答供应商要求澄清的问题时对谈判文件进行修改。</w:t>
      </w:r>
    </w:p>
    <w:p>
      <w:pPr>
        <w:overflowPunct w:val="0"/>
        <w:adjustRightInd w:val="0"/>
        <w:snapToGrid w:val="0"/>
        <w:spacing w:line="440" w:lineRule="exact"/>
        <w:jc w:val="left"/>
        <w:rPr>
          <w:rFonts w:ascii="宋体" w:hAnsi="宋体"/>
          <w:color w:val="auto"/>
        </w:rPr>
      </w:pPr>
      <w:r>
        <w:rPr>
          <w:rFonts w:ascii="宋体" w:hAnsi="宋体"/>
          <w:color w:val="auto"/>
        </w:rPr>
        <w:t xml:space="preserve">8.2 </w:t>
      </w:r>
      <w:r>
        <w:rPr>
          <w:rFonts w:hint="eastAsia" w:ascii="宋体" w:hAnsi="宋体"/>
          <w:color w:val="auto"/>
        </w:rPr>
        <w:t>谈判文件的修改将以书面形式通知所有谈判文件的收受人，供应商在收到该通知后应立即以传真的形式予以确认。</w:t>
      </w:r>
    </w:p>
    <w:p>
      <w:pPr>
        <w:overflowPunct w:val="0"/>
        <w:adjustRightInd w:val="0"/>
        <w:snapToGrid w:val="0"/>
        <w:spacing w:line="440" w:lineRule="exact"/>
        <w:jc w:val="left"/>
        <w:rPr>
          <w:rFonts w:ascii="宋体" w:hAnsi="宋体"/>
          <w:color w:val="auto"/>
        </w:rPr>
      </w:pPr>
      <w:r>
        <w:rPr>
          <w:rFonts w:ascii="宋体" w:hAnsi="宋体"/>
          <w:color w:val="auto"/>
        </w:rPr>
        <w:t xml:space="preserve">8.3 </w:t>
      </w:r>
      <w:r>
        <w:rPr>
          <w:rFonts w:hint="eastAsia" w:ascii="宋体" w:hAnsi="宋体"/>
          <w:color w:val="auto"/>
        </w:rPr>
        <w:t>为使供应商在准备响应文件时，有充分的时间对谈判文件的修改进行研究考虑，采购人可自行决定，酌情推迟谈判截止日期，并以书面形式通知所有已收受谈判文件的供应商。</w:t>
      </w:r>
    </w:p>
    <w:p>
      <w:pPr>
        <w:overflowPunct w:val="0"/>
        <w:adjustRightInd w:val="0"/>
        <w:snapToGrid w:val="0"/>
        <w:spacing w:line="440" w:lineRule="exact"/>
        <w:jc w:val="left"/>
        <w:rPr>
          <w:rFonts w:ascii="宋体" w:hAnsi="宋体"/>
          <w:color w:val="auto"/>
        </w:rPr>
      </w:pPr>
      <w:r>
        <w:rPr>
          <w:rFonts w:ascii="宋体" w:hAnsi="宋体"/>
          <w:color w:val="auto"/>
        </w:rPr>
        <w:t xml:space="preserve">8.4 </w:t>
      </w:r>
      <w:r>
        <w:rPr>
          <w:rFonts w:hint="eastAsia" w:ascii="宋体" w:hAnsi="宋体"/>
          <w:color w:val="auto"/>
        </w:rPr>
        <w:t>谈判文件的修改书将构成谈判文件的一部分，对采购人和供应商都具有约束力。</w:t>
      </w:r>
    </w:p>
    <w:p>
      <w:pPr>
        <w:pStyle w:val="8"/>
        <w:spacing w:before="0" w:after="0" w:line="500" w:lineRule="exact"/>
        <w:jc w:val="center"/>
        <w:rPr>
          <w:rFonts w:ascii="宋体" w:hAnsi="宋体" w:eastAsia="宋体"/>
          <w:bCs w:val="0"/>
          <w:color w:val="auto"/>
          <w:sz w:val="28"/>
          <w:szCs w:val="28"/>
        </w:rPr>
      </w:pPr>
      <w:bookmarkStart w:id="63" w:name="_Toc489284209"/>
      <w:bookmarkStart w:id="64" w:name="_Toc46309812"/>
      <w:r>
        <w:rPr>
          <w:rFonts w:ascii="宋体" w:hAnsi="宋体" w:eastAsia="宋体"/>
          <w:bCs w:val="0"/>
          <w:color w:val="auto"/>
          <w:sz w:val="28"/>
          <w:szCs w:val="28"/>
        </w:rPr>
        <w:t xml:space="preserve">C  </w:t>
      </w:r>
      <w:r>
        <w:rPr>
          <w:rFonts w:hint="eastAsia" w:ascii="宋体" w:hAnsi="宋体" w:eastAsia="宋体"/>
          <w:bCs w:val="0"/>
          <w:color w:val="auto"/>
          <w:sz w:val="28"/>
          <w:szCs w:val="28"/>
        </w:rPr>
        <w:t>响应文件的编写</w:t>
      </w:r>
      <w:bookmarkEnd w:id="55"/>
      <w:bookmarkEnd w:id="56"/>
      <w:bookmarkEnd w:id="57"/>
      <w:bookmarkEnd w:id="58"/>
      <w:bookmarkEnd w:id="59"/>
      <w:bookmarkEnd w:id="63"/>
      <w:bookmarkEnd w:id="64"/>
    </w:p>
    <w:p>
      <w:pPr>
        <w:pStyle w:val="9"/>
        <w:overflowPunct w:val="0"/>
        <w:adjustRightInd w:val="0"/>
        <w:snapToGrid w:val="0"/>
        <w:spacing w:before="0" w:after="0" w:line="440" w:lineRule="exact"/>
        <w:jc w:val="left"/>
        <w:rPr>
          <w:rFonts w:ascii="宋体" w:hAnsi="宋体"/>
          <w:color w:val="auto"/>
          <w:sz w:val="21"/>
          <w:szCs w:val="21"/>
        </w:rPr>
      </w:pPr>
      <w:bookmarkStart w:id="65" w:name="_Toc311415581"/>
      <w:bookmarkStart w:id="66" w:name="_Toc46309813"/>
      <w:bookmarkStart w:id="67" w:name="_Toc489284210"/>
      <w:r>
        <w:rPr>
          <w:rFonts w:ascii="宋体" w:hAnsi="宋体"/>
          <w:color w:val="auto"/>
          <w:sz w:val="21"/>
          <w:szCs w:val="21"/>
        </w:rPr>
        <w:t>9</w:t>
      </w:r>
      <w:r>
        <w:rPr>
          <w:rFonts w:hint="eastAsia" w:ascii="宋体" w:hAnsi="宋体"/>
          <w:color w:val="auto"/>
          <w:sz w:val="21"/>
          <w:szCs w:val="21"/>
        </w:rPr>
        <w:t>．响应文件编制的原则</w:t>
      </w:r>
      <w:bookmarkEnd w:id="65"/>
      <w:bookmarkEnd w:id="66"/>
      <w:bookmarkEnd w:id="67"/>
    </w:p>
    <w:p>
      <w:pPr>
        <w:overflowPunct w:val="0"/>
        <w:adjustRightInd w:val="0"/>
        <w:snapToGrid w:val="0"/>
        <w:spacing w:line="440" w:lineRule="exact"/>
        <w:jc w:val="left"/>
        <w:rPr>
          <w:rFonts w:ascii="宋体" w:hAnsi="宋体"/>
          <w:color w:val="auto"/>
        </w:rPr>
      </w:pPr>
      <w:bookmarkStart w:id="68" w:name="_Toc311415582"/>
      <w:r>
        <w:rPr>
          <w:rFonts w:ascii="宋体" w:hAnsi="宋体"/>
          <w:color w:val="auto"/>
        </w:rPr>
        <w:t xml:space="preserve">9.1 </w:t>
      </w:r>
      <w:r>
        <w:rPr>
          <w:rFonts w:hint="eastAsia" w:ascii="宋体" w:hAnsi="宋体"/>
          <w:color w:val="auto"/>
        </w:rPr>
        <w:t>供应商应在认真阅读谈判文件所有内容的基础上，按照谈判文件的要求编制完整的响应文件。谈判文件中对响应文件格式有要求的，应按格式逐项填写内容；无相应内容可填的项应填写</w:t>
      </w:r>
      <w:r>
        <w:rPr>
          <w:rFonts w:ascii="宋体" w:hAnsi="宋体"/>
          <w:color w:val="auto"/>
        </w:rPr>
        <w:t>“</w:t>
      </w:r>
      <w:r>
        <w:rPr>
          <w:rFonts w:hint="eastAsia" w:ascii="宋体" w:hAnsi="宋体"/>
          <w:color w:val="auto"/>
        </w:rPr>
        <w:t>无</w:t>
      </w:r>
      <w:r>
        <w:rPr>
          <w:rFonts w:ascii="宋体" w:hAnsi="宋体"/>
          <w:color w:val="auto"/>
        </w:rPr>
        <w:t>”</w:t>
      </w:r>
      <w:r>
        <w:rPr>
          <w:rFonts w:hint="eastAsia" w:ascii="宋体" w:hAnsi="宋体"/>
          <w:color w:val="auto"/>
        </w:rPr>
        <w:t>、</w:t>
      </w:r>
      <w:r>
        <w:rPr>
          <w:rFonts w:ascii="宋体" w:hAnsi="宋体"/>
          <w:color w:val="auto"/>
        </w:rPr>
        <w:t>“</w:t>
      </w:r>
      <w:r>
        <w:rPr>
          <w:rFonts w:hint="eastAsia" w:ascii="宋体" w:hAnsi="宋体"/>
          <w:color w:val="auto"/>
        </w:rPr>
        <w:t>没有相应指标</w:t>
      </w:r>
      <w:r>
        <w:rPr>
          <w:rFonts w:ascii="宋体" w:hAnsi="宋体"/>
          <w:color w:val="auto"/>
        </w:rPr>
        <w:t>”</w:t>
      </w:r>
      <w:r>
        <w:rPr>
          <w:rFonts w:hint="eastAsia" w:ascii="宋体" w:hAnsi="宋体"/>
          <w:color w:val="auto"/>
        </w:rPr>
        <w:t>等明确的回答文字。</w:t>
      </w:r>
    </w:p>
    <w:p>
      <w:pPr>
        <w:overflowPunct w:val="0"/>
        <w:adjustRightInd w:val="0"/>
        <w:snapToGrid w:val="0"/>
        <w:spacing w:line="440" w:lineRule="exact"/>
        <w:jc w:val="left"/>
        <w:rPr>
          <w:rFonts w:ascii="宋体" w:hAnsi="宋体"/>
          <w:color w:val="auto"/>
        </w:rPr>
      </w:pPr>
      <w:r>
        <w:rPr>
          <w:rFonts w:ascii="宋体" w:hAnsi="宋体"/>
          <w:color w:val="auto"/>
        </w:rPr>
        <w:t xml:space="preserve">9.2 </w:t>
      </w:r>
      <w:r>
        <w:rPr>
          <w:rFonts w:hint="eastAsia" w:ascii="宋体" w:hAnsi="宋体"/>
          <w:color w:val="auto"/>
        </w:rPr>
        <w:t>供应商必须保证响应文件所提供的全部资料真实可靠，并接受对其中任何资料进一步审查的要求。</w:t>
      </w:r>
    </w:p>
    <w:p>
      <w:pPr>
        <w:overflowPunct w:val="0"/>
        <w:adjustRightInd w:val="0"/>
        <w:snapToGrid w:val="0"/>
        <w:spacing w:line="440" w:lineRule="exact"/>
        <w:jc w:val="left"/>
        <w:rPr>
          <w:rFonts w:ascii="宋体" w:hAnsi="宋体"/>
          <w:color w:val="auto"/>
        </w:rPr>
      </w:pPr>
      <w:r>
        <w:rPr>
          <w:rFonts w:ascii="宋体" w:hAnsi="宋体"/>
          <w:color w:val="auto"/>
        </w:rPr>
        <w:t xml:space="preserve">9.3 </w:t>
      </w:r>
      <w:r>
        <w:rPr>
          <w:rFonts w:hint="eastAsia" w:ascii="宋体" w:hAnsi="宋体"/>
          <w:color w:val="auto"/>
        </w:rPr>
        <w:t>响应文件须对谈判文件中的内容做出实质性和完整的响应，否则其将被拒绝。</w:t>
      </w:r>
    </w:p>
    <w:p>
      <w:pPr>
        <w:pStyle w:val="9"/>
        <w:overflowPunct w:val="0"/>
        <w:adjustRightInd w:val="0"/>
        <w:snapToGrid w:val="0"/>
        <w:spacing w:before="0" w:after="0" w:line="440" w:lineRule="exact"/>
        <w:jc w:val="left"/>
        <w:rPr>
          <w:rFonts w:ascii="宋体" w:hAnsi="宋体"/>
          <w:b w:val="0"/>
          <w:color w:val="auto"/>
          <w:sz w:val="21"/>
          <w:szCs w:val="21"/>
        </w:rPr>
      </w:pPr>
      <w:bookmarkStart w:id="69" w:name="_Toc489284211"/>
      <w:bookmarkStart w:id="70" w:name="_Toc46309814"/>
      <w:r>
        <w:rPr>
          <w:rFonts w:ascii="宋体" w:hAnsi="宋体"/>
          <w:color w:val="auto"/>
          <w:sz w:val="21"/>
          <w:szCs w:val="21"/>
        </w:rPr>
        <w:t>10</w:t>
      </w:r>
      <w:r>
        <w:rPr>
          <w:rFonts w:hint="eastAsia" w:ascii="宋体" w:hAnsi="宋体"/>
          <w:color w:val="auto"/>
          <w:sz w:val="21"/>
          <w:szCs w:val="21"/>
        </w:rPr>
        <w:t>．谈判语言</w:t>
      </w:r>
      <w:bookmarkEnd w:id="68"/>
      <w:bookmarkEnd w:id="69"/>
      <w:bookmarkEnd w:id="70"/>
    </w:p>
    <w:p>
      <w:pPr>
        <w:overflowPunct w:val="0"/>
        <w:adjustRightInd w:val="0"/>
        <w:snapToGrid w:val="0"/>
        <w:spacing w:line="440" w:lineRule="exact"/>
        <w:jc w:val="left"/>
        <w:rPr>
          <w:rFonts w:ascii="宋体" w:hAnsi="宋体"/>
          <w:color w:val="auto"/>
        </w:rPr>
      </w:pPr>
      <w:r>
        <w:rPr>
          <w:rFonts w:ascii="宋体" w:hAnsi="宋体"/>
          <w:color w:val="auto"/>
        </w:rPr>
        <w:t xml:space="preserve">10.1 </w:t>
      </w:r>
      <w:r>
        <w:rPr>
          <w:rFonts w:hint="eastAsia" w:ascii="宋体" w:hAnsi="宋体"/>
          <w:color w:val="auto"/>
        </w:rPr>
        <w:t>由供应商编写的响应文件和往来信件应以简体中文书写。</w:t>
      </w:r>
    </w:p>
    <w:p>
      <w:pPr>
        <w:pStyle w:val="9"/>
        <w:overflowPunct w:val="0"/>
        <w:adjustRightInd w:val="0"/>
        <w:snapToGrid w:val="0"/>
        <w:spacing w:before="0" w:after="0" w:line="440" w:lineRule="exact"/>
        <w:jc w:val="left"/>
        <w:rPr>
          <w:rFonts w:ascii="宋体" w:hAnsi="宋体"/>
          <w:color w:val="auto"/>
          <w:sz w:val="21"/>
          <w:szCs w:val="21"/>
        </w:rPr>
      </w:pPr>
      <w:bookmarkStart w:id="71" w:name="_Toc489284212"/>
      <w:bookmarkStart w:id="72" w:name="_Toc311415583"/>
      <w:bookmarkStart w:id="73" w:name="_Toc46309815"/>
      <w:r>
        <w:rPr>
          <w:rFonts w:ascii="宋体" w:hAnsi="宋体"/>
          <w:color w:val="auto"/>
          <w:sz w:val="21"/>
          <w:szCs w:val="21"/>
        </w:rPr>
        <w:t>11</w:t>
      </w:r>
      <w:r>
        <w:rPr>
          <w:rFonts w:hint="eastAsia" w:ascii="宋体" w:hAnsi="宋体"/>
          <w:color w:val="auto"/>
          <w:sz w:val="21"/>
          <w:szCs w:val="21"/>
        </w:rPr>
        <w:t>．计量单位</w:t>
      </w:r>
      <w:bookmarkEnd w:id="71"/>
      <w:bookmarkEnd w:id="72"/>
      <w:bookmarkEnd w:id="73"/>
    </w:p>
    <w:p>
      <w:pPr>
        <w:overflowPunct w:val="0"/>
        <w:adjustRightInd w:val="0"/>
        <w:snapToGrid w:val="0"/>
        <w:spacing w:line="440" w:lineRule="exact"/>
        <w:jc w:val="left"/>
        <w:rPr>
          <w:rFonts w:ascii="宋体" w:hAnsi="宋体"/>
          <w:color w:val="auto"/>
        </w:rPr>
      </w:pPr>
      <w:r>
        <w:rPr>
          <w:rFonts w:hint="eastAsia" w:ascii="宋体" w:hAnsi="宋体"/>
          <w:color w:val="auto"/>
        </w:rPr>
        <w:t>除在谈判文件的技术规格中另有规定外，计量单位应使用中华人民共和国法定计量单位。</w:t>
      </w:r>
    </w:p>
    <w:p>
      <w:pPr>
        <w:pStyle w:val="9"/>
        <w:numPr>
          <w:ilvl w:val="0"/>
          <w:numId w:val="3"/>
        </w:numPr>
        <w:overflowPunct w:val="0"/>
        <w:adjustRightInd w:val="0"/>
        <w:snapToGrid w:val="0"/>
        <w:spacing w:before="0" w:after="0" w:line="440" w:lineRule="exact"/>
        <w:jc w:val="left"/>
        <w:rPr>
          <w:rFonts w:ascii="宋体" w:hAnsi="宋体"/>
          <w:color w:val="auto"/>
          <w:sz w:val="21"/>
          <w:szCs w:val="21"/>
        </w:rPr>
      </w:pPr>
      <w:bookmarkStart w:id="74" w:name="_Toc489284213"/>
      <w:bookmarkStart w:id="75" w:name="_Toc311415584"/>
      <w:bookmarkStart w:id="76" w:name="_Toc46309816"/>
      <w:r>
        <w:rPr>
          <w:rFonts w:hint="eastAsia" w:ascii="宋体" w:hAnsi="宋体"/>
          <w:color w:val="auto"/>
          <w:sz w:val="21"/>
          <w:szCs w:val="21"/>
        </w:rPr>
        <w:t>响应文件的组成</w:t>
      </w:r>
      <w:bookmarkEnd w:id="74"/>
      <w:bookmarkEnd w:id="75"/>
      <w:bookmarkEnd w:id="76"/>
    </w:p>
    <w:p>
      <w:pPr>
        <w:spacing w:line="440" w:lineRule="exact"/>
        <w:rPr>
          <w:rFonts w:ascii="宋体"/>
          <w:b/>
          <w:bCs/>
          <w:color w:val="auto"/>
        </w:rPr>
      </w:pPr>
      <w:r>
        <w:rPr>
          <w:rFonts w:hint="eastAsia" w:ascii="宋体" w:hAnsi="宋体"/>
          <w:b/>
          <w:bCs/>
          <w:color w:val="auto"/>
        </w:rPr>
        <w:t>响应文件由响应文件一（资信证明文件）、响应文件二（技术标）和响应文件三（商务标）三部分组成。具体内容详见第六章响应文件格式内容。</w:t>
      </w:r>
    </w:p>
    <w:p>
      <w:pPr>
        <w:overflowPunct w:val="0"/>
        <w:adjustRightInd w:val="0"/>
        <w:snapToGrid w:val="0"/>
        <w:spacing w:line="440" w:lineRule="exact"/>
        <w:jc w:val="left"/>
        <w:rPr>
          <w:rFonts w:ascii="宋体" w:hAnsi="宋体"/>
          <w:color w:val="auto"/>
        </w:rPr>
      </w:pPr>
      <w:r>
        <w:rPr>
          <w:rFonts w:ascii="宋体" w:hAnsi="宋体"/>
          <w:color w:val="auto"/>
        </w:rPr>
        <w:t xml:space="preserve">12.1 </w:t>
      </w:r>
      <w:r>
        <w:rPr>
          <w:rFonts w:hint="eastAsia" w:ascii="宋体" w:hAnsi="宋体"/>
          <w:color w:val="auto"/>
        </w:rPr>
        <w:t>所有服务方案只允许供应商有一个响应方案，不接受任何有选择的方案和报价（包括有条件的折扣）。供应商未按要求，提供了选择方案和</w:t>
      </w:r>
      <w:r>
        <w:rPr>
          <w:rFonts w:ascii="宋体" w:hAnsi="宋体"/>
          <w:color w:val="auto"/>
        </w:rPr>
        <w:t>/</w:t>
      </w:r>
      <w:r>
        <w:rPr>
          <w:rFonts w:hint="eastAsia" w:ascii="宋体" w:hAnsi="宋体"/>
          <w:color w:val="auto"/>
        </w:rPr>
        <w:t>或报价的，其谈判将被拒绝。</w:t>
      </w:r>
    </w:p>
    <w:p>
      <w:pPr>
        <w:overflowPunct w:val="0"/>
        <w:adjustRightInd w:val="0"/>
        <w:snapToGrid w:val="0"/>
        <w:spacing w:line="440" w:lineRule="exact"/>
        <w:jc w:val="left"/>
        <w:rPr>
          <w:rFonts w:ascii="宋体" w:hAnsi="宋体"/>
          <w:b/>
          <w:bCs/>
          <w:color w:val="auto"/>
        </w:rPr>
      </w:pPr>
      <w:r>
        <w:rPr>
          <w:rFonts w:ascii="宋体" w:hAnsi="宋体"/>
          <w:b/>
          <w:bCs/>
          <w:color w:val="auto"/>
        </w:rPr>
        <w:t xml:space="preserve">12.2 </w:t>
      </w:r>
      <w:r>
        <w:rPr>
          <w:rFonts w:hint="eastAsia" w:ascii="宋体" w:hAnsi="宋体"/>
          <w:b/>
          <w:bCs/>
          <w:color w:val="auto"/>
        </w:rPr>
        <w:t>资格证明文件：</w:t>
      </w:r>
    </w:p>
    <w:p>
      <w:pPr>
        <w:overflowPunct w:val="0"/>
        <w:adjustRightInd w:val="0"/>
        <w:snapToGrid w:val="0"/>
        <w:spacing w:line="440" w:lineRule="exact"/>
        <w:jc w:val="left"/>
        <w:rPr>
          <w:rFonts w:ascii="宋体" w:hAnsi="宋体"/>
          <w:color w:val="auto"/>
        </w:rPr>
      </w:pPr>
      <w:bookmarkStart w:id="77" w:name="_Toc46309817"/>
      <w:bookmarkStart w:id="78" w:name="_Toc489284214"/>
      <w:bookmarkStart w:id="79" w:name="_Toc311415585"/>
      <w:r>
        <w:rPr>
          <w:rFonts w:hint="eastAsia" w:ascii="宋体" w:hAnsi="宋体"/>
          <w:color w:val="auto"/>
        </w:rPr>
        <w:t>（1）法定代表人身份证明和本人有效身份证(或法定代表人授权委托书和委托代理人有效身份证)（格式见附件）；</w:t>
      </w:r>
    </w:p>
    <w:p>
      <w:pPr>
        <w:overflowPunct w:val="0"/>
        <w:adjustRightInd w:val="0"/>
        <w:snapToGrid w:val="0"/>
        <w:spacing w:line="440" w:lineRule="exact"/>
        <w:jc w:val="left"/>
        <w:rPr>
          <w:rFonts w:ascii="宋体" w:hAnsi="宋体"/>
          <w:color w:val="auto"/>
        </w:rPr>
      </w:pPr>
      <w:r>
        <w:rPr>
          <w:rFonts w:hint="eastAsia" w:ascii="宋体" w:hAnsi="宋体"/>
          <w:color w:val="auto"/>
        </w:rPr>
        <w:t>（2）供应商具有合法有效的营业执照、组织机构代码证、税务登记证（或三证合一的营业执照 ）；</w:t>
      </w:r>
    </w:p>
    <w:p>
      <w:pPr>
        <w:overflowPunct w:val="0"/>
        <w:adjustRightInd w:val="0"/>
        <w:snapToGrid w:val="0"/>
        <w:spacing w:line="440" w:lineRule="exact"/>
        <w:jc w:val="left"/>
        <w:rPr>
          <w:rFonts w:ascii="宋体" w:hAnsi="宋体"/>
          <w:color w:val="auto"/>
        </w:rPr>
      </w:pPr>
      <w:r>
        <w:rPr>
          <w:rFonts w:hint="eastAsia" w:hAnsi="宋体"/>
          <w:color w:val="auto"/>
        </w:rPr>
        <w:t>（3）</w:t>
      </w:r>
      <w:r>
        <w:rPr>
          <w:rFonts w:hint="eastAsia" w:ascii="宋体" w:hAnsi="宋体"/>
          <w:color w:val="auto"/>
        </w:rPr>
        <w:t>诚信谈判承诺书（格式见附件）；</w:t>
      </w:r>
    </w:p>
    <w:p>
      <w:pPr>
        <w:overflowPunct w:val="0"/>
        <w:adjustRightInd w:val="0"/>
        <w:snapToGrid w:val="0"/>
        <w:spacing w:line="440" w:lineRule="exact"/>
        <w:jc w:val="left"/>
        <w:rPr>
          <w:color w:val="auto"/>
        </w:rPr>
      </w:pPr>
      <w:r>
        <w:rPr>
          <w:rFonts w:hint="eastAsia" w:ascii="宋体" w:hAnsi="宋体"/>
          <w:color w:val="auto"/>
        </w:rPr>
        <w:t>（4）参加采购活动近三年内，在经营活动中没有重大违法记录的声明（格式见附件）；</w:t>
      </w:r>
    </w:p>
    <w:p>
      <w:pPr>
        <w:pStyle w:val="2"/>
        <w:spacing w:line="440" w:lineRule="exact"/>
        <w:ind w:firstLine="0" w:firstLineChars="0"/>
        <w:jc w:val="left"/>
        <w:rPr>
          <w:rFonts w:hAnsi="宋体" w:cs="宋体"/>
          <w:b/>
          <w:color w:val="auto"/>
          <w:kern w:val="2"/>
          <w:sz w:val="21"/>
          <w:szCs w:val="21"/>
        </w:rPr>
      </w:pPr>
      <w:r>
        <w:rPr>
          <w:rFonts w:hint="eastAsia" w:hAnsi="宋体" w:cs="宋体"/>
          <w:b/>
          <w:color w:val="auto"/>
          <w:kern w:val="2"/>
          <w:sz w:val="21"/>
          <w:szCs w:val="21"/>
        </w:rPr>
        <w:t>以上证明材料须按顺序装订，每页均须加盖投标单位公章。供应商所提交的响应文件资料的完整与否，直接影响供应商的响应文件评审。</w:t>
      </w:r>
    </w:p>
    <w:p>
      <w:pPr>
        <w:ind w:firstLine="211" w:firstLineChars="100"/>
        <w:rPr>
          <w:color w:val="auto"/>
        </w:rPr>
      </w:pPr>
      <w:r>
        <w:rPr>
          <w:rFonts w:hint="eastAsia" w:ascii="宋体" w:hAnsi="宋体" w:cs="宋体"/>
          <w:b/>
          <w:bCs/>
          <w:color w:val="auto"/>
          <w:kern w:val="0"/>
          <w:u w:color="000000"/>
        </w:rPr>
        <w:t>12.3技术标：</w:t>
      </w:r>
    </w:p>
    <w:p>
      <w:pPr>
        <w:overflowPunct w:val="0"/>
        <w:adjustRightInd w:val="0"/>
        <w:snapToGrid w:val="0"/>
        <w:spacing w:line="440" w:lineRule="exact"/>
        <w:jc w:val="left"/>
        <w:rPr>
          <w:rFonts w:ascii="宋体" w:hAnsi="宋体"/>
          <w:color w:val="auto"/>
        </w:rPr>
      </w:pPr>
      <w:r>
        <w:rPr>
          <w:rFonts w:hint="eastAsia" w:ascii="宋体" w:hAnsi="宋体"/>
          <w:color w:val="auto"/>
        </w:rPr>
        <w:t>（1）详细的货物名称、规格、技术参数等【附技术参数响应表、货物的详细配置清单，格式见附件】；</w:t>
      </w:r>
    </w:p>
    <w:p>
      <w:pPr>
        <w:overflowPunct w:val="0"/>
        <w:adjustRightInd w:val="0"/>
        <w:snapToGrid w:val="0"/>
        <w:spacing w:line="440" w:lineRule="exact"/>
        <w:jc w:val="left"/>
        <w:rPr>
          <w:rFonts w:ascii="宋体" w:hAnsi="宋体"/>
          <w:color w:val="auto"/>
        </w:rPr>
      </w:pPr>
      <w:r>
        <w:rPr>
          <w:rFonts w:hint="eastAsia" w:ascii="宋体" w:hAnsi="宋体"/>
          <w:color w:val="auto"/>
        </w:rPr>
        <w:t>（2）技术方案：为本项目实施所采用的技术措施和实施方案等；</w:t>
      </w:r>
    </w:p>
    <w:p>
      <w:pPr>
        <w:overflowPunct w:val="0"/>
        <w:adjustRightInd w:val="0"/>
        <w:snapToGrid w:val="0"/>
        <w:spacing w:line="440" w:lineRule="exact"/>
        <w:jc w:val="left"/>
        <w:rPr>
          <w:rFonts w:ascii="宋体" w:hAnsi="宋体"/>
          <w:color w:val="auto"/>
        </w:rPr>
      </w:pPr>
      <w:r>
        <w:rPr>
          <w:rFonts w:hint="eastAsia" w:ascii="宋体" w:hAnsi="宋体"/>
          <w:color w:val="auto"/>
        </w:rPr>
        <w:t>（3）服务承诺：是否响应招标文件要求的书面说明和服务承诺书（格式见附件）；</w:t>
      </w:r>
    </w:p>
    <w:p>
      <w:pPr>
        <w:spacing w:line="440" w:lineRule="exact"/>
        <w:jc w:val="left"/>
        <w:rPr>
          <w:rFonts w:ascii="宋体" w:hAnsi="宋体" w:cs="宋体"/>
          <w:color w:val="auto"/>
          <w:kern w:val="0"/>
          <w:u w:color="000000"/>
        </w:rPr>
      </w:pPr>
      <w:r>
        <w:rPr>
          <w:rFonts w:hint="eastAsia" w:ascii="宋体" w:hAnsi="宋体" w:cs="宋体"/>
          <w:color w:val="auto"/>
          <w:kern w:val="0"/>
          <w:u w:color="000000"/>
        </w:rPr>
        <w:t>（4）投标人对招标文件的其他相关技术要求的书面承诺；</w:t>
      </w:r>
    </w:p>
    <w:p>
      <w:pPr>
        <w:pStyle w:val="2"/>
        <w:spacing w:line="440" w:lineRule="exact"/>
        <w:ind w:firstLine="0" w:firstLineChars="0"/>
        <w:jc w:val="left"/>
        <w:rPr>
          <w:rFonts w:hAnsi="宋体" w:cs="宋体"/>
          <w:b/>
          <w:color w:val="auto"/>
          <w:kern w:val="2"/>
          <w:sz w:val="21"/>
          <w:szCs w:val="21"/>
        </w:rPr>
      </w:pPr>
      <w:r>
        <w:rPr>
          <w:rFonts w:hint="eastAsia" w:hAnsi="宋体" w:cs="宋体"/>
          <w:b/>
          <w:color w:val="auto"/>
          <w:kern w:val="2"/>
          <w:sz w:val="21"/>
          <w:szCs w:val="21"/>
        </w:rPr>
        <w:t>以上证明材料须按顺序装订，每页均须加盖投标单位公章。供应商所提交的响应文件资料的完整与否，直接影响供应商的响应文件评审。</w:t>
      </w:r>
    </w:p>
    <w:p>
      <w:pPr>
        <w:spacing w:line="440" w:lineRule="exact"/>
        <w:jc w:val="left"/>
        <w:rPr>
          <w:b/>
          <w:bCs/>
          <w:color w:val="auto"/>
        </w:rPr>
      </w:pPr>
      <w:r>
        <w:rPr>
          <w:rFonts w:hint="eastAsia" w:ascii="宋体" w:hAnsi="宋体" w:cs="宋体"/>
          <w:b/>
          <w:bCs/>
          <w:color w:val="auto"/>
          <w:kern w:val="0"/>
          <w:u w:color="000000"/>
        </w:rPr>
        <w:t>12.4商务标：</w:t>
      </w:r>
    </w:p>
    <w:p>
      <w:pPr>
        <w:spacing w:line="440" w:lineRule="exact"/>
        <w:jc w:val="left"/>
        <w:rPr>
          <w:rFonts w:ascii="宋体" w:hAnsi="宋体" w:cs="宋体"/>
          <w:bCs/>
          <w:color w:val="auto"/>
        </w:rPr>
      </w:pPr>
      <w:r>
        <w:rPr>
          <w:rFonts w:hint="eastAsia" w:ascii="宋体" w:hAnsi="宋体" w:cs="宋体"/>
          <w:bCs/>
          <w:color w:val="auto"/>
        </w:rPr>
        <w:t>（1）法定代表人身份证明及其有效身份证（或法定代表人授权委托书及其有效有效身份证）（格式见附件）；</w:t>
      </w:r>
    </w:p>
    <w:p>
      <w:pPr>
        <w:spacing w:line="440" w:lineRule="exact"/>
        <w:jc w:val="left"/>
        <w:rPr>
          <w:rFonts w:ascii="宋体" w:hAnsi="宋体" w:cs="宋体"/>
          <w:bCs/>
          <w:color w:val="auto"/>
        </w:rPr>
      </w:pPr>
      <w:r>
        <w:rPr>
          <w:rFonts w:hint="eastAsia" w:ascii="宋体" w:hAnsi="宋体" w:cs="宋体"/>
          <w:bCs/>
          <w:color w:val="auto"/>
        </w:rPr>
        <w:t>（2）响应报价函（格式见附件）；</w:t>
      </w:r>
    </w:p>
    <w:p>
      <w:pPr>
        <w:spacing w:line="440" w:lineRule="exact"/>
        <w:jc w:val="left"/>
        <w:rPr>
          <w:rFonts w:ascii="宋体" w:hAnsi="宋体" w:cs="宋体"/>
          <w:bCs/>
          <w:color w:val="auto"/>
        </w:rPr>
      </w:pPr>
      <w:r>
        <w:rPr>
          <w:rFonts w:hint="eastAsia" w:ascii="宋体" w:hAnsi="宋体" w:cs="宋体"/>
          <w:bCs/>
          <w:color w:val="auto"/>
        </w:rPr>
        <w:t>（3）分项报价清单（格式见附件）；</w:t>
      </w:r>
    </w:p>
    <w:p>
      <w:pPr>
        <w:pStyle w:val="2"/>
        <w:spacing w:line="440" w:lineRule="exact"/>
        <w:ind w:firstLine="0" w:firstLineChars="0"/>
        <w:jc w:val="left"/>
        <w:rPr>
          <w:rFonts w:hAnsi="宋体" w:cs="宋体"/>
          <w:b/>
          <w:color w:val="auto"/>
          <w:kern w:val="2"/>
          <w:sz w:val="21"/>
          <w:szCs w:val="21"/>
        </w:rPr>
      </w:pPr>
      <w:r>
        <w:rPr>
          <w:rFonts w:hint="eastAsia" w:hAnsi="宋体" w:cs="宋体"/>
          <w:b/>
          <w:color w:val="auto"/>
          <w:kern w:val="2"/>
          <w:sz w:val="21"/>
          <w:szCs w:val="21"/>
        </w:rPr>
        <w:t>以上证明材料须按顺序装订，每页均须加盖投标单位公章。供应商所提交的响应文件资料的完整与否，直接影响供应商的响应文件评审。</w:t>
      </w:r>
    </w:p>
    <w:p>
      <w:pPr>
        <w:pStyle w:val="9"/>
        <w:overflowPunct w:val="0"/>
        <w:adjustRightInd w:val="0"/>
        <w:snapToGrid w:val="0"/>
        <w:spacing w:before="0" w:after="0" w:line="440" w:lineRule="exact"/>
        <w:jc w:val="left"/>
        <w:rPr>
          <w:rFonts w:ascii="宋体" w:hAnsi="宋体"/>
          <w:color w:val="auto"/>
          <w:sz w:val="21"/>
          <w:szCs w:val="21"/>
        </w:rPr>
      </w:pPr>
      <w:r>
        <w:rPr>
          <w:rFonts w:ascii="宋体" w:hAnsi="宋体"/>
          <w:color w:val="auto"/>
          <w:sz w:val="21"/>
          <w:szCs w:val="21"/>
        </w:rPr>
        <w:t>13</w:t>
      </w:r>
      <w:r>
        <w:rPr>
          <w:rFonts w:hint="eastAsia" w:ascii="宋体" w:hAnsi="宋体"/>
          <w:color w:val="auto"/>
          <w:sz w:val="21"/>
          <w:szCs w:val="21"/>
        </w:rPr>
        <w:t>．响应文件格式</w:t>
      </w:r>
      <w:bookmarkEnd w:id="77"/>
      <w:bookmarkEnd w:id="78"/>
      <w:bookmarkEnd w:id="79"/>
    </w:p>
    <w:p>
      <w:pPr>
        <w:overflowPunct w:val="0"/>
        <w:adjustRightInd w:val="0"/>
        <w:snapToGrid w:val="0"/>
        <w:spacing w:line="440" w:lineRule="exact"/>
        <w:jc w:val="left"/>
        <w:rPr>
          <w:rFonts w:ascii="宋体" w:hAnsi="宋体"/>
          <w:color w:val="auto"/>
        </w:rPr>
      </w:pPr>
      <w:r>
        <w:rPr>
          <w:rFonts w:ascii="宋体" w:hAnsi="宋体"/>
          <w:color w:val="auto"/>
        </w:rPr>
        <w:t xml:space="preserve">13.1 </w:t>
      </w:r>
      <w:r>
        <w:rPr>
          <w:rFonts w:hint="eastAsia" w:ascii="宋体" w:hAnsi="宋体"/>
          <w:color w:val="auto"/>
        </w:rPr>
        <w:t>供应商应按谈判文件中提供的响应文件格式填写</w:t>
      </w:r>
      <w:r>
        <w:rPr>
          <w:rFonts w:ascii="宋体" w:hAnsi="宋体"/>
          <w:color w:val="auto"/>
        </w:rPr>
        <w:t>“</w:t>
      </w:r>
      <w:r>
        <w:rPr>
          <w:rFonts w:hint="eastAsia" w:ascii="宋体" w:hAnsi="宋体"/>
          <w:color w:val="auto"/>
        </w:rPr>
        <w:t>谈判响应函</w:t>
      </w:r>
      <w:r>
        <w:rPr>
          <w:rFonts w:ascii="宋体" w:hAnsi="宋体"/>
          <w:color w:val="auto"/>
        </w:rPr>
        <w:t>”</w:t>
      </w:r>
      <w:r>
        <w:rPr>
          <w:rFonts w:hint="eastAsia" w:ascii="宋体" w:hAnsi="宋体"/>
          <w:color w:val="auto"/>
        </w:rPr>
        <w:t>、</w:t>
      </w:r>
      <w:r>
        <w:rPr>
          <w:rFonts w:ascii="宋体" w:hAnsi="宋体"/>
          <w:color w:val="auto"/>
        </w:rPr>
        <w:t>“</w:t>
      </w:r>
      <w:r>
        <w:rPr>
          <w:rFonts w:hint="eastAsia" w:ascii="宋体" w:hAnsi="宋体"/>
          <w:color w:val="auto"/>
        </w:rPr>
        <w:t>谈判报价表</w:t>
      </w:r>
      <w:r>
        <w:rPr>
          <w:rFonts w:ascii="宋体" w:hAnsi="宋体"/>
          <w:color w:val="auto"/>
        </w:rPr>
        <w:t>”</w:t>
      </w:r>
      <w:r>
        <w:rPr>
          <w:rFonts w:hint="eastAsia" w:ascii="宋体" w:hAnsi="宋体"/>
          <w:color w:val="auto"/>
        </w:rPr>
        <w:t>以及其他相关文件，注明提供的工程名称、类型说明等。</w:t>
      </w:r>
    </w:p>
    <w:p>
      <w:pPr>
        <w:pStyle w:val="9"/>
        <w:overflowPunct w:val="0"/>
        <w:adjustRightInd w:val="0"/>
        <w:snapToGrid w:val="0"/>
        <w:spacing w:before="0" w:after="0" w:line="440" w:lineRule="exact"/>
        <w:jc w:val="left"/>
        <w:rPr>
          <w:rFonts w:ascii="宋体" w:hAnsi="宋体"/>
          <w:color w:val="auto"/>
          <w:sz w:val="21"/>
          <w:szCs w:val="21"/>
        </w:rPr>
      </w:pPr>
      <w:bookmarkStart w:id="80" w:name="_Toc311415586"/>
      <w:bookmarkStart w:id="81" w:name="_Toc46309818"/>
      <w:bookmarkStart w:id="82" w:name="_Toc489284215"/>
      <w:r>
        <w:rPr>
          <w:rFonts w:ascii="宋体" w:hAnsi="宋体"/>
          <w:color w:val="auto"/>
          <w:sz w:val="21"/>
          <w:szCs w:val="21"/>
        </w:rPr>
        <w:t>14</w:t>
      </w:r>
      <w:r>
        <w:rPr>
          <w:rFonts w:hint="eastAsia" w:ascii="宋体" w:hAnsi="宋体"/>
          <w:color w:val="auto"/>
          <w:sz w:val="21"/>
          <w:szCs w:val="21"/>
        </w:rPr>
        <w:t>．谈判响应报价</w:t>
      </w:r>
      <w:bookmarkEnd w:id="80"/>
      <w:bookmarkEnd w:id="81"/>
      <w:bookmarkEnd w:id="82"/>
    </w:p>
    <w:p>
      <w:pPr>
        <w:spacing w:line="440" w:lineRule="exact"/>
        <w:ind w:left="-9" w:right="-199" w:rightChars="-95" w:firstLine="9"/>
        <w:rPr>
          <w:rFonts w:ascii="宋体" w:hAnsi="宋体"/>
          <w:color w:val="auto"/>
        </w:rPr>
      </w:pPr>
      <w:r>
        <w:rPr>
          <w:rFonts w:ascii="宋体" w:hAnsi="宋体"/>
          <w:color w:val="auto"/>
        </w:rPr>
        <w:t>14.1</w:t>
      </w:r>
      <w:r>
        <w:rPr>
          <w:rFonts w:hint="eastAsia" w:ascii="宋体" w:hAnsi="宋体" w:cs="宋体"/>
          <w:color w:val="auto"/>
          <w:kern w:val="0"/>
        </w:rPr>
        <w:t>本次采购标书中只允许有一个方案，一个报价，多方案、多报价的将不被接受。</w:t>
      </w:r>
      <w:r>
        <w:rPr>
          <w:rFonts w:hint="eastAsia" w:ascii="宋体" w:hAnsi="宋体" w:cs="宋体"/>
          <w:b/>
          <w:bCs/>
          <w:color w:val="auto"/>
        </w:rPr>
        <w:t>供应商所报综合单价包括：货款费用（含主材和所有辅材）、安装费用、运输费用、装货费、保险费用、运输过程中发生的损耗费用、现场交货时的卸货费用、相关服务费用、国家对供应商征收的各种税费、招标代理费等所有费用，综合单价今后将不作任何调整</w:t>
      </w:r>
      <w:r>
        <w:rPr>
          <w:rFonts w:hint="eastAsia" w:ascii="宋体" w:hAnsi="宋体"/>
          <w:color w:val="auto"/>
        </w:rPr>
        <w:t>。</w:t>
      </w:r>
    </w:p>
    <w:p>
      <w:pPr>
        <w:overflowPunct w:val="0"/>
        <w:adjustRightInd w:val="0"/>
        <w:snapToGrid w:val="0"/>
        <w:spacing w:line="440" w:lineRule="exact"/>
        <w:jc w:val="left"/>
        <w:rPr>
          <w:rFonts w:ascii="宋体" w:hAnsi="宋体"/>
          <w:color w:val="auto"/>
        </w:rPr>
      </w:pPr>
      <w:r>
        <w:rPr>
          <w:rFonts w:ascii="宋体" w:hAnsi="宋体"/>
          <w:color w:val="auto"/>
        </w:rPr>
        <w:t>14.2</w:t>
      </w:r>
      <w:r>
        <w:rPr>
          <w:rFonts w:hint="eastAsia" w:ascii="宋体" w:hAnsi="宋体"/>
          <w:color w:val="auto"/>
        </w:rPr>
        <w:t>凡本谈判文件要求（或允许）及供应商认为需要进行报价的各项费用项目（不论是否要求进入报价），或因供应商对谈判文件阅读不深、理解不透、误解、疏漏、或因市场行情了解不清造成的后果和风险均由各供应商自负，采购人将认为这些费用供应商已计取，并包含在报价中。</w:t>
      </w:r>
    </w:p>
    <w:p>
      <w:pPr>
        <w:overflowPunct w:val="0"/>
        <w:adjustRightInd w:val="0"/>
        <w:snapToGrid w:val="0"/>
        <w:spacing w:line="440" w:lineRule="exact"/>
        <w:jc w:val="left"/>
        <w:rPr>
          <w:rFonts w:ascii="宋体" w:hAnsi="宋体"/>
          <w:color w:val="auto"/>
        </w:rPr>
      </w:pPr>
      <w:r>
        <w:rPr>
          <w:rFonts w:ascii="宋体" w:hAnsi="宋体"/>
          <w:color w:val="auto"/>
        </w:rPr>
        <w:t>14.3</w:t>
      </w:r>
      <w:r>
        <w:rPr>
          <w:rFonts w:hint="eastAsia" w:ascii="宋体" w:hAnsi="宋体"/>
          <w:color w:val="auto"/>
        </w:rPr>
        <w:t>供应商应按照谈判文件附件提供的格式填写。采购单位不接受任何选择性报价，但文字大写表示的数据与同一数字表示的有差别，则以文字大写表示的数据为准。如果单价与总价不符，以单价为准；除非谈判小组认为单价有明显的小数点错误，此时应以总价为准，并修改单价。</w:t>
      </w:r>
    </w:p>
    <w:p>
      <w:pPr>
        <w:overflowPunct w:val="0"/>
        <w:adjustRightInd w:val="0"/>
        <w:snapToGrid w:val="0"/>
        <w:spacing w:line="440" w:lineRule="exact"/>
        <w:jc w:val="left"/>
        <w:rPr>
          <w:rFonts w:ascii="宋体" w:hAnsi="宋体"/>
          <w:color w:val="auto"/>
        </w:rPr>
      </w:pPr>
      <w:r>
        <w:rPr>
          <w:rFonts w:ascii="宋体" w:hAnsi="宋体"/>
          <w:color w:val="auto"/>
        </w:rPr>
        <w:t xml:space="preserve">14.4 </w:t>
      </w:r>
      <w:r>
        <w:rPr>
          <w:rFonts w:hint="eastAsia" w:ascii="宋体" w:hAnsi="宋体"/>
          <w:color w:val="auto"/>
        </w:rPr>
        <w:t>供应商所报的谈判响应报价总价在合同执行过程中是固定不变的，不得以任何理由予以变更（合同结算条款约定的达到一定数量，对总价结算予以调低的除外）。根据供应商须知的规定，以可调整的价格提交的响应文件为非响应性谈判而予以拒绝。</w:t>
      </w:r>
    </w:p>
    <w:p>
      <w:pPr>
        <w:overflowPunct w:val="0"/>
        <w:adjustRightInd w:val="0"/>
        <w:snapToGrid w:val="0"/>
        <w:spacing w:line="440" w:lineRule="exact"/>
        <w:jc w:val="left"/>
        <w:rPr>
          <w:rFonts w:ascii="宋体" w:hAnsi="宋体"/>
          <w:color w:val="auto"/>
        </w:rPr>
      </w:pPr>
      <w:r>
        <w:rPr>
          <w:rFonts w:ascii="宋体" w:hAnsi="宋体"/>
          <w:color w:val="auto"/>
        </w:rPr>
        <w:t>14.5</w:t>
      </w:r>
      <w:r>
        <w:rPr>
          <w:rFonts w:hint="eastAsia" w:ascii="宋体" w:hAnsi="宋体"/>
          <w:color w:val="auto"/>
        </w:rPr>
        <w:t>本竞争性谈判采购人保留要求供应商二次或再次报价的权利。</w:t>
      </w:r>
    </w:p>
    <w:p>
      <w:pPr>
        <w:pStyle w:val="9"/>
        <w:overflowPunct w:val="0"/>
        <w:adjustRightInd w:val="0"/>
        <w:snapToGrid w:val="0"/>
        <w:spacing w:before="0" w:after="0" w:line="440" w:lineRule="exact"/>
        <w:jc w:val="left"/>
        <w:rPr>
          <w:rFonts w:ascii="宋体" w:hAnsi="宋体"/>
          <w:color w:val="auto"/>
          <w:sz w:val="21"/>
          <w:szCs w:val="21"/>
        </w:rPr>
      </w:pPr>
      <w:bookmarkStart w:id="83" w:name="_Toc311415587"/>
      <w:bookmarkStart w:id="84" w:name="_Toc46309819"/>
      <w:bookmarkStart w:id="85" w:name="_Toc489284216"/>
      <w:r>
        <w:rPr>
          <w:rFonts w:ascii="宋体" w:hAnsi="宋体"/>
          <w:color w:val="auto"/>
          <w:sz w:val="21"/>
          <w:szCs w:val="21"/>
        </w:rPr>
        <w:t>15</w:t>
      </w:r>
      <w:r>
        <w:rPr>
          <w:rFonts w:hint="eastAsia" w:ascii="宋体" w:hAnsi="宋体"/>
          <w:color w:val="auto"/>
          <w:sz w:val="21"/>
          <w:szCs w:val="21"/>
        </w:rPr>
        <w:t>．货币</w:t>
      </w:r>
      <w:bookmarkEnd w:id="83"/>
      <w:bookmarkEnd w:id="84"/>
      <w:bookmarkEnd w:id="85"/>
    </w:p>
    <w:p>
      <w:pPr>
        <w:overflowPunct w:val="0"/>
        <w:adjustRightInd w:val="0"/>
        <w:snapToGrid w:val="0"/>
        <w:spacing w:line="440" w:lineRule="exact"/>
        <w:jc w:val="left"/>
        <w:rPr>
          <w:rFonts w:ascii="宋体" w:hAnsi="宋体"/>
          <w:color w:val="auto"/>
        </w:rPr>
      </w:pPr>
      <w:r>
        <w:rPr>
          <w:rFonts w:ascii="宋体" w:hAnsi="宋体"/>
          <w:color w:val="auto"/>
        </w:rPr>
        <w:t xml:space="preserve">15.1 </w:t>
      </w:r>
      <w:r>
        <w:rPr>
          <w:rFonts w:hint="eastAsia" w:ascii="宋体" w:hAnsi="宋体"/>
          <w:color w:val="auto"/>
        </w:rPr>
        <w:t>采购人只接受人民币作为唯一货币。</w:t>
      </w:r>
    </w:p>
    <w:p>
      <w:pPr>
        <w:pStyle w:val="9"/>
        <w:overflowPunct w:val="0"/>
        <w:adjustRightInd w:val="0"/>
        <w:snapToGrid w:val="0"/>
        <w:spacing w:before="0" w:after="0" w:line="440" w:lineRule="exact"/>
        <w:jc w:val="left"/>
        <w:rPr>
          <w:rFonts w:ascii="宋体" w:hAnsi="宋体"/>
          <w:color w:val="auto"/>
          <w:sz w:val="21"/>
          <w:szCs w:val="21"/>
        </w:rPr>
      </w:pPr>
      <w:bookmarkStart w:id="86" w:name="_Toc311415588"/>
      <w:bookmarkStart w:id="87" w:name="_Toc46309820"/>
      <w:bookmarkStart w:id="88" w:name="_Toc489284217"/>
      <w:r>
        <w:rPr>
          <w:rFonts w:ascii="宋体" w:hAnsi="宋体"/>
          <w:color w:val="auto"/>
          <w:sz w:val="21"/>
          <w:szCs w:val="21"/>
        </w:rPr>
        <w:t>16</w:t>
      </w:r>
      <w:r>
        <w:rPr>
          <w:rFonts w:hint="eastAsia" w:ascii="宋体" w:hAnsi="宋体"/>
          <w:color w:val="auto"/>
          <w:sz w:val="21"/>
          <w:szCs w:val="21"/>
        </w:rPr>
        <w:t>．证明供应商资格的证明文件</w:t>
      </w:r>
      <w:bookmarkEnd w:id="86"/>
      <w:bookmarkEnd w:id="87"/>
      <w:bookmarkEnd w:id="88"/>
    </w:p>
    <w:p>
      <w:pPr>
        <w:overflowPunct w:val="0"/>
        <w:adjustRightInd w:val="0"/>
        <w:snapToGrid w:val="0"/>
        <w:spacing w:line="440" w:lineRule="exact"/>
        <w:jc w:val="left"/>
        <w:rPr>
          <w:rFonts w:ascii="宋体" w:hAnsi="宋体"/>
          <w:color w:val="auto"/>
        </w:rPr>
      </w:pPr>
      <w:r>
        <w:rPr>
          <w:rFonts w:ascii="宋体" w:hAnsi="宋体"/>
          <w:color w:val="auto"/>
        </w:rPr>
        <w:t xml:space="preserve">16.1 </w:t>
      </w:r>
      <w:r>
        <w:rPr>
          <w:rFonts w:hint="eastAsia" w:ascii="宋体" w:hAnsi="宋体"/>
          <w:color w:val="auto"/>
        </w:rPr>
        <w:t>供应商必须按要求提交证明文件，以证明其有资格参加谈判和成交后有履行合同的能力，并作为其响应文件的一部分。</w:t>
      </w:r>
    </w:p>
    <w:p>
      <w:pPr>
        <w:pStyle w:val="9"/>
        <w:overflowPunct w:val="0"/>
        <w:adjustRightInd w:val="0"/>
        <w:snapToGrid w:val="0"/>
        <w:spacing w:before="0" w:after="0" w:line="440" w:lineRule="exact"/>
        <w:jc w:val="left"/>
        <w:rPr>
          <w:rFonts w:ascii="宋体" w:hAnsi="宋体"/>
          <w:color w:val="auto"/>
          <w:sz w:val="21"/>
          <w:szCs w:val="21"/>
        </w:rPr>
      </w:pPr>
      <w:bookmarkStart w:id="89" w:name="_Toc46309821"/>
      <w:bookmarkStart w:id="90" w:name="_Toc489284218"/>
      <w:bookmarkStart w:id="91" w:name="_Toc311415589"/>
      <w:r>
        <w:rPr>
          <w:rFonts w:ascii="宋体" w:hAnsi="宋体"/>
          <w:color w:val="auto"/>
          <w:sz w:val="21"/>
          <w:szCs w:val="21"/>
        </w:rPr>
        <w:t>17</w:t>
      </w:r>
      <w:r>
        <w:rPr>
          <w:rFonts w:hint="eastAsia" w:ascii="宋体" w:hAnsi="宋体"/>
          <w:color w:val="auto"/>
          <w:sz w:val="21"/>
          <w:szCs w:val="21"/>
        </w:rPr>
        <w:t>．证明的合格性和符合谈判文件规定的文件</w:t>
      </w:r>
      <w:bookmarkEnd w:id="89"/>
      <w:bookmarkEnd w:id="90"/>
      <w:bookmarkEnd w:id="91"/>
    </w:p>
    <w:p>
      <w:pPr>
        <w:overflowPunct w:val="0"/>
        <w:adjustRightInd w:val="0"/>
        <w:snapToGrid w:val="0"/>
        <w:spacing w:line="440" w:lineRule="exact"/>
        <w:jc w:val="left"/>
        <w:rPr>
          <w:rFonts w:ascii="宋体" w:hAnsi="宋体"/>
          <w:color w:val="auto"/>
        </w:rPr>
      </w:pPr>
      <w:r>
        <w:rPr>
          <w:rFonts w:ascii="宋体" w:hAnsi="宋体"/>
          <w:color w:val="auto"/>
        </w:rPr>
        <w:t xml:space="preserve">17.1 </w:t>
      </w:r>
      <w:r>
        <w:rPr>
          <w:rFonts w:hint="eastAsia" w:ascii="宋体" w:hAnsi="宋体"/>
          <w:color w:val="auto"/>
        </w:rPr>
        <w:t>供应商应对谈判文件中的各项条款做出清晰准确的答复。</w:t>
      </w:r>
    </w:p>
    <w:p>
      <w:pPr>
        <w:overflowPunct w:val="0"/>
        <w:adjustRightInd w:val="0"/>
        <w:snapToGrid w:val="0"/>
        <w:spacing w:line="440" w:lineRule="exact"/>
        <w:jc w:val="left"/>
        <w:rPr>
          <w:rFonts w:ascii="宋体" w:hAnsi="宋体"/>
          <w:color w:val="auto"/>
        </w:rPr>
      </w:pPr>
      <w:r>
        <w:rPr>
          <w:rFonts w:ascii="宋体" w:hAnsi="宋体"/>
          <w:color w:val="auto"/>
        </w:rPr>
        <w:t xml:space="preserve">17.2 </w:t>
      </w:r>
      <w:r>
        <w:rPr>
          <w:rFonts w:hint="eastAsia" w:ascii="宋体" w:hAnsi="宋体"/>
          <w:color w:val="auto"/>
        </w:rPr>
        <w:t>证明服务与谈判文件的要求相一致的文件，它可以是文字资料、图表、数据、证书、业主证明。</w:t>
      </w:r>
    </w:p>
    <w:p>
      <w:pPr>
        <w:pStyle w:val="9"/>
        <w:overflowPunct w:val="0"/>
        <w:adjustRightInd w:val="0"/>
        <w:snapToGrid w:val="0"/>
        <w:spacing w:before="0" w:after="0" w:line="440" w:lineRule="exact"/>
        <w:jc w:val="left"/>
        <w:rPr>
          <w:rFonts w:ascii="宋体" w:hAnsi="宋体"/>
          <w:color w:val="auto"/>
          <w:sz w:val="21"/>
          <w:szCs w:val="21"/>
        </w:rPr>
      </w:pPr>
      <w:bookmarkStart w:id="92" w:name="_Toc489284219"/>
      <w:bookmarkStart w:id="93" w:name="_Toc311415590"/>
      <w:bookmarkStart w:id="94" w:name="_Toc46309822"/>
      <w:r>
        <w:rPr>
          <w:rFonts w:ascii="宋体" w:hAnsi="宋体"/>
          <w:color w:val="auto"/>
          <w:sz w:val="21"/>
          <w:szCs w:val="21"/>
        </w:rPr>
        <w:t>18</w:t>
      </w:r>
      <w:r>
        <w:rPr>
          <w:rFonts w:hint="eastAsia" w:ascii="宋体" w:hAnsi="宋体"/>
          <w:color w:val="auto"/>
          <w:sz w:val="21"/>
          <w:szCs w:val="21"/>
        </w:rPr>
        <w:t>．谈判保证金</w:t>
      </w:r>
      <w:bookmarkEnd w:id="92"/>
      <w:bookmarkEnd w:id="93"/>
      <w:bookmarkEnd w:id="94"/>
      <w:r>
        <w:rPr>
          <w:rFonts w:hint="eastAsia" w:ascii="宋体" w:hAnsi="宋体"/>
          <w:color w:val="auto"/>
          <w:sz w:val="21"/>
          <w:szCs w:val="21"/>
        </w:rPr>
        <w:t>（本项不采用）</w:t>
      </w:r>
    </w:p>
    <w:p>
      <w:pPr>
        <w:overflowPunct w:val="0"/>
        <w:adjustRightInd w:val="0"/>
        <w:snapToGrid w:val="0"/>
        <w:spacing w:line="440" w:lineRule="exact"/>
        <w:jc w:val="left"/>
        <w:rPr>
          <w:rFonts w:ascii="宋体" w:hAnsi="宋体"/>
          <w:color w:val="auto"/>
        </w:rPr>
      </w:pPr>
      <w:r>
        <w:rPr>
          <w:rFonts w:ascii="宋体" w:hAnsi="宋体"/>
          <w:color w:val="auto"/>
        </w:rPr>
        <w:t>18.1</w:t>
      </w:r>
      <w:r>
        <w:rPr>
          <w:rFonts w:hint="eastAsia" w:ascii="宋体" w:hAnsi="宋体"/>
          <w:color w:val="auto"/>
        </w:rPr>
        <w:t>谈判保证金按供应商须知前附表要求进行提交。</w:t>
      </w:r>
    </w:p>
    <w:p>
      <w:pPr>
        <w:overflowPunct w:val="0"/>
        <w:adjustRightInd w:val="0"/>
        <w:snapToGrid w:val="0"/>
        <w:spacing w:line="440" w:lineRule="exact"/>
        <w:jc w:val="left"/>
        <w:rPr>
          <w:rFonts w:ascii="宋体" w:hAnsi="宋体"/>
          <w:color w:val="auto"/>
        </w:rPr>
      </w:pPr>
      <w:r>
        <w:rPr>
          <w:rFonts w:ascii="宋体" w:hAnsi="宋体"/>
          <w:color w:val="auto"/>
        </w:rPr>
        <w:t xml:space="preserve">18.2 </w:t>
      </w:r>
      <w:r>
        <w:rPr>
          <w:rFonts w:hint="eastAsia" w:ascii="宋体" w:hAnsi="宋体"/>
          <w:color w:val="auto"/>
        </w:rPr>
        <w:t>对于未能按要求提交谈判保证金的供应商，采购人将视为不响应谈判文件而予以拒绝。</w:t>
      </w:r>
    </w:p>
    <w:p>
      <w:pPr>
        <w:overflowPunct w:val="0"/>
        <w:adjustRightInd w:val="0"/>
        <w:snapToGrid w:val="0"/>
        <w:spacing w:line="440" w:lineRule="exact"/>
        <w:jc w:val="left"/>
        <w:rPr>
          <w:rFonts w:ascii="宋体" w:hAnsi="宋体"/>
          <w:color w:val="auto"/>
        </w:rPr>
      </w:pPr>
      <w:r>
        <w:rPr>
          <w:rFonts w:ascii="宋体" w:hAnsi="宋体"/>
          <w:color w:val="auto"/>
        </w:rPr>
        <w:t>18.3</w:t>
      </w:r>
      <w:r>
        <w:rPr>
          <w:rFonts w:hint="eastAsia" w:ascii="宋体" w:hAnsi="宋体"/>
          <w:color w:val="auto"/>
        </w:rPr>
        <w:t>谈判结束后退还未成交供应商的谈判保证金</w:t>
      </w:r>
      <w:r>
        <w:rPr>
          <w:rFonts w:hint="eastAsia" w:ascii="宋体" w:hAnsi="宋体" w:cs="宋体"/>
          <w:color w:val="auto"/>
        </w:rPr>
        <w:t>，</w:t>
      </w:r>
    </w:p>
    <w:p>
      <w:pPr>
        <w:overflowPunct w:val="0"/>
        <w:adjustRightInd w:val="0"/>
        <w:snapToGrid w:val="0"/>
        <w:spacing w:line="440" w:lineRule="exact"/>
        <w:jc w:val="left"/>
        <w:rPr>
          <w:rFonts w:ascii="宋体" w:hAnsi="宋体"/>
          <w:color w:val="auto"/>
        </w:rPr>
      </w:pPr>
      <w:r>
        <w:rPr>
          <w:rFonts w:ascii="宋体" w:hAnsi="宋体"/>
          <w:color w:val="auto"/>
        </w:rPr>
        <w:t>18.4</w:t>
      </w:r>
      <w:r>
        <w:rPr>
          <w:rFonts w:hint="eastAsia" w:ascii="宋体" w:hAnsi="宋体"/>
          <w:color w:val="auto"/>
        </w:rPr>
        <w:t>如发生下列情况之一时，谈判保证金将被没收：</w:t>
      </w:r>
    </w:p>
    <w:p>
      <w:pPr>
        <w:overflowPunct w:val="0"/>
        <w:adjustRightInd w:val="0"/>
        <w:snapToGrid w:val="0"/>
        <w:spacing w:line="440" w:lineRule="exact"/>
        <w:jc w:val="left"/>
        <w:rPr>
          <w:rFonts w:ascii="宋体" w:hAnsi="宋体"/>
          <w:color w:val="auto"/>
        </w:rPr>
      </w:pPr>
      <w:r>
        <w:rPr>
          <w:rFonts w:ascii="宋体" w:hAnsi="宋体"/>
          <w:color w:val="auto"/>
        </w:rPr>
        <w:t>a.</w:t>
      </w:r>
      <w:r>
        <w:rPr>
          <w:rFonts w:hint="eastAsia" w:ascii="宋体" w:hAnsi="宋体"/>
          <w:color w:val="auto"/>
        </w:rPr>
        <w:t>供应商在谈判文件中规定的谈判有效期内撤回其响应文件及成交供应商放弃成交的；</w:t>
      </w:r>
    </w:p>
    <w:p>
      <w:pPr>
        <w:overflowPunct w:val="0"/>
        <w:adjustRightInd w:val="0"/>
        <w:snapToGrid w:val="0"/>
        <w:spacing w:line="440" w:lineRule="exact"/>
        <w:jc w:val="left"/>
        <w:rPr>
          <w:rFonts w:ascii="宋体" w:hAnsi="宋体"/>
          <w:color w:val="auto"/>
        </w:rPr>
      </w:pPr>
      <w:r>
        <w:rPr>
          <w:rFonts w:ascii="宋体" w:hAnsi="宋体"/>
          <w:color w:val="auto"/>
        </w:rPr>
        <w:t>b.</w:t>
      </w:r>
      <w:r>
        <w:rPr>
          <w:rFonts w:hint="eastAsia" w:ascii="宋体" w:hAnsi="宋体"/>
          <w:color w:val="auto"/>
        </w:rPr>
        <w:t>供应商有违法违规行为给采购人造成损失的；</w:t>
      </w:r>
      <w:r>
        <w:rPr>
          <w:rFonts w:ascii="宋体" w:hAnsi="宋体"/>
          <w:color w:val="auto"/>
        </w:rPr>
        <w:t xml:space="preserve"> </w:t>
      </w:r>
    </w:p>
    <w:p>
      <w:pPr>
        <w:overflowPunct w:val="0"/>
        <w:adjustRightInd w:val="0"/>
        <w:snapToGrid w:val="0"/>
        <w:spacing w:line="440" w:lineRule="exact"/>
        <w:jc w:val="left"/>
        <w:rPr>
          <w:rFonts w:ascii="宋体" w:hAnsi="宋体"/>
          <w:color w:val="auto"/>
        </w:rPr>
      </w:pPr>
      <w:r>
        <w:rPr>
          <w:rFonts w:ascii="宋体" w:hAnsi="宋体"/>
          <w:color w:val="auto"/>
        </w:rPr>
        <w:t>c.</w:t>
      </w:r>
      <w:r>
        <w:rPr>
          <w:rFonts w:hint="eastAsia" w:ascii="宋体" w:hAnsi="宋体"/>
          <w:color w:val="auto"/>
        </w:rPr>
        <w:t>除因不可抗力或谈判文件认可的情形外，成交供应商在规定期限内，拒绝签订合同的；</w:t>
      </w:r>
    </w:p>
    <w:p>
      <w:pPr>
        <w:overflowPunct w:val="0"/>
        <w:adjustRightInd w:val="0"/>
        <w:snapToGrid w:val="0"/>
        <w:spacing w:line="440" w:lineRule="exact"/>
        <w:jc w:val="left"/>
        <w:rPr>
          <w:rFonts w:ascii="宋体" w:hAnsi="宋体"/>
          <w:color w:val="auto"/>
        </w:rPr>
      </w:pPr>
      <w:r>
        <w:rPr>
          <w:rFonts w:ascii="宋体" w:hAnsi="宋体"/>
          <w:color w:val="auto"/>
        </w:rPr>
        <w:t>d.</w:t>
      </w:r>
      <w:r>
        <w:rPr>
          <w:rFonts w:hint="eastAsia" w:ascii="宋体" w:hAnsi="宋体"/>
          <w:color w:val="auto"/>
        </w:rPr>
        <w:t>供应商在响应文件中提供虚假材料的；</w:t>
      </w:r>
    </w:p>
    <w:p>
      <w:pPr>
        <w:overflowPunct w:val="0"/>
        <w:adjustRightInd w:val="0"/>
        <w:snapToGrid w:val="0"/>
        <w:spacing w:line="440" w:lineRule="exact"/>
        <w:jc w:val="left"/>
        <w:rPr>
          <w:rFonts w:ascii="宋体" w:hAnsi="宋体"/>
          <w:color w:val="auto"/>
        </w:rPr>
      </w:pPr>
      <w:r>
        <w:rPr>
          <w:rFonts w:ascii="宋体" w:hAnsi="宋体"/>
          <w:color w:val="auto"/>
        </w:rPr>
        <w:t>e.</w:t>
      </w:r>
      <w:r>
        <w:rPr>
          <w:rFonts w:hint="eastAsia" w:ascii="宋体" w:hAnsi="宋体"/>
          <w:color w:val="auto"/>
        </w:rPr>
        <w:t>供应商与其他供应商相互恶意串通的。</w:t>
      </w:r>
    </w:p>
    <w:p>
      <w:pPr>
        <w:pStyle w:val="9"/>
        <w:overflowPunct w:val="0"/>
        <w:adjustRightInd w:val="0"/>
        <w:snapToGrid w:val="0"/>
        <w:spacing w:before="0" w:after="0" w:line="440" w:lineRule="exact"/>
        <w:jc w:val="left"/>
        <w:rPr>
          <w:rFonts w:ascii="宋体" w:hAnsi="宋体"/>
          <w:color w:val="auto"/>
          <w:sz w:val="21"/>
          <w:szCs w:val="21"/>
        </w:rPr>
      </w:pPr>
      <w:bookmarkStart w:id="95" w:name="_Toc46309823"/>
      <w:bookmarkStart w:id="96" w:name="_Toc311415591"/>
      <w:bookmarkStart w:id="97" w:name="_Toc489284220"/>
      <w:r>
        <w:rPr>
          <w:rFonts w:ascii="宋体" w:hAnsi="宋体"/>
          <w:color w:val="auto"/>
          <w:sz w:val="21"/>
          <w:szCs w:val="21"/>
        </w:rPr>
        <w:t>19</w:t>
      </w:r>
      <w:r>
        <w:rPr>
          <w:rFonts w:hint="eastAsia" w:ascii="宋体" w:hAnsi="宋体"/>
          <w:color w:val="auto"/>
          <w:sz w:val="21"/>
          <w:szCs w:val="21"/>
        </w:rPr>
        <w:t>．谈判有效期</w:t>
      </w:r>
      <w:bookmarkEnd w:id="95"/>
      <w:bookmarkEnd w:id="96"/>
      <w:bookmarkEnd w:id="97"/>
    </w:p>
    <w:p>
      <w:pPr>
        <w:overflowPunct w:val="0"/>
        <w:adjustRightInd w:val="0"/>
        <w:snapToGrid w:val="0"/>
        <w:spacing w:line="440" w:lineRule="exact"/>
        <w:jc w:val="left"/>
        <w:rPr>
          <w:rFonts w:ascii="宋体" w:hAnsi="宋体"/>
          <w:color w:val="auto"/>
        </w:rPr>
      </w:pPr>
      <w:r>
        <w:rPr>
          <w:rFonts w:ascii="宋体" w:hAnsi="宋体"/>
          <w:color w:val="auto"/>
        </w:rPr>
        <w:t xml:space="preserve">19.1 </w:t>
      </w:r>
      <w:r>
        <w:rPr>
          <w:rFonts w:hint="eastAsia" w:ascii="宋体" w:hAnsi="宋体"/>
          <w:color w:val="auto"/>
        </w:rPr>
        <w:t>响应文件从谈判之日起，谈判有效期为6</w:t>
      </w:r>
      <w:r>
        <w:rPr>
          <w:rFonts w:ascii="宋体" w:hAnsi="宋体"/>
          <w:color w:val="auto"/>
        </w:rPr>
        <w:t>0</w:t>
      </w:r>
      <w:r>
        <w:rPr>
          <w:rFonts w:hint="eastAsia" w:ascii="宋体" w:hAnsi="宋体"/>
          <w:color w:val="auto"/>
        </w:rPr>
        <w:t>天。响应文件的有效期比本须知规定的有效期短的，将被视为非响应报价，采购人有权拒绝。</w:t>
      </w:r>
    </w:p>
    <w:p>
      <w:pPr>
        <w:overflowPunct w:val="0"/>
        <w:adjustRightInd w:val="0"/>
        <w:snapToGrid w:val="0"/>
        <w:spacing w:line="440" w:lineRule="exact"/>
        <w:jc w:val="left"/>
        <w:rPr>
          <w:rFonts w:ascii="宋体" w:hAnsi="宋体"/>
          <w:color w:val="auto"/>
        </w:rPr>
      </w:pPr>
      <w:r>
        <w:rPr>
          <w:rFonts w:ascii="宋体" w:hAnsi="宋体"/>
          <w:color w:val="auto"/>
        </w:rPr>
        <w:t xml:space="preserve">19.2 </w:t>
      </w:r>
      <w:r>
        <w:rPr>
          <w:rFonts w:hint="eastAsia" w:ascii="宋体" w:hAnsi="宋体"/>
          <w:color w:val="auto"/>
        </w:rPr>
        <w:t>特殊情况下，采购人可于谈判有效期满之前要求供应商同意延长有效期，要求与答复均应为书面形式。供应商可以拒绝上述要求，对于同意该要求的供应商，既不要求也不允许其修改响应文件。</w:t>
      </w:r>
    </w:p>
    <w:p>
      <w:pPr>
        <w:pStyle w:val="9"/>
        <w:overflowPunct w:val="0"/>
        <w:adjustRightInd w:val="0"/>
        <w:snapToGrid w:val="0"/>
        <w:spacing w:before="0" w:after="0" w:line="440" w:lineRule="exact"/>
        <w:jc w:val="left"/>
        <w:rPr>
          <w:rFonts w:ascii="宋体" w:hAnsi="宋体"/>
          <w:color w:val="auto"/>
          <w:sz w:val="21"/>
          <w:szCs w:val="21"/>
        </w:rPr>
      </w:pPr>
      <w:bookmarkStart w:id="98" w:name="_Toc489284221"/>
      <w:bookmarkStart w:id="99" w:name="_Toc311415592"/>
      <w:bookmarkStart w:id="100" w:name="_Toc46309824"/>
      <w:r>
        <w:rPr>
          <w:rFonts w:ascii="宋体" w:hAnsi="宋体"/>
          <w:color w:val="auto"/>
          <w:sz w:val="21"/>
          <w:szCs w:val="21"/>
        </w:rPr>
        <w:t>20</w:t>
      </w:r>
      <w:r>
        <w:rPr>
          <w:rFonts w:hint="eastAsia" w:ascii="宋体" w:hAnsi="宋体"/>
          <w:color w:val="auto"/>
          <w:sz w:val="21"/>
          <w:szCs w:val="21"/>
        </w:rPr>
        <w:t>．响应文件的签署及格式</w:t>
      </w:r>
      <w:bookmarkEnd w:id="98"/>
      <w:bookmarkEnd w:id="99"/>
      <w:bookmarkEnd w:id="100"/>
    </w:p>
    <w:p>
      <w:pPr>
        <w:overflowPunct w:val="0"/>
        <w:adjustRightInd w:val="0"/>
        <w:snapToGrid w:val="0"/>
        <w:spacing w:line="440" w:lineRule="exact"/>
        <w:jc w:val="left"/>
        <w:rPr>
          <w:rFonts w:ascii="宋体" w:hAnsi="宋体"/>
          <w:color w:val="auto"/>
        </w:rPr>
      </w:pPr>
      <w:r>
        <w:rPr>
          <w:rFonts w:ascii="宋体" w:hAnsi="宋体"/>
          <w:color w:val="auto"/>
        </w:rPr>
        <w:t>20.1</w:t>
      </w:r>
      <w:r>
        <w:rPr>
          <w:rFonts w:hint="eastAsia" w:ascii="宋体" w:hAnsi="宋体"/>
          <w:color w:val="auto"/>
        </w:rPr>
        <w:t>响应文件应打印或用不褪色的墨水书写，并由供应商的法定代表人或被授权代表签字、加盖单位公章。被授权代表签字的，响应文件应附法定代表人签署的授权委托书。响应文件应尽量避免涂改、行间插字或删除。如果出现上述情况，改动之处应加盖单位公章或由供应商的法定代表人或被授权代表签字确认。字迹潦草、表达不清、未按要求填写而导致非唯一理解，造成非实质性响应谈判文件的响应文件将会被认定为无效谈判。正本与副本不一致时以正本为准。</w:t>
      </w:r>
    </w:p>
    <w:p>
      <w:pPr>
        <w:overflowPunct w:val="0"/>
        <w:adjustRightInd w:val="0"/>
        <w:snapToGrid w:val="0"/>
        <w:spacing w:line="440" w:lineRule="exact"/>
        <w:jc w:val="left"/>
        <w:rPr>
          <w:rFonts w:ascii="宋体" w:hAnsi="宋体"/>
          <w:color w:val="auto"/>
        </w:rPr>
      </w:pPr>
      <w:r>
        <w:rPr>
          <w:rFonts w:ascii="宋体" w:hAnsi="宋体"/>
          <w:color w:val="auto"/>
        </w:rPr>
        <w:t>20.2</w:t>
      </w:r>
      <w:r>
        <w:rPr>
          <w:rFonts w:hint="eastAsia" w:ascii="宋体" w:hAnsi="宋体"/>
          <w:color w:val="auto"/>
        </w:rPr>
        <w:t>响应文件统一采用</w:t>
      </w:r>
      <w:r>
        <w:rPr>
          <w:rFonts w:ascii="宋体" w:hAnsi="宋体"/>
          <w:color w:val="auto"/>
        </w:rPr>
        <w:t>A4</w:t>
      </w:r>
      <w:r>
        <w:rPr>
          <w:rFonts w:hint="eastAsia" w:ascii="宋体" w:hAnsi="宋体"/>
          <w:color w:val="auto"/>
        </w:rPr>
        <w:t>纸编制（如部分附表需要用其他规格的复印纸编写，则应按</w:t>
      </w:r>
      <w:r>
        <w:rPr>
          <w:rFonts w:ascii="宋体" w:hAnsi="宋体"/>
          <w:color w:val="auto"/>
        </w:rPr>
        <w:t>A4</w:t>
      </w:r>
      <w:r>
        <w:rPr>
          <w:rFonts w:hint="eastAsia" w:ascii="宋体" w:hAnsi="宋体"/>
          <w:color w:val="auto"/>
        </w:rPr>
        <w:t>复印纸折叠），采用电脑打印或复印，文本格式采用常规的文本格式。一旦正本和副本有差异，以正本为准。</w:t>
      </w:r>
    </w:p>
    <w:p>
      <w:pPr>
        <w:overflowPunct w:val="0"/>
        <w:adjustRightInd w:val="0"/>
        <w:snapToGrid w:val="0"/>
        <w:spacing w:line="440" w:lineRule="exact"/>
        <w:jc w:val="left"/>
        <w:rPr>
          <w:rFonts w:ascii="宋体" w:hAnsi="宋体"/>
          <w:color w:val="auto"/>
        </w:rPr>
      </w:pPr>
      <w:r>
        <w:rPr>
          <w:rFonts w:ascii="宋体" w:hAnsi="宋体"/>
          <w:color w:val="auto"/>
        </w:rPr>
        <w:t xml:space="preserve">20.3 </w:t>
      </w:r>
      <w:r>
        <w:rPr>
          <w:rFonts w:hint="eastAsia" w:ascii="宋体" w:hAnsi="宋体"/>
          <w:color w:val="auto"/>
        </w:rPr>
        <w:t>除供应商对错处作必要修改外，响应文件中不许有加行、涂抹或改写。若有修改须由签署响应文件的被授权代表在旁边签字才有效。</w:t>
      </w:r>
    </w:p>
    <w:p>
      <w:pPr>
        <w:overflowPunct w:val="0"/>
        <w:adjustRightInd w:val="0"/>
        <w:snapToGrid w:val="0"/>
        <w:spacing w:line="440" w:lineRule="exact"/>
        <w:jc w:val="left"/>
        <w:rPr>
          <w:rFonts w:ascii="宋体" w:hAnsi="宋体"/>
          <w:color w:val="auto"/>
        </w:rPr>
      </w:pPr>
      <w:r>
        <w:rPr>
          <w:rFonts w:ascii="宋体" w:hAnsi="宋体"/>
          <w:color w:val="auto"/>
        </w:rPr>
        <w:t>20.4</w:t>
      </w:r>
      <w:r>
        <w:rPr>
          <w:rFonts w:hint="eastAsia" w:ascii="宋体" w:hAnsi="宋体"/>
          <w:color w:val="auto"/>
        </w:rPr>
        <w:t>以电话、传真、电子邮件形式的谈判将被拒绝。</w:t>
      </w:r>
      <w:bookmarkStart w:id="101" w:name="_Toc332874422"/>
      <w:bookmarkStart w:id="102" w:name="_Toc283626505"/>
      <w:bookmarkStart w:id="103" w:name="_Toc489284222"/>
      <w:bookmarkStart w:id="104" w:name="_Toc409684169"/>
      <w:bookmarkStart w:id="105" w:name="_Toc311415593"/>
      <w:bookmarkStart w:id="106" w:name="_Toc283240489"/>
    </w:p>
    <w:p>
      <w:pPr>
        <w:pStyle w:val="8"/>
        <w:spacing w:before="0" w:after="0" w:line="500" w:lineRule="exact"/>
        <w:jc w:val="center"/>
        <w:rPr>
          <w:rFonts w:ascii="宋体" w:hAnsi="宋体" w:eastAsia="宋体"/>
          <w:bCs w:val="0"/>
          <w:color w:val="auto"/>
          <w:sz w:val="28"/>
          <w:szCs w:val="28"/>
        </w:rPr>
      </w:pPr>
      <w:bookmarkStart w:id="107" w:name="_Toc46309825"/>
      <w:r>
        <w:rPr>
          <w:rFonts w:ascii="宋体" w:hAnsi="宋体" w:eastAsia="宋体"/>
          <w:bCs w:val="0"/>
          <w:color w:val="auto"/>
          <w:sz w:val="28"/>
          <w:szCs w:val="28"/>
        </w:rPr>
        <w:t xml:space="preserve">D   </w:t>
      </w:r>
      <w:r>
        <w:rPr>
          <w:rFonts w:hint="eastAsia" w:ascii="宋体" w:hAnsi="宋体" w:eastAsia="宋体"/>
          <w:bCs w:val="0"/>
          <w:color w:val="auto"/>
          <w:sz w:val="28"/>
          <w:szCs w:val="28"/>
        </w:rPr>
        <w:t>响应文件的递交</w:t>
      </w:r>
      <w:bookmarkEnd w:id="101"/>
      <w:bookmarkEnd w:id="102"/>
      <w:bookmarkEnd w:id="103"/>
      <w:bookmarkEnd w:id="104"/>
      <w:bookmarkEnd w:id="105"/>
      <w:bookmarkEnd w:id="106"/>
      <w:bookmarkEnd w:id="107"/>
    </w:p>
    <w:p>
      <w:pPr>
        <w:pStyle w:val="9"/>
        <w:overflowPunct w:val="0"/>
        <w:adjustRightInd w:val="0"/>
        <w:snapToGrid w:val="0"/>
        <w:spacing w:before="0" w:after="0" w:line="440" w:lineRule="exact"/>
        <w:jc w:val="left"/>
        <w:rPr>
          <w:rFonts w:ascii="宋体" w:hAnsi="宋体"/>
          <w:color w:val="auto"/>
          <w:sz w:val="21"/>
          <w:szCs w:val="21"/>
        </w:rPr>
      </w:pPr>
      <w:bookmarkStart w:id="108" w:name="_Toc489284223"/>
      <w:bookmarkStart w:id="109" w:name="_Toc46309826"/>
      <w:bookmarkStart w:id="110" w:name="_Toc311415594"/>
      <w:r>
        <w:rPr>
          <w:rFonts w:ascii="宋体" w:hAnsi="宋体"/>
          <w:color w:val="auto"/>
          <w:sz w:val="21"/>
          <w:szCs w:val="21"/>
        </w:rPr>
        <w:t>21</w:t>
      </w:r>
      <w:r>
        <w:rPr>
          <w:rFonts w:hint="eastAsia" w:ascii="宋体" w:hAnsi="宋体"/>
          <w:color w:val="auto"/>
          <w:sz w:val="21"/>
          <w:szCs w:val="21"/>
        </w:rPr>
        <w:t>．响应文件的数量、包装和标记</w:t>
      </w:r>
      <w:bookmarkEnd w:id="108"/>
      <w:bookmarkEnd w:id="109"/>
      <w:bookmarkEnd w:id="110"/>
    </w:p>
    <w:p>
      <w:pPr>
        <w:overflowPunct w:val="0"/>
        <w:adjustRightInd w:val="0"/>
        <w:snapToGrid w:val="0"/>
        <w:spacing w:line="440" w:lineRule="exact"/>
        <w:jc w:val="left"/>
        <w:rPr>
          <w:rFonts w:ascii="宋体" w:hAnsi="宋体"/>
          <w:color w:val="auto"/>
        </w:rPr>
      </w:pPr>
      <w:r>
        <w:rPr>
          <w:rFonts w:ascii="宋体" w:hAnsi="宋体"/>
          <w:color w:val="auto"/>
        </w:rPr>
        <w:t xml:space="preserve">21.1 </w:t>
      </w:r>
      <w:r>
        <w:rPr>
          <w:rFonts w:hint="eastAsia" w:ascii="宋体" w:hAnsi="宋体"/>
          <w:color w:val="auto"/>
        </w:rPr>
        <w:t>供应商制作响应文件，一份正本</w:t>
      </w:r>
      <w:r>
        <w:rPr>
          <w:rFonts w:ascii="宋体" w:hAnsi="宋体"/>
          <w:color w:val="auto"/>
        </w:rPr>
        <w:t>“</w:t>
      </w:r>
      <w:r>
        <w:rPr>
          <w:rFonts w:hint="eastAsia" w:ascii="宋体" w:hAnsi="宋体"/>
          <w:color w:val="auto"/>
        </w:rPr>
        <w:t>响应文件</w:t>
      </w:r>
      <w:r>
        <w:rPr>
          <w:rFonts w:ascii="宋体" w:hAnsi="宋体"/>
          <w:color w:val="auto"/>
        </w:rPr>
        <w:t>”</w:t>
      </w:r>
      <w:r>
        <w:rPr>
          <w:rFonts w:hint="eastAsia" w:ascii="宋体" w:hAnsi="宋体"/>
          <w:color w:val="auto"/>
        </w:rPr>
        <w:t>、二份副本</w:t>
      </w:r>
      <w:r>
        <w:rPr>
          <w:rFonts w:ascii="宋体" w:hAnsi="宋体"/>
          <w:color w:val="auto"/>
        </w:rPr>
        <w:t>“</w:t>
      </w:r>
      <w:r>
        <w:rPr>
          <w:rFonts w:hint="eastAsia" w:ascii="宋体" w:hAnsi="宋体"/>
          <w:color w:val="auto"/>
        </w:rPr>
        <w:t>响应文件</w:t>
      </w:r>
      <w:r>
        <w:rPr>
          <w:rFonts w:ascii="宋体" w:hAnsi="宋体"/>
          <w:color w:val="auto"/>
        </w:rPr>
        <w:t>”</w:t>
      </w:r>
      <w:r>
        <w:rPr>
          <w:rFonts w:hint="eastAsia" w:ascii="宋体" w:hAnsi="宋体"/>
          <w:color w:val="auto"/>
        </w:rPr>
        <w:t>。每套</w:t>
      </w:r>
      <w:r>
        <w:rPr>
          <w:rFonts w:ascii="宋体" w:hAnsi="宋体"/>
          <w:color w:val="auto"/>
        </w:rPr>
        <w:t>“</w:t>
      </w:r>
      <w:r>
        <w:rPr>
          <w:rFonts w:hint="eastAsia" w:ascii="宋体" w:hAnsi="宋体"/>
          <w:color w:val="auto"/>
        </w:rPr>
        <w:t>响应文件</w:t>
      </w:r>
      <w:r>
        <w:rPr>
          <w:rFonts w:ascii="宋体" w:hAnsi="宋体"/>
          <w:color w:val="auto"/>
        </w:rPr>
        <w:t>”</w:t>
      </w:r>
      <w:r>
        <w:rPr>
          <w:rFonts w:hint="eastAsia" w:ascii="宋体" w:hAnsi="宋体"/>
          <w:color w:val="auto"/>
        </w:rPr>
        <w:t>封面应注明</w:t>
      </w:r>
      <w:r>
        <w:rPr>
          <w:rFonts w:ascii="宋体" w:hAnsi="宋体"/>
          <w:color w:val="auto"/>
        </w:rPr>
        <w:t>“</w:t>
      </w:r>
      <w:r>
        <w:rPr>
          <w:rFonts w:hint="eastAsia" w:ascii="宋体" w:hAnsi="宋体"/>
          <w:color w:val="auto"/>
        </w:rPr>
        <w:t>正本</w:t>
      </w:r>
      <w:r>
        <w:rPr>
          <w:rFonts w:ascii="宋体" w:hAnsi="宋体"/>
          <w:color w:val="auto"/>
        </w:rPr>
        <w:t>”</w:t>
      </w:r>
      <w:r>
        <w:rPr>
          <w:rFonts w:hint="eastAsia" w:ascii="宋体" w:hAnsi="宋体"/>
          <w:color w:val="auto"/>
        </w:rPr>
        <w:t>或</w:t>
      </w:r>
      <w:r>
        <w:rPr>
          <w:rFonts w:ascii="宋体" w:hAnsi="宋体"/>
          <w:color w:val="auto"/>
        </w:rPr>
        <w:t>“</w:t>
      </w:r>
      <w:r>
        <w:rPr>
          <w:rFonts w:hint="eastAsia" w:ascii="宋体" w:hAnsi="宋体"/>
          <w:color w:val="auto"/>
        </w:rPr>
        <w:t>副本</w:t>
      </w:r>
      <w:r>
        <w:rPr>
          <w:rFonts w:ascii="宋体" w:hAnsi="宋体"/>
          <w:color w:val="auto"/>
        </w:rPr>
        <w:t>”</w:t>
      </w:r>
      <w:r>
        <w:rPr>
          <w:rFonts w:hint="eastAsia" w:ascii="宋体" w:hAnsi="宋体"/>
          <w:color w:val="auto"/>
        </w:rPr>
        <w:t>。一旦正本与副本不符，以正本为主。</w:t>
      </w:r>
    </w:p>
    <w:p>
      <w:pPr>
        <w:overflowPunct w:val="0"/>
        <w:adjustRightInd w:val="0"/>
        <w:snapToGrid w:val="0"/>
        <w:spacing w:line="440" w:lineRule="exact"/>
        <w:jc w:val="left"/>
        <w:rPr>
          <w:rFonts w:ascii="宋体" w:hAnsi="宋体"/>
          <w:color w:val="auto"/>
        </w:rPr>
      </w:pPr>
      <w:r>
        <w:rPr>
          <w:rFonts w:ascii="宋体" w:hAnsi="宋体"/>
          <w:color w:val="auto"/>
        </w:rPr>
        <w:t>21.2</w:t>
      </w:r>
      <w:r>
        <w:rPr>
          <w:rFonts w:hint="eastAsia" w:ascii="宋体" w:hAnsi="宋体"/>
          <w:color w:val="auto"/>
        </w:rPr>
        <w:t>响应文件必须密封递交。正</w:t>
      </w:r>
      <w:r>
        <w:rPr>
          <w:rFonts w:ascii="宋体" w:hAnsi="宋体"/>
          <w:color w:val="auto"/>
        </w:rPr>
        <w:t>/</w:t>
      </w:r>
      <w:r>
        <w:rPr>
          <w:rFonts w:hint="eastAsia" w:ascii="宋体" w:hAnsi="宋体"/>
          <w:color w:val="auto"/>
        </w:rPr>
        <w:t>副本需采用胶装方式装订，供应商应当保证其封装的可靠性，不致因搬运、堆放等原因散开。谈判时，供应商应当将响应文件正本以密封袋</w:t>
      </w:r>
      <w:r>
        <w:rPr>
          <w:rFonts w:ascii="宋体" w:hAnsi="宋体"/>
          <w:color w:val="auto"/>
        </w:rPr>
        <w:t>/</w:t>
      </w:r>
      <w:r>
        <w:rPr>
          <w:rFonts w:hint="eastAsia" w:ascii="宋体" w:hAnsi="宋体"/>
          <w:color w:val="auto"/>
        </w:rPr>
        <w:t>箱单独密封，所有的副本以密封袋</w:t>
      </w:r>
      <w:r>
        <w:rPr>
          <w:rFonts w:ascii="宋体" w:hAnsi="宋体"/>
          <w:color w:val="auto"/>
        </w:rPr>
        <w:t>/</w:t>
      </w:r>
      <w:r>
        <w:rPr>
          <w:rFonts w:hint="eastAsia" w:ascii="宋体" w:hAnsi="宋体"/>
          <w:color w:val="auto"/>
        </w:rPr>
        <w:t>箱单独密封；所有密封袋</w:t>
      </w:r>
      <w:r>
        <w:rPr>
          <w:rFonts w:ascii="宋体" w:hAnsi="宋体"/>
          <w:color w:val="auto"/>
        </w:rPr>
        <w:t>/</w:t>
      </w:r>
      <w:r>
        <w:rPr>
          <w:rFonts w:hint="eastAsia" w:ascii="宋体" w:hAnsi="宋体"/>
          <w:color w:val="auto"/>
        </w:rPr>
        <w:t>箱正面和响应文件封面须标明采购项目名称、供应商名称及</w:t>
      </w:r>
      <w:r>
        <w:rPr>
          <w:rFonts w:ascii="宋体" w:hAnsi="宋体"/>
          <w:color w:val="auto"/>
        </w:rPr>
        <w:t>“</w:t>
      </w:r>
      <w:r>
        <w:rPr>
          <w:rFonts w:hint="eastAsia" w:ascii="宋体" w:hAnsi="宋体"/>
          <w:color w:val="auto"/>
        </w:rPr>
        <w:t>正本</w:t>
      </w:r>
      <w:r>
        <w:rPr>
          <w:rFonts w:ascii="宋体" w:hAnsi="宋体"/>
          <w:color w:val="auto"/>
        </w:rPr>
        <w:t>”</w:t>
      </w:r>
      <w:r>
        <w:rPr>
          <w:rFonts w:hint="eastAsia" w:ascii="宋体" w:hAnsi="宋体"/>
          <w:color w:val="auto"/>
        </w:rPr>
        <w:t>、</w:t>
      </w:r>
      <w:r>
        <w:rPr>
          <w:rFonts w:ascii="宋体" w:hAnsi="宋体"/>
          <w:color w:val="auto"/>
        </w:rPr>
        <w:t>“</w:t>
      </w:r>
      <w:r>
        <w:rPr>
          <w:rFonts w:hint="eastAsia" w:ascii="宋体" w:hAnsi="宋体"/>
          <w:color w:val="auto"/>
        </w:rPr>
        <w:t>副本</w:t>
      </w:r>
      <w:r>
        <w:rPr>
          <w:rFonts w:ascii="宋体" w:hAnsi="宋体"/>
          <w:color w:val="auto"/>
        </w:rPr>
        <w:t>”</w:t>
      </w:r>
      <w:r>
        <w:rPr>
          <w:rFonts w:hint="eastAsia" w:ascii="宋体" w:hAnsi="宋体"/>
          <w:color w:val="auto"/>
        </w:rPr>
        <w:t>等字样。</w:t>
      </w:r>
    </w:p>
    <w:p>
      <w:pPr>
        <w:overflowPunct w:val="0"/>
        <w:adjustRightInd w:val="0"/>
        <w:snapToGrid w:val="0"/>
        <w:spacing w:line="440" w:lineRule="exact"/>
        <w:jc w:val="left"/>
        <w:rPr>
          <w:rFonts w:ascii="宋体" w:hAnsi="宋体"/>
          <w:color w:val="auto"/>
        </w:rPr>
      </w:pPr>
      <w:r>
        <w:rPr>
          <w:rFonts w:ascii="宋体" w:hAnsi="宋体"/>
          <w:color w:val="auto"/>
        </w:rPr>
        <w:t>21.3</w:t>
      </w:r>
      <w:r>
        <w:rPr>
          <w:rFonts w:hint="eastAsia" w:ascii="宋体" w:hAnsi="宋体"/>
          <w:color w:val="auto"/>
        </w:rPr>
        <w:t>所有响应文件的密封袋</w:t>
      </w:r>
      <w:r>
        <w:rPr>
          <w:rFonts w:ascii="宋体" w:hAnsi="宋体"/>
          <w:color w:val="auto"/>
        </w:rPr>
        <w:t>/</w:t>
      </w:r>
      <w:r>
        <w:rPr>
          <w:rFonts w:hint="eastAsia" w:ascii="宋体" w:hAnsi="宋体"/>
          <w:color w:val="auto"/>
        </w:rPr>
        <w:t>箱应加盖供应商公章或法定代表人或被授权代表签字（或盖章）。</w:t>
      </w:r>
    </w:p>
    <w:p>
      <w:pPr>
        <w:overflowPunct w:val="0"/>
        <w:adjustRightInd w:val="0"/>
        <w:snapToGrid w:val="0"/>
        <w:spacing w:line="440" w:lineRule="exact"/>
        <w:jc w:val="left"/>
        <w:rPr>
          <w:rFonts w:ascii="宋体" w:hAnsi="宋体"/>
          <w:color w:val="auto"/>
        </w:rPr>
      </w:pPr>
      <w:r>
        <w:rPr>
          <w:rFonts w:ascii="宋体" w:hAnsi="宋体"/>
          <w:color w:val="auto"/>
        </w:rPr>
        <w:t>21.4</w:t>
      </w:r>
      <w:r>
        <w:rPr>
          <w:rFonts w:hint="eastAsia" w:ascii="宋体" w:hAnsi="宋体"/>
          <w:color w:val="auto"/>
        </w:rPr>
        <w:t>响应文件的密封材料和样式不作统一规定，各供应商应使用不易破损的包装材料进行包装。</w:t>
      </w:r>
    </w:p>
    <w:p>
      <w:pPr>
        <w:overflowPunct w:val="0"/>
        <w:adjustRightInd w:val="0"/>
        <w:snapToGrid w:val="0"/>
        <w:spacing w:line="440" w:lineRule="exact"/>
        <w:jc w:val="left"/>
        <w:rPr>
          <w:rFonts w:ascii="宋体" w:hAnsi="宋体"/>
          <w:color w:val="auto"/>
        </w:rPr>
      </w:pPr>
      <w:r>
        <w:rPr>
          <w:rFonts w:hint="eastAsia" w:ascii="宋体" w:hAnsi="宋体"/>
          <w:color w:val="auto"/>
        </w:rPr>
        <w:t>封套均应按下述写明：</w:t>
      </w:r>
    </w:p>
    <w:p>
      <w:pPr>
        <w:overflowPunct w:val="0"/>
        <w:adjustRightInd w:val="0"/>
        <w:snapToGrid w:val="0"/>
        <w:spacing w:line="440" w:lineRule="exact"/>
        <w:jc w:val="left"/>
        <w:rPr>
          <w:rFonts w:ascii="宋体" w:hAnsi="宋体"/>
          <w:color w:val="auto"/>
        </w:rPr>
      </w:pPr>
      <w:r>
        <w:rPr>
          <w:rFonts w:hint="eastAsia" w:ascii="宋体" w:hAnsi="宋体"/>
          <w:color w:val="auto"/>
        </w:rPr>
        <w:t>项目名称：</w:t>
      </w:r>
      <w:r>
        <w:rPr>
          <w:rFonts w:ascii="宋体" w:hAnsi="宋体"/>
          <w:color w:val="auto"/>
        </w:rPr>
        <w:t xml:space="preserve">                                               </w:t>
      </w:r>
    </w:p>
    <w:p>
      <w:pPr>
        <w:overflowPunct w:val="0"/>
        <w:adjustRightInd w:val="0"/>
        <w:snapToGrid w:val="0"/>
        <w:spacing w:line="440" w:lineRule="exact"/>
        <w:jc w:val="left"/>
        <w:rPr>
          <w:rFonts w:ascii="宋体" w:hAnsi="宋体"/>
          <w:color w:val="auto"/>
        </w:rPr>
      </w:pPr>
      <w:r>
        <w:rPr>
          <w:rFonts w:hint="eastAsia" w:ascii="宋体" w:hAnsi="宋体"/>
          <w:color w:val="auto"/>
        </w:rPr>
        <w:t>标明</w:t>
      </w:r>
      <w:r>
        <w:rPr>
          <w:rFonts w:ascii="宋体" w:hAnsi="宋体"/>
          <w:color w:val="auto"/>
        </w:rPr>
        <w:t xml:space="preserve"> “</w:t>
      </w:r>
      <w:r>
        <w:rPr>
          <w:rFonts w:hint="eastAsia" w:ascii="宋体" w:hAnsi="宋体"/>
          <w:color w:val="auto"/>
        </w:rPr>
        <w:t>请勿在</w:t>
      </w:r>
      <w:r>
        <w:rPr>
          <w:rFonts w:ascii="宋体" w:hAnsi="宋体"/>
          <w:color w:val="auto"/>
        </w:rPr>
        <w:t>(</w:t>
      </w:r>
      <w:r>
        <w:rPr>
          <w:rFonts w:hint="eastAsia" w:ascii="宋体" w:hAnsi="宋体"/>
          <w:color w:val="auto"/>
        </w:rPr>
        <w:t>填入前附表中规定的谈判日期和时间</w:t>
      </w:r>
      <w:r>
        <w:rPr>
          <w:rFonts w:ascii="宋体" w:hAnsi="宋体"/>
          <w:color w:val="auto"/>
        </w:rPr>
        <w:t>)</w:t>
      </w:r>
      <w:r>
        <w:rPr>
          <w:rFonts w:hint="eastAsia" w:ascii="宋体" w:hAnsi="宋体"/>
          <w:color w:val="auto"/>
        </w:rPr>
        <w:t>之前启封</w:t>
      </w:r>
      <w:r>
        <w:rPr>
          <w:rFonts w:ascii="宋体" w:hAnsi="宋体"/>
          <w:color w:val="auto"/>
        </w:rPr>
        <w:t>”</w:t>
      </w:r>
      <w:r>
        <w:rPr>
          <w:rFonts w:hint="eastAsia" w:ascii="宋体" w:hAnsi="宋体"/>
          <w:color w:val="auto"/>
        </w:rPr>
        <w:t>字样。</w:t>
      </w:r>
    </w:p>
    <w:p>
      <w:pPr>
        <w:overflowPunct w:val="0"/>
        <w:adjustRightInd w:val="0"/>
        <w:snapToGrid w:val="0"/>
        <w:spacing w:line="440" w:lineRule="exact"/>
        <w:jc w:val="left"/>
        <w:rPr>
          <w:rFonts w:ascii="宋体" w:hAnsi="宋体"/>
          <w:color w:val="auto"/>
        </w:rPr>
      </w:pPr>
      <w:r>
        <w:rPr>
          <w:rFonts w:hint="eastAsia" w:ascii="宋体" w:hAnsi="宋体"/>
          <w:color w:val="auto"/>
        </w:rPr>
        <w:t>供应商名称：</w:t>
      </w:r>
      <w:r>
        <w:rPr>
          <w:rFonts w:ascii="宋体" w:hAnsi="宋体"/>
          <w:color w:val="auto"/>
        </w:rPr>
        <w:t xml:space="preserve">                                                    </w:t>
      </w:r>
    </w:p>
    <w:p>
      <w:pPr>
        <w:pStyle w:val="9"/>
        <w:overflowPunct w:val="0"/>
        <w:adjustRightInd w:val="0"/>
        <w:snapToGrid w:val="0"/>
        <w:spacing w:before="0" w:after="0" w:line="440" w:lineRule="exact"/>
        <w:jc w:val="left"/>
        <w:rPr>
          <w:rFonts w:ascii="宋体" w:hAnsi="宋体"/>
          <w:color w:val="auto"/>
          <w:sz w:val="21"/>
          <w:szCs w:val="21"/>
        </w:rPr>
      </w:pPr>
      <w:bookmarkStart w:id="111" w:name="_Toc489284224"/>
      <w:bookmarkStart w:id="112" w:name="_Toc311415595"/>
      <w:bookmarkStart w:id="113" w:name="_Toc46309827"/>
      <w:r>
        <w:rPr>
          <w:rFonts w:ascii="宋体" w:hAnsi="宋体"/>
          <w:color w:val="auto"/>
          <w:sz w:val="21"/>
          <w:szCs w:val="21"/>
        </w:rPr>
        <w:t>22</w:t>
      </w:r>
      <w:r>
        <w:rPr>
          <w:rFonts w:hint="eastAsia" w:ascii="宋体" w:hAnsi="宋体"/>
          <w:color w:val="auto"/>
          <w:sz w:val="21"/>
          <w:szCs w:val="21"/>
        </w:rPr>
        <w:t>．谈判截止时间</w:t>
      </w:r>
      <w:bookmarkEnd w:id="111"/>
      <w:bookmarkEnd w:id="112"/>
      <w:bookmarkEnd w:id="113"/>
    </w:p>
    <w:p>
      <w:pPr>
        <w:overflowPunct w:val="0"/>
        <w:adjustRightInd w:val="0"/>
        <w:snapToGrid w:val="0"/>
        <w:spacing w:line="440" w:lineRule="exact"/>
        <w:jc w:val="left"/>
        <w:rPr>
          <w:rFonts w:ascii="宋体" w:hAnsi="宋体"/>
          <w:color w:val="auto"/>
        </w:rPr>
      </w:pPr>
      <w:r>
        <w:rPr>
          <w:rFonts w:ascii="宋体" w:hAnsi="宋体"/>
          <w:color w:val="auto"/>
        </w:rPr>
        <w:t xml:space="preserve">22.1 </w:t>
      </w:r>
      <w:r>
        <w:rPr>
          <w:rFonts w:hint="eastAsia" w:ascii="宋体" w:hAnsi="宋体"/>
          <w:color w:val="auto"/>
        </w:rPr>
        <w:t>所有响应文件都必须按</w:t>
      </w:r>
      <w:r>
        <w:rPr>
          <w:rFonts w:ascii="宋体" w:hAnsi="宋体"/>
          <w:color w:val="auto"/>
        </w:rPr>
        <w:t>“</w:t>
      </w:r>
      <w:r>
        <w:rPr>
          <w:rFonts w:hint="eastAsia" w:ascii="宋体" w:hAnsi="宋体"/>
          <w:color w:val="auto"/>
        </w:rPr>
        <w:t>供应商须知前附表</w:t>
      </w:r>
      <w:r>
        <w:rPr>
          <w:rFonts w:ascii="宋体" w:hAnsi="宋体"/>
          <w:color w:val="auto"/>
        </w:rPr>
        <w:t>”</w:t>
      </w:r>
      <w:r>
        <w:rPr>
          <w:rFonts w:hint="eastAsia" w:ascii="宋体" w:hAnsi="宋体"/>
          <w:color w:val="auto"/>
        </w:rPr>
        <w:t>中规定的响应文件递交截止时间前送达谈判文件规定的递交地址。</w:t>
      </w:r>
    </w:p>
    <w:p>
      <w:pPr>
        <w:overflowPunct w:val="0"/>
        <w:adjustRightInd w:val="0"/>
        <w:snapToGrid w:val="0"/>
        <w:spacing w:line="440" w:lineRule="exact"/>
        <w:jc w:val="left"/>
        <w:rPr>
          <w:rFonts w:ascii="宋体" w:hAnsi="宋体"/>
          <w:color w:val="auto"/>
        </w:rPr>
      </w:pPr>
      <w:r>
        <w:rPr>
          <w:rFonts w:ascii="宋体" w:hAnsi="宋体"/>
          <w:color w:val="auto"/>
        </w:rPr>
        <w:t xml:space="preserve">22.2 </w:t>
      </w:r>
      <w:r>
        <w:rPr>
          <w:rFonts w:hint="eastAsia" w:ascii="宋体" w:hAnsi="宋体"/>
          <w:color w:val="auto"/>
        </w:rPr>
        <w:t>出现第</w:t>
      </w:r>
      <w:r>
        <w:rPr>
          <w:rFonts w:ascii="宋体" w:hAnsi="宋体"/>
          <w:color w:val="auto"/>
        </w:rPr>
        <w:t>8.3</w:t>
      </w:r>
      <w:r>
        <w:rPr>
          <w:rFonts w:hint="eastAsia" w:ascii="宋体" w:hAnsi="宋体"/>
          <w:color w:val="auto"/>
        </w:rPr>
        <w:t>款因谈判文件的修改推迟谈判截止日期时，则按采购人修改通知规定的时间递交。</w:t>
      </w:r>
    </w:p>
    <w:p>
      <w:pPr>
        <w:overflowPunct w:val="0"/>
        <w:adjustRightInd w:val="0"/>
        <w:snapToGrid w:val="0"/>
        <w:spacing w:line="440" w:lineRule="exact"/>
        <w:jc w:val="left"/>
        <w:rPr>
          <w:rFonts w:ascii="宋体" w:hAnsi="宋体"/>
          <w:color w:val="auto"/>
        </w:rPr>
      </w:pPr>
      <w:r>
        <w:rPr>
          <w:rFonts w:ascii="宋体" w:hAnsi="宋体"/>
          <w:color w:val="auto"/>
        </w:rPr>
        <w:t>22.3</w:t>
      </w:r>
      <w:r>
        <w:rPr>
          <w:rFonts w:hint="eastAsia" w:ascii="宋体" w:hAnsi="宋体"/>
          <w:color w:val="auto"/>
        </w:rPr>
        <w:t>在响应文件递交截止时间之后的任何响应文件将拒绝接收。</w:t>
      </w:r>
    </w:p>
    <w:p>
      <w:pPr>
        <w:pStyle w:val="9"/>
        <w:overflowPunct w:val="0"/>
        <w:adjustRightInd w:val="0"/>
        <w:snapToGrid w:val="0"/>
        <w:spacing w:before="0" w:after="0" w:line="440" w:lineRule="exact"/>
        <w:jc w:val="left"/>
        <w:rPr>
          <w:rFonts w:ascii="宋体" w:hAnsi="宋体"/>
          <w:color w:val="auto"/>
          <w:sz w:val="21"/>
          <w:szCs w:val="21"/>
        </w:rPr>
      </w:pPr>
      <w:bookmarkStart w:id="114" w:name="_Toc46309828"/>
      <w:bookmarkStart w:id="115" w:name="_Toc489284225"/>
      <w:bookmarkStart w:id="116" w:name="_Toc311415596"/>
      <w:r>
        <w:rPr>
          <w:rFonts w:ascii="宋体" w:hAnsi="宋体"/>
          <w:color w:val="auto"/>
          <w:sz w:val="21"/>
          <w:szCs w:val="21"/>
        </w:rPr>
        <w:t>23</w:t>
      </w:r>
      <w:r>
        <w:rPr>
          <w:rFonts w:hint="eastAsia" w:ascii="宋体" w:hAnsi="宋体"/>
          <w:color w:val="auto"/>
          <w:sz w:val="21"/>
          <w:szCs w:val="21"/>
        </w:rPr>
        <w:t>．响应文件的修改与撤回</w:t>
      </w:r>
      <w:bookmarkEnd w:id="114"/>
      <w:bookmarkEnd w:id="115"/>
      <w:bookmarkEnd w:id="116"/>
    </w:p>
    <w:p>
      <w:pPr>
        <w:overflowPunct w:val="0"/>
        <w:adjustRightInd w:val="0"/>
        <w:snapToGrid w:val="0"/>
        <w:spacing w:line="440" w:lineRule="exact"/>
        <w:jc w:val="left"/>
        <w:rPr>
          <w:rFonts w:ascii="宋体" w:hAnsi="宋体"/>
          <w:color w:val="auto"/>
        </w:rPr>
      </w:pPr>
      <w:r>
        <w:rPr>
          <w:rFonts w:ascii="宋体" w:hAnsi="宋体"/>
          <w:color w:val="auto"/>
        </w:rPr>
        <w:t xml:space="preserve">23.1 </w:t>
      </w:r>
      <w:r>
        <w:rPr>
          <w:rFonts w:hint="eastAsia" w:ascii="宋体" w:hAnsi="宋体"/>
          <w:color w:val="auto"/>
        </w:rPr>
        <w:t>供应商在递交响应文件后，在规定的截止时间之前，可以以书面形式补充修改或撤回已提交的响应文件，并以书面形式通知采购人。补充或修改的内容作为响应文件的组成部分。</w:t>
      </w:r>
    </w:p>
    <w:p>
      <w:pPr>
        <w:overflowPunct w:val="0"/>
        <w:adjustRightInd w:val="0"/>
        <w:snapToGrid w:val="0"/>
        <w:spacing w:line="440" w:lineRule="exact"/>
        <w:jc w:val="left"/>
        <w:rPr>
          <w:rFonts w:ascii="宋体" w:hAnsi="宋体"/>
          <w:color w:val="auto"/>
        </w:rPr>
      </w:pPr>
      <w:r>
        <w:rPr>
          <w:rFonts w:ascii="宋体" w:hAnsi="宋体"/>
          <w:color w:val="auto"/>
        </w:rPr>
        <w:t xml:space="preserve">23.2 </w:t>
      </w:r>
      <w:r>
        <w:rPr>
          <w:rFonts w:hint="eastAsia" w:ascii="宋体" w:hAnsi="宋体"/>
          <w:color w:val="auto"/>
        </w:rPr>
        <w:t>供应商对响应文件的补充修改，应按照谈判文件的规定密封、标记和提交。其送达时间不得迟于谈判截止时间。</w:t>
      </w:r>
    </w:p>
    <w:p>
      <w:pPr>
        <w:overflowPunct w:val="0"/>
        <w:adjustRightInd w:val="0"/>
        <w:snapToGrid w:val="0"/>
        <w:spacing w:line="440" w:lineRule="exact"/>
        <w:jc w:val="left"/>
        <w:rPr>
          <w:rFonts w:ascii="宋体" w:hAnsi="宋体"/>
          <w:color w:val="auto"/>
        </w:rPr>
      </w:pPr>
      <w:r>
        <w:rPr>
          <w:rFonts w:ascii="宋体" w:hAnsi="宋体"/>
          <w:color w:val="auto"/>
        </w:rPr>
        <w:t xml:space="preserve">23.3 </w:t>
      </w:r>
      <w:r>
        <w:rPr>
          <w:rFonts w:hint="eastAsia" w:ascii="宋体" w:hAnsi="宋体"/>
          <w:color w:val="auto"/>
        </w:rPr>
        <w:t>在谈判截止期之后，供应商不得对其谈判响应文件做任何修改。</w:t>
      </w:r>
    </w:p>
    <w:p>
      <w:pPr>
        <w:overflowPunct w:val="0"/>
        <w:adjustRightInd w:val="0"/>
        <w:snapToGrid w:val="0"/>
        <w:spacing w:line="440" w:lineRule="exact"/>
        <w:jc w:val="left"/>
        <w:rPr>
          <w:rFonts w:ascii="宋体" w:hAnsi="宋体"/>
          <w:color w:val="auto"/>
        </w:rPr>
      </w:pPr>
      <w:r>
        <w:rPr>
          <w:rFonts w:ascii="宋体" w:hAnsi="宋体"/>
          <w:color w:val="auto"/>
        </w:rPr>
        <w:t xml:space="preserve">23.4 </w:t>
      </w:r>
      <w:r>
        <w:rPr>
          <w:rFonts w:hint="eastAsia" w:ascii="宋体" w:hAnsi="宋体"/>
          <w:color w:val="auto"/>
        </w:rPr>
        <w:t>已提交响应文件的供应商，在提交最终报价之前，可以根据谈判情况退出谈判。按照规定退还退出谈判的供应商谈判保证金。</w:t>
      </w:r>
    </w:p>
    <w:p>
      <w:pPr>
        <w:pStyle w:val="8"/>
        <w:spacing w:before="0" w:after="0" w:line="500" w:lineRule="exact"/>
        <w:jc w:val="center"/>
        <w:rPr>
          <w:rFonts w:ascii="宋体" w:hAnsi="宋体" w:eastAsia="宋体" w:cs="Arial"/>
          <w:color w:val="auto"/>
          <w:sz w:val="28"/>
          <w:szCs w:val="28"/>
        </w:rPr>
      </w:pPr>
      <w:bookmarkStart w:id="117" w:name="_Toc489284226"/>
      <w:bookmarkStart w:id="118" w:name="_Toc46309829"/>
      <w:bookmarkStart w:id="119" w:name="_Toc283626506"/>
      <w:bookmarkStart w:id="120" w:name="_Toc332874423"/>
      <w:bookmarkStart w:id="121" w:name="_Toc409684170"/>
      <w:bookmarkStart w:id="122" w:name="_Toc283240490"/>
      <w:bookmarkStart w:id="123" w:name="_Toc311415597"/>
      <w:r>
        <w:rPr>
          <w:rFonts w:hint="eastAsia" w:ascii="宋体" w:hAnsi="宋体" w:eastAsia="宋体" w:cs="Arial"/>
          <w:color w:val="auto"/>
          <w:sz w:val="28"/>
          <w:szCs w:val="28"/>
        </w:rPr>
        <w:t>E   谈判/评审</w:t>
      </w:r>
      <w:bookmarkEnd w:id="117"/>
      <w:bookmarkEnd w:id="118"/>
      <w:bookmarkEnd w:id="119"/>
      <w:bookmarkEnd w:id="120"/>
      <w:bookmarkEnd w:id="121"/>
      <w:bookmarkEnd w:id="122"/>
      <w:bookmarkEnd w:id="123"/>
    </w:p>
    <w:p>
      <w:pPr>
        <w:pStyle w:val="9"/>
        <w:overflowPunct w:val="0"/>
        <w:adjustRightInd w:val="0"/>
        <w:snapToGrid w:val="0"/>
        <w:spacing w:before="0" w:after="0" w:line="440" w:lineRule="exact"/>
        <w:jc w:val="left"/>
        <w:rPr>
          <w:rFonts w:ascii="宋体" w:hAnsi="宋体"/>
          <w:color w:val="auto"/>
          <w:sz w:val="21"/>
          <w:szCs w:val="21"/>
        </w:rPr>
      </w:pPr>
      <w:bookmarkStart w:id="124" w:name="_Toc489284227"/>
      <w:bookmarkStart w:id="125" w:name="_Toc46309830"/>
      <w:bookmarkStart w:id="126" w:name="_Toc311415598"/>
      <w:r>
        <w:rPr>
          <w:rFonts w:ascii="宋体" w:hAnsi="宋体"/>
          <w:color w:val="auto"/>
          <w:sz w:val="21"/>
          <w:szCs w:val="21"/>
        </w:rPr>
        <w:t>24</w:t>
      </w:r>
      <w:r>
        <w:rPr>
          <w:rFonts w:hint="eastAsia" w:ascii="宋体" w:hAnsi="宋体"/>
          <w:color w:val="auto"/>
          <w:sz w:val="21"/>
          <w:szCs w:val="21"/>
        </w:rPr>
        <w:t>．谈判</w:t>
      </w:r>
      <w:bookmarkEnd w:id="124"/>
      <w:bookmarkEnd w:id="125"/>
      <w:bookmarkEnd w:id="126"/>
    </w:p>
    <w:p>
      <w:pPr>
        <w:overflowPunct w:val="0"/>
        <w:adjustRightInd w:val="0"/>
        <w:snapToGrid w:val="0"/>
        <w:spacing w:line="440" w:lineRule="exact"/>
        <w:jc w:val="left"/>
        <w:rPr>
          <w:rFonts w:ascii="宋体" w:hAnsi="宋体"/>
          <w:color w:val="auto"/>
        </w:rPr>
      </w:pPr>
      <w:r>
        <w:rPr>
          <w:rFonts w:ascii="宋体" w:hAnsi="宋体"/>
          <w:color w:val="auto"/>
        </w:rPr>
        <w:t xml:space="preserve">24.1 </w:t>
      </w:r>
      <w:r>
        <w:rPr>
          <w:rFonts w:hint="eastAsia" w:ascii="宋体" w:hAnsi="宋体"/>
          <w:color w:val="auto"/>
        </w:rPr>
        <w:t>采购代理机构按谈判文件中规定的时间和地点接受供应商递交的响应文件。供应商的法定代表人或被授权代表签到，并参加谈判。</w:t>
      </w:r>
    </w:p>
    <w:p>
      <w:pPr>
        <w:overflowPunct w:val="0"/>
        <w:adjustRightInd w:val="0"/>
        <w:snapToGrid w:val="0"/>
        <w:spacing w:line="440" w:lineRule="exact"/>
        <w:jc w:val="left"/>
        <w:rPr>
          <w:rFonts w:ascii="宋体" w:hAnsi="宋体"/>
          <w:color w:val="auto"/>
        </w:rPr>
      </w:pPr>
      <w:r>
        <w:rPr>
          <w:rFonts w:ascii="宋体" w:hAnsi="宋体"/>
          <w:color w:val="auto"/>
        </w:rPr>
        <w:t xml:space="preserve">24.2 </w:t>
      </w:r>
      <w:r>
        <w:rPr>
          <w:rFonts w:hint="eastAsia" w:ascii="宋体" w:hAnsi="宋体"/>
          <w:color w:val="auto"/>
        </w:rPr>
        <w:t>谈判时，供应商查验响应文件密封情况并签字认可确认无误后方可拆封响应文件。</w:t>
      </w:r>
    </w:p>
    <w:p>
      <w:pPr>
        <w:overflowPunct w:val="0"/>
        <w:adjustRightInd w:val="0"/>
        <w:snapToGrid w:val="0"/>
        <w:spacing w:line="440" w:lineRule="exact"/>
        <w:jc w:val="left"/>
        <w:rPr>
          <w:rFonts w:ascii="宋体" w:hAnsi="宋体"/>
          <w:color w:val="auto"/>
        </w:rPr>
      </w:pPr>
      <w:r>
        <w:rPr>
          <w:rFonts w:ascii="宋体" w:hAnsi="宋体"/>
          <w:color w:val="auto"/>
        </w:rPr>
        <w:t>24.3</w:t>
      </w:r>
      <w:r>
        <w:rPr>
          <w:rFonts w:hint="eastAsia" w:ascii="宋体" w:hAnsi="宋体"/>
          <w:color w:val="auto"/>
        </w:rPr>
        <w:t>谈判时，采购代理机构当众拆封，宣读谈判供应商名称、响应文件份数等内容并做记录，与会的供应商或其代表应在谈判记录上签字确认。</w:t>
      </w:r>
    </w:p>
    <w:p>
      <w:pPr>
        <w:overflowPunct w:val="0"/>
        <w:adjustRightInd w:val="0"/>
        <w:snapToGrid w:val="0"/>
        <w:spacing w:line="440" w:lineRule="exact"/>
        <w:jc w:val="left"/>
        <w:rPr>
          <w:rFonts w:ascii="宋体" w:hAnsi="宋体"/>
          <w:color w:val="auto"/>
        </w:rPr>
      </w:pPr>
      <w:r>
        <w:rPr>
          <w:rFonts w:ascii="宋体" w:hAnsi="宋体"/>
          <w:color w:val="auto"/>
        </w:rPr>
        <w:t>24.5</w:t>
      </w:r>
      <w:r>
        <w:rPr>
          <w:rFonts w:hint="eastAsia" w:ascii="宋体" w:hAnsi="宋体"/>
          <w:color w:val="auto"/>
        </w:rPr>
        <w:t>谈判程序</w:t>
      </w:r>
      <w:r>
        <w:rPr>
          <w:rFonts w:ascii="宋体" w:hAnsi="宋体"/>
          <w:color w:val="auto"/>
        </w:rPr>
        <w:t>:</w:t>
      </w:r>
    </w:p>
    <w:p>
      <w:pPr>
        <w:overflowPunct w:val="0"/>
        <w:adjustRightInd w:val="0"/>
        <w:snapToGrid w:val="0"/>
        <w:spacing w:line="440" w:lineRule="exact"/>
        <w:jc w:val="left"/>
        <w:rPr>
          <w:rFonts w:ascii="宋体" w:hAnsi="宋体"/>
          <w:color w:val="auto"/>
        </w:rPr>
      </w:pPr>
      <w:r>
        <w:rPr>
          <w:rFonts w:ascii="宋体" w:hAnsi="宋体"/>
          <w:color w:val="auto"/>
        </w:rPr>
        <w:t>a.</w:t>
      </w:r>
      <w:r>
        <w:rPr>
          <w:rFonts w:hint="eastAsia" w:ascii="宋体" w:hAnsi="宋体"/>
          <w:color w:val="auto"/>
        </w:rPr>
        <w:t>介绍与会各方人员；</w:t>
      </w:r>
    </w:p>
    <w:p>
      <w:pPr>
        <w:overflowPunct w:val="0"/>
        <w:adjustRightInd w:val="0"/>
        <w:snapToGrid w:val="0"/>
        <w:spacing w:line="440" w:lineRule="exact"/>
        <w:jc w:val="left"/>
        <w:rPr>
          <w:rFonts w:ascii="宋体" w:hAnsi="宋体"/>
          <w:color w:val="auto"/>
        </w:rPr>
      </w:pPr>
      <w:r>
        <w:rPr>
          <w:rFonts w:ascii="宋体" w:hAnsi="宋体"/>
          <w:color w:val="auto"/>
        </w:rPr>
        <w:t>b.</w:t>
      </w:r>
      <w:r>
        <w:rPr>
          <w:rFonts w:hint="eastAsia" w:ascii="宋体" w:hAnsi="宋体"/>
          <w:color w:val="auto"/>
        </w:rPr>
        <w:t>介绍供应商；</w:t>
      </w:r>
    </w:p>
    <w:p>
      <w:pPr>
        <w:overflowPunct w:val="0"/>
        <w:adjustRightInd w:val="0"/>
        <w:snapToGrid w:val="0"/>
        <w:spacing w:line="440" w:lineRule="exact"/>
        <w:jc w:val="left"/>
        <w:rPr>
          <w:rFonts w:ascii="宋体" w:hAnsi="宋体"/>
          <w:color w:val="auto"/>
        </w:rPr>
      </w:pPr>
      <w:r>
        <w:rPr>
          <w:rFonts w:ascii="宋体" w:hAnsi="宋体"/>
          <w:color w:val="auto"/>
        </w:rPr>
        <w:t>c.</w:t>
      </w:r>
      <w:r>
        <w:rPr>
          <w:rFonts w:hint="eastAsia" w:ascii="宋体" w:hAnsi="宋体"/>
          <w:color w:val="auto"/>
        </w:rPr>
        <w:t>宣布谈判纪律；</w:t>
      </w:r>
    </w:p>
    <w:p>
      <w:pPr>
        <w:overflowPunct w:val="0"/>
        <w:adjustRightInd w:val="0"/>
        <w:snapToGrid w:val="0"/>
        <w:spacing w:line="440" w:lineRule="exact"/>
        <w:jc w:val="left"/>
        <w:rPr>
          <w:rFonts w:ascii="宋体" w:hAnsi="宋体"/>
          <w:color w:val="auto"/>
        </w:rPr>
      </w:pPr>
      <w:r>
        <w:rPr>
          <w:rFonts w:ascii="宋体" w:hAnsi="宋体"/>
          <w:color w:val="auto"/>
        </w:rPr>
        <w:t>d.</w:t>
      </w:r>
      <w:r>
        <w:rPr>
          <w:rFonts w:hint="eastAsia" w:ascii="宋体" w:hAnsi="宋体"/>
          <w:color w:val="auto"/>
        </w:rPr>
        <w:t>核对法定代表人授权书和被授权代表身份证；</w:t>
      </w:r>
    </w:p>
    <w:p>
      <w:pPr>
        <w:overflowPunct w:val="0"/>
        <w:adjustRightInd w:val="0"/>
        <w:snapToGrid w:val="0"/>
        <w:spacing w:line="440" w:lineRule="exact"/>
        <w:jc w:val="left"/>
        <w:rPr>
          <w:rFonts w:ascii="宋体" w:hAnsi="宋体"/>
          <w:color w:val="auto"/>
        </w:rPr>
      </w:pPr>
      <w:r>
        <w:rPr>
          <w:rFonts w:ascii="宋体" w:hAnsi="宋体"/>
          <w:color w:val="auto"/>
        </w:rPr>
        <w:t>e.</w:t>
      </w:r>
      <w:r>
        <w:rPr>
          <w:rFonts w:hint="eastAsia" w:ascii="宋体" w:hAnsi="宋体"/>
          <w:color w:val="auto"/>
        </w:rPr>
        <w:t>由供应商法定代表人或被授权代表检查响应文件的密封情况，并对密封情况确认表态；</w:t>
      </w:r>
    </w:p>
    <w:p>
      <w:pPr>
        <w:overflowPunct w:val="0"/>
        <w:adjustRightInd w:val="0"/>
        <w:snapToGrid w:val="0"/>
        <w:spacing w:line="440" w:lineRule="exact"/>
        <w:jc w:val="left"/>
        <w:rPr>
          <w:rFonts w:ascii="宋体" w:hAnsi="宋体"/>
          <w:color w:val="auto"/>
        </w:rPr>
      </w:pPr>
      <w:r>
        <w:rPr>
          <w:rFonts w:ascii="宋体" w:hAnsi="宋体"/>
          <w:color w:val="auto"/>
        </w:rPr>
        <w:t xml:space="preserve">f. </w:t>
      </w:r>
      <w:r>
        <w:rPr>
          <w:rFonts w:hint="eastAsia" w:ascii="宋体" w:hAnsi="宋体"/>
          <w:color w:val="auto"/>
        </w:rPr>
        <w:t>采购代理机构在谈判截止时间前收到响应文件，谈判时对符合要求的响应文件都应当予以拆封、宣读；</w:t>
      </w:r>
    </w:p>
    <w:p>
      <w:pPr>
        <w:overflowPunct w:val="0"/>
        <w:adjustRightInd w:val="0"/>
        <w:snapToGrid w:val="0"/>
        <w:spacing w:line="440" w:lineRule="exact"/>
        <w:jc w:val="left"/>
        <w:rPr>
          <w:rFonts w:ascii="宋体" w:hAnsi="宋体"/>
          <w:color w:val="auto"/>
        </w:rPr>
      </w:pPr>
      <w:r>
        <w:rPr>
          <w:rFonts w:ascii="宋体" w:hAnsi="宋体"/>
          <w:color w:val="auto"/>
        </w:rPr>
        <w:t>g.</w:t>
      </w:r>
      <w:r>
        <w:rPr>
          <w:rFonts w:hint="eastAsia" w:ascii="宋体" w:hAnsi="宋体"/>
          <w:color w:val="auto"/>
        </w:rPr>
        <w:t>由谈判工作人员当众拆封纸质响应文件，对供应商纸质响应文件中供应商名称、响应文件份数等主要内容进行宣布，各供应商法定代表人或被授权代表对宣布结果明确表态并确认；</w:t>
      </w:r>
    </w:p>
    <w:p>
      <w:pPr>
        <w:overflowPunct w:val="0"/>
        <w:adjustRightInd w:val="0"/>
        <w:snapToGrid w:val="0"/>
        <w:spacing w:line="440" w:lineRule="exact"/>
        <w:jc w:val="left"/>
        <w:rPr>
          <w:rFonts w:ascii="宋体" w:hAnsi="宋体"/>
          <w:color w:val="auto"/>
        </w:rPr>
      </w:pPr>
      <w:r>
        <w:rPr>
          <w:rFonts w:ascii="宋体" w:hAnsi="宋体"/>
          <w:color w:val="auto"/>
        </w:rPr>
        <w:t>h.</w:t>
      </w:r>
      <w:r>
        <w:rPr>
          <w:rFonts w:hint="eastAsia" w:ascii="宋体" w:hAnsi="宋体"/>
          <w:color w:val="auto"/>
        </w:rPr>
        <w:t>宣布休会，进入评审和谈判阶段；</w:t>
      </w:r>
    </w:p>
    <w:p>
      <w:pPr>
        <w:overflowPunct w:val="0"/>
        <w:adjustRightInd w:val="0"/>
        <w:snapToGrid w:val="0"/>
        <w:spacing w:line="440" w:lineRule="exact"/>
        <w:jc w:val="left"/>
        <w:rPr>
          <w:rFonts w:ascii="宋体" w:hAnsi="宋体"/>
          <w:color w:val="auto"/>
        </w:rPr>
      </w:pPr>
      <w:r>
        <w:rPr>
          <w:rFonts w:ascii="宋体" w:hAnsi="宋体"/>
          <w:color w:val="auto"/>
        </w:rPr>
        <w:t>i.</w:t>
      </w:r>
      <w:r>
        <w:rPr>
          <w:rFonts w:hint="eastAsia" w:ascii="宋体" w:hAnsi="宋体"/>
          <w:color w:val="auto"/>
        </w:rPr>
        <w:t>会议结束。</w:t>
      </w:r>
    </w:p>
    <w:p>
      <w:pPr>
        <w:pStyle w:val="9"/>
        <w:overflowPunct w:val="0"/>
        <w:adjustRightInd w:val="0"/>
        <w:snapToGrid w:val="0"/>
        <w:spacing w:before="0" w:after="0" w:line="440" w:lineRule="exact"/>
        <w:jc w:val="left"/>
        <w:rPr>
          <w:rFonts w:ascii="宋体" w:hAnsi="宋体"/>
          <w:color w:val="auto"/>
          <w:sz w:val="21"/>
          <w:szCs w:val="21"/>
        </w:rPr>
      </w:pPr>
      <w:bookmarkStart w:id="127" w:name="_Toc311415599"/>
      <w:bookmarkStart w:id="128" w:name="_Toc46309831"/>
      <w:bookmarkStart w:id="129" w:name="_Toc489284228"/>
      <w:r>
        <w:rPr>
          <w:rFonts w:ascii="宋体" w:hAnsi="宋体"/>
          <w:color w:val="auto"/>
          <w:sz w:val="21"/>
          <w:szCs w:val="21"/>
        </w:rPr>
        <w:t>25</w:t>
      </w:r>
      <w:r>
        <w:rPr>
          <w:rFonts w:hint="eastAsia" w:ascii="宋体" w:hAnsi="宋体"/>
          <w:color w:val="auto"/>
          <w:sz w:val="21"/>
          <w:szCs w:val="21"/>
        </w:rPr>
        <w:t>．谈判小组</w:t>
      </w:r>
      <w:bookmarkEnd w:id="127"/>
      <w:bookmarkEnd w:id="128"/>
      <w:bookmarkEnd w:id="129"/>
    </w:p>
    <w:p>
      <w:pPr>
        <w:overflowPunct w:val="0"/>
        <w:adjustRightInd w:val="0"/>
        <w:snapToGrid w:val="0"/>
        <w:spacing w:line="440" w:lineRule="exact"/>
        <w:jc w:val="left"/>
        <w:rPr>
          <w:rFonts w:ascii="宋体" w:hAnsi="宋体"/>
          <w:color w:val="auto"/>
        </w:rPr>
      </w:pPr>
      <w:r>
        <w:rPr>
          <w:rFonts w:ascii="宋体" w:hAnsi="宋体"/>
          <w:color w:val="auto"/>
        </w:rPr>
        <w:t xml:space="preserve">25.1 </w:t>
      </w:r>
      <w:r>
        <w:rPr>
          <w:rFonts w:hint="eastAsia" w:ascii="宋体" w:hAnsi="宋体"/>
          <w:color w:val="auto"/>
        </w:rPr>
        <w:t>采购人将根据本次采购项目的特点组建谈判小组。</w:t>
      </w:r>
    </w:p>
    <w:p>
      <w:pPr>
        <w:overflowPunct w:val="0"/>
        <w:adjustRightInd w:val="0"/>
        <w:snapToGrid w:val="0"/>
        <w:spacing w:line="440" w:lineRule="exact"/>
        <w:jc w:val="left"/>
        <w:rPr>
          <w:rFonts w:ascii="宋体" w:hAnsi="宋体"/>
          <w:color w:val="auto"/>
        </w:rPr>
      </w:pPr>
      <w:r>
        <w:rPr>
          <w:rFonts w:ascii="宋体" w:hAnsi="宋体"/>
          <w:color w:val="auto"/>
        </w:rPr>
        <w:t>25.2</w:t>
      </w:r>
      <w:r>
        <w:rPr>
          <w:rFonts w:hint="eastAsia" w:ascii="宋体" w:hAnsi="宋体"/>
          <w:color w:val="auto"/>
        </w:rPr>
        <w:t>谈判小组成员人数详见供应商须知前附表相关规定，由采购人依法组建。</w:t>
      </w:r>
    </w:p>
    <w:p>
      <w:pPr>
        <w:overflowPunct w:val="0"/>
        <w:adjustRightInd w:val="0"/>
        <w:snapToGrid w:val="0"/>
        <w:spacing w:line="440" w:lineRule="exact"/>
        <w:jc w:val="left"/>
        <w:rPr>
          <w:rFonts w:ascii="宋体" w:hAnsi="宋体"/>
          <w:color w:val="auto"/>
        </w:rPr>
      </w:pPr>
      <w:r>
        <w:rPr>
          <w:rFonts w:ascii="宋体" w:hAnsi="宋体"/>
          <w:color w:val="auto"/>
        </w:rPr>
        <w:t>25.3</w:t>
      </w:r>
      <w:r>
        <w:rPr>
          <w:rFonts w:hint="eastAsia" w:ascii="宋体" w:hAnsi="宋体"/>
          <w:color w:val="auto"/>
        </w:rPr>
        <w:t>谈判小组成员对各供应商响应文件进行审查、质疑、评估和比较，并推荐成交候选供应商。</w:t>
      </w:r>
    </w:p>
    <w:p>
      <w:pPr>
        <w:pStyle w:val="9"/>
        <w:overflowPunct w:val="0"/>
        <w:adjustRightInd w:val="0"/>
        <w:snapToGrid w:val="0"/>
        <w:spacing w:before="0" w:after="0" w:line="440" w:lineRule="exact"/>
        <w:jc w:val="left"/>
        <w:rPr>
          <w:rFonts w:ascii="宋体" w:hAnsi="宋体"/>
          <w:color w:val="auto"/>
          <w:sz w:val="21"/>
          <w:szCs w:val="21"/>
        </w:rPr>
      </w:pPr>
      <w:bookmarkStart w:id="130" w:name="_Toc46309832"/>
      <w:bookmarkStart w:id="131" w:name="_Toc489284229"/>
      <w:bookmarkStart w:id="132" w:name="_Toc311415600"/>
      <w:r>
        <w:rPr>
          <w:rFonts w:ascii="宋体" w:hAnsi="宋体"/>
          <w:color w:val="auto"/>
          <w:sz w:val="21"/>
          <w:szCs w:val="21"/>
        </w:rPr>
        <w:t>26</w:t>
      </w:r>
      <w:r>
        <w:rPr>
          <w:rFonts w:hint="eastAsia" w:ascii="宋体" w:hAnsi="宋体"/>
          <w:color w:val="auto"/>
          <w:sz w:val="21"/>
          <w:szCs w:val="21"/>
        </w:rPr>
        <w:t>．响应文件的澄清</w:t>
      </w:r>
      <w:bookmarkEnd w:id="130"/>
      <w:bookmarkEnd w:id="131"/>
      <w:bookmarkEnd w:id="132"/>
    </w:p>
    <w:p>
      <w:pPr>
        <w:overflowPunct w:val="0"/>
        <w:adjustRightInd w:val="0"/>
        <w:snapToGrid w:val="0"/>
        <w:spacing w:line="440" w:lineRule="exact"/>
        <w:jc w:val="left"/>
        <w:rPr>
          <w:rFonts w:ascii="宋体" w:hAnsi="宋体"/>
          <w:color w:val="auto"/>
        </w:rPr>
      </w:pPr>
      <w:r>
        <w:rPr>
          <w:rFonts w:ascii="宋体" w:hAnsi="宋体"/>
          <w:color w:val="auto"/>
        </w:rPr>
        <w:t xml:space="preserve">26.1 </w:t>
      </w:r>
      <w:r>
        <w:rPr>
          <w:rFonts w:hint="eastAsia" w:ascii="宋体" w:hAnsi="宋体"/>
          <w:color w:val="auto"/>
        </w:rPr>
        <w:t>在评审期间</w:t>
      </w:r>
      <w:r>
        <w:rPr>
          <w:rFonts w:ascii="宋体" w:hAnsi="宋体"/>
          <w:color w:val="auto"/>
        </w:rPr>
        <w:t xml:space="preserve">, </w:t>
      </w:r>
      <w:r>
        <w:rPr>
          <w:rFonts w:hint="eastAsia" w:ascii="宋体" w:hAnsi="宋体"/>
          <w:color w:val="auto"/>
        </w:rPr>
        <w:t>采购代理机构可根据谈判小组的需要，要求供应商对其响应文件进行澄清，有关澄清的要求和答复应以书面形式提交。</w:t>
      </w:r>
    </w:p>
    <w:p>
      <w:pPr>
        <w:overflowPunct w:val="0"/>
        <w:adjustRightInd w:val="0"/>
        <w:snapToGrid w:val="0"/>
        <w:spacing w:line="440" w:lineRule="exact"/>
        <w:jc w:val="left"/>
        <w:rPr>
          <w:rFonts w:ascii="宋体" w:hAnsi="宋体"/>
          <w:color w:val="auto"/>
        </w:rPr>
      </w:pPr>
      <w:r>
        <w:rPr>
          <w:rFonts w:ascii="宋体" w:hAnsi="宋体"/>
          <w:color w:val="auto"/>
        </w:rPr>
        <w:t>26.2</w:t>
      </w:r>
      <w:r>
        <w:rPr>
          <w:rFonts w:hint="eastAsia" w:ascii="宋体" w:hAnsi="宋体"/>
          <w:color w:val="auto"/>
        </w:rPr>
        <w:t>供应商应采用书面形式进行澄清或说明，但不得超出响应文件的范围或改变响应文件的实质性内容。</w:t>
      </w:r>
    </w:p>
    <w:p>
      <w:pPr>
        <w:pStyle w:val="9"/>
        <w:overflowPunct w:val="0"/>
        <w:adjustRightInd w:val="0"/>
        <w:snapToGrid w:val="0"/>
        <w:spacing w:before="0" w:after="0" w:line="440" w:lineRule="exact"/>
        <w:jc w:val="left"/>
        <w:rPr>
          <w:rFonts w:ascii="宋体" w:hAnsi="宋体"/>
          <w:color w:val="auto"/>
          <w:sz w:val="21"/>
          <w:szCs w:val="21"/>
        </w:rPr>
      </w:pPr>
      <w:bookmarkStart w:id="133" w:name="_Toc46309833"/>
      <w:bookmarkStart w:id="134" w:name="_Toc489284230"/>
      <w:r>
        <w:rPr>
          <w:rFonts w:ascii="宋体" w:hAnsi="宋体"/>
          <w:color w:val="auto"/>
          <w:sz w:val="21"/>
          <w:szCs w:val="21"/>
        </w:rPr>
        <w:t>27</w:t>
      </w:r>
      <w:r>
        <w:rPr>
          <w:rFonts w:hint="eastAsia" w:ascii="宋体" w:hAnsi="宋体"/>
          <w:color w:val="auto"/>
          <w:sz w:val="21"/>
          <w:szCs w:val="21"/>
        </w:rPr>
        <w:t>．响应文件的比较和评价</w:t>
      </w:r>
      <w:bookmarkEnd w:id="133"/>
      <w:bookmarkEnd w:id="134"/>
    </w:p>
    <w:p>
      <w:pPr>
        <w:overflowPunct w:val="0"/>
        <w:adjustRightInd w:val="0"/>
        <w:snapToGrid w:val="0"/>
        <w:spacing w:line="440" w:lineRule="exact"/>
        <w:jc w:val="left"/>
        <w:rPr>
          <w:rFonts w:ascii="宋体" w:hAnsi="宋体"/>
          <w:color w:val="auto"/>
        </w:rPr>
      </w:pPr>
      <w:r>
        <w:rPr>
          <w:rFonts w:ascii="宋体" w:hAnsi="宋体"/>
          <w:color w:val="auto"/>
        </w:rPr>
        <w:t>27.1</w:t>
      </w:r>
      <w:r>
        <w:rPr>
          <w:rFonts w:hint="eastAsia" w:ascii="宋体" w:hAnsi="宋体"/>
          <w:color w:val="auto"/>
        </w:rPr>
        <w:t>谈判小组在评审过程中，发现响应文件出现下列情况之一者，按以下原则修正：</w:t>
      </w:r>
    </w:p>
    <w:p>
      <w:pPr>
        <w:overflowPunct w:val="0"/>
        <w:adjustRightInd w:val="0"/>
        <w:snapToGrid w:val="0"/>
        <w:spacing w:line="440" w:lineRule="exact"/>
        <w:jc w:val="left"/>
        <w:rPr>
          <w:rFonts w:ascii="宋体" w:hAnsi="宋体"/>
          <w:color w:val="auto"/>
        </w:rPr>
      </w:pPr>
      <w:r>
        <w:rPr>
          <w:rFonts w:ascii="宋体" w:hAnsi="宋体"/>
          <w:color w:val="auto"/>
        </w:rPr>
        <w:t>27.1.1</w:t>
      </w:r>
      <w:r>
        <w:rPr>
          <w:rFonts w:hint="eastAsia" w:ascii="宋体" w:hAnsi="宋体"/>
          <w:color w:val="auto"/>
        </w:rPr>
        <w:t>大写金额和小写金额不一致的，以大写金额为准；</w:t>
      </w:r>
    </w:p>
    <w:p>
      <w:pPr>
        <w:overflowPunct w:val="0"/>
        <w:adjustRightInd w:val="0"/>
        <w:snapToGrid w:val="0"/>
        <w:spacing w:line="440" w:lineRule="exact"/>
        <w:jc w:val="left"/>
        <w:rPr>
          <w:rFonts w:ascii="宋体" w:hAnsi="宋体"/>
          <w:color w:val="auto"/>
        </w:rPr>
      </w:pPr>
      <w:r>
        <w:rPr>
          <w:rFonts w:ascii="宋体" w:hAnsi="宋体"/>
          <w:color w:val="auto"/>
        </w:rPr>
        <w:t>27.1.2</w:t>
      </w:r>
      <w:r>
        <w:rPr>
          <w:rFonts w:hint="eastAsia" w:ascii="宋体" w:hAnsi="宋体"/>
          <w:color w:val="auto"/>
        </w:rPr>
        <w:t>如果以单价计算的结果与总价不一致，则以单价为准修改总价；单价金额小数点有明显错位的，应以总价为准，并修改单价；</w:t>
      </w:r>
    </w:p>
    <w:p>
      <w:pPr>
        <w:overflowPunct w:val="0"/>
        <w:adjustRightInd w:val="0"/>
        <w:snapToGrid w:val="0"/>
        <w:spacing w:line="440" w:lineRule="exact"/>
        <w:jc w:val="left"/>
        <w:rPr>
          <w:rFonts w:ascii="宋体" w:hAnsi="宋体"/>
          <w:color w:val="auto"/>
        </w:rPr>
      </w:pPr>
      <w:r>
        <w:rPr>
          <w:rFonts w:ascii="宋体" w:hAnsi="宋体"/>
          <w:color w:val="auto"/>
        </w:rPr>
        <w:t>27.1.3</w:t>
      </w:r>
      <w:r>
        <w:rPr>
          <w:rFonts w:hint="eastAsia" w:ascii="宋体" w:hAnsi="宋体"/>
          <w:color w:val="auto"/>
        </w:rPr>
        <w:t>如果用文字表示的数值与用数字表示的数值不一致，以文字表示的值为准。</w:t>
      </w:r>
    </w:p>
    <w:p>
      <w:pPr>
        <w:overflowPunct w:val="0"/>
        <w:adjustRightInd w:val="0"/>
        <w:snapToGrid w:val="0"/>
        <w:spacing w:line="440" w:lineRule="exact"/>
        <w:jc w:val="left"/>
        <w:rPr>
          <w:rFonts w:ascii="宋体" w:hAnsi="宋体"/>
          <w:color w:val="auto"/>
        </w:rPr>
      </w:pPr>
      <w:r>
        <w:rPr>
          <w:rFonts w:ascii="宋体" w:hAnsi="宋体"/>
          <w:color w:val="auto"/>
        </w:rPr>
        <w:t>27.1.4</w:t>
      </w:r>
      <w:r>
        <w:rPr>
          <w:rFonts w:hint="eastAsia" w:ascii="宋体" w:hAnsi="宋体"/>
          <w:color w:val="auto"/>
        </w:rPr>
        <w:t>对不同文字文本响应文件的解释发生异议的，以中文文本为准；</w:t>
      </w:r>
    </w:p>
    <w:p>
      <w:pPr>
        <w:overflowPunct w:val="0"/>
        <w:adjustRightInd w:val="0"/>
        <w:snapToGrid w:val="0"/>
        <w:spacing w:line="440" w:lineRule="exact"/>
        <w:jc w:val="left"/>
        <w:rPr>
          <w:rFonts w:ascii="宋体" w:hAnsi="宋体"/>
          <w:color w:val="auto"/>
        </w:rPr>
      </w:pPr>
      <w:r>
        <w:rPr>
          <w:rFonts w:ascii="宋体" w:hAnsi="宋体"/>
          <w:color w:val="auto"/>
        </w:rPr>
        <w:t>27.1.5</w:t>
      </w:r>
      <w:r>
        <w:rPr>
          <w:rFonts w:hint="eastAsia" w:ascii="宋体" w:hAnsi="宋体"/>
          <w:color w:val="auto"/>
        </w:rPr>
        <w:t>正本与副本不一致的，以正本为准；</w:t>
      </w:r>
    </w:p>
    <w:p>
      <w:pPr>
        <w:overflowPunct w:val="0"/>
        <w:adjustRightInd w:val="0"/>
        <w:snapToGrid w:val="0"/>
        <w:spacing w:line="440" w:lineRule="exact"/>
        <w:jc w:val="left"/>
        <w:rPr>
          <w:rFonts w:ascii="宋体" w:hAnsi="宋体"/>
          <w:color w:val="auto"/>
        </w:rPr>
      </w:pPr>
      <w:r>
        <w:rPr>
          <w:rFonts w:ascii="宋体" w:hAnsi="宋体"/>
          <w:color w:val="auto"/>
        </w:rPr>
        <w:t>27.1.6</w:t>
      </w:r>
      <w:r>
        <w:rPr>
          <w:rFonts w:hint="eastAsia" w:ascii="宋体" w:hAnsi="宋体"/>
          <w:color w:val="auto"/>
        </w:rPr>
        <w:t>对于响应文件中不构成实质性偏差的、不一致或不规则，采购人可以接受，但这种接受不能损害或影响任何供应商的相对排序。</w:t>
      </w:r>
    </w:p>
    <w:p>
      <w:pPr>
        <w:overflowPunct w:val="0"/>
        <w:adjustRightInd w:val="0"/>
        <w:snapToGrid w:val="0"/>
        <w:spacing w:line="440" w:lineRule="exact"/>
        <w:jc w:val="left"/>
        <w:rPr>
          <w:rFonts w:ascii="宋体" w:hAnsi="宋体"/>
          <w:color w:val="auto"/>
        </w:rPr>
      </w:pPr>
      <w:r>
        <w:rPr>
          <w:rFonts w:ascii="宋体" w:hAnsi="宋体"/>
          <w:color w:val="auto"/>
        </w:rPr>
        <w:t>27.2</w:t>
      </w:r>
      <w:r>
        <w:rPr>
          <w:rFonts w:hint="eastAsia" w:ascii="宋体" w:hAnsi="宋体"/>
          <w:color w:val="auto"/>
        </w:rPr>
        <w:t>如果谈判供应商实质上没有响应谈判文件的要求，其响应文件将被拒绝，供应商不得通过修正或撤消不合要求的偏离或保留从而使其文件成为实质上响应的响应文件。</w:t>
      </w:r>
    </w:p>
    <w:p>
      <w:pPr>
        <w:overflowPunct w:val="0"/>
        <w:adjustRightInd w:val="0"/>
        <w:snapToGrid w:val="0"/>
        <w:spacing w:line="440" w:lineRule="exact"/>
        <w:jc w:val="left"/>
        <w:rPr>
          <w:rFonts w:ascii="宋体" w:hAnsi="宋体"/>
          <w:color w:val="auto"/>
        </w:rPr>
      </w:pPr>
      <w:r>
        <w:rPr>
          <w:rFonts w:ascii="宋体" w:hAnsi="宋体"/>
          <w:color w:val="auto"/>
        </w:rPr>
        <w:t>27.3</w:t>
      </w:r>
      <w:r>
        <w:rPr>
          <w:rFonts w:hint="eastAsia" w:ascii="宋体" w:hAnsi="宋体"/>
          <w:color w:val="auto"/>
        </w:rPr>
        <w:t>谈判小组根据各谈判供应商响应文件响应情况决定是否与各供应商进行谈判，谈判方式为谈判小组所有成员集中与单一供应商分别进行谈判，并给与参加谈判的供应商平等的谈判机会。</w:t>
      </w:r>
    </w:p>
    <w:p>
      <w:pPr>
        <w:overflowPunct w:val="0"/>
        <w:adjustRightInd w:val="0"/>
        <w:snapToGrid w:val="0"/>
        <w:spacing w:line="440" w:lineRule="exact"/>
        <w:jc w:val="left"/>
        <w:rPr>
          <w:rFonts w:ascii="宋体" w:hAnsi="宋体"/>
          <w:color w:val="auto"/>
        </w:rPr>
      </w:pPr>
      <w:r>
        <w:rPr>
          <w:rFonts w:ascii="宋体" w:hAnsi="宋体"/>
          <w:color w:val="auto"/>
        </w:rPr>
        <w:t>27.4</w:t>
      </w:r>
      <w:r>
        <w:rPr>
          <w:rFonts w:hint="eastAsia" w:ascii="宋体" w:hAnsi="宋体"/>
          <w:color w:val="auto"/>
        </w:rPr>
        <w:t>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供应商应当按照谈判文件的变动情况和谈判小组的要求重新提交响应文件，并由其法定代表人或授权代表签字或者加盖公章。谈判结束后，谈判小组应当要求所有实质性响应的供应商在规定时间内提交最终报价（最终报价要求：可等于或小于原提交响应文件中的报价；最终是否认可并成交的权利属于谈判小组），提交最终报价的供应商不得少于</w:t>
      </w:r>
      <w:r>
        <w:rPr>
          <w:rFonts w:ascii="宋体" w:hAnsi="宋体"/>
          <w:color w:val="auto"/>
        </w:rPr>
        <w:t>3</w:t>
      </w:r>
      <w:r>
        <w:rPr>
          <w:rFonts w:hint="eastAsia" w:ascii="宋体" w:hAnsi="宋体"/>
          <w:color w:val="auto"/>
        </w:rPr>
        <w:t>家。已提交响应文件的供应商，在提交最终报价之前，可以根据谈判情况退出谈判。</w:t>
      </w:r>
    </w:p>
    <w:p>
      <w:pPr>
        <w:overflowPunct w:val="0"/>
        <w:adjustRightInd w:val="0"/>
        <w:snapToGrid w:val="0"/>
        <w:spacing w:line="440" w:lineRule="exact"/>
        <w:jc w:val="left"/>
        <w:rPr>
          <w:rFonts w:ascii="宋体" w:hAnsi="宋体"/>
          <w:color w:val="auto"/>
        </w:rPr>
      </w:pPr>
      <w:r>
        <w:rPr>
          <w:rFonts w:ascii="宋体" w:hAnsi="宋体"/>
          <w:color w:val="auto"/>
        </w:rPr>
        <w:t>27.5</w:t>
      </w:r>
      <w:r>
        <w:rPr>
          <w:rFonts w:hint="eastAsia" w:ascii="宋体" w:hAnsi="宋体"/>
          <w:color w:val="auto"/>
        </w:rPr>
        <w:t>供应商需进行最终报价，供应商应当在谈判小组规定的时间内提交最终报价，并由法定代表人或被授权代表签字，最终报价为不可更改价格，最终报价是供应商响应文件的有效组成部分，作为谈判小组推荐成交候选供应商的依据。</w:t>
      </w:r>
    </w:p>
    <w:p>
      <w:pPr>
        <w:overflowPunct w:val="0"/>
        <w:adjustRightInd w:val="0"/>
        <w:snapToGrid w:val="0"/>
        <w:spacing w:line="440" w:lineRule="exact"/>
        <w:jc w:val="left"/>
        <w:rPr>
          <w:rFonts w:ascii="宋体" w:hAnsi="宋体"/>
          <w:color w:val="auto"/>
        </w:rPr>
      </w:pPr>
      <w:r>
        <w:rPr>
          <w:rFonts w:ascii="宋体" w:hAnsi="宋体"/>
          <w:color w:val="auto"/>
        </w:rPr>
        <w:t>27.</w:t>
      </w:r>
      <w:r>
        <w:rPr>
          <w:rFonts w:hint="eastAsia" w:ascii="宋体" w:hAnsi="宋体"/>
          <w:color w:val="auto"/>
        </w:rPr>
        <w:t>6谈判小组认为供应商的最终报价或者某些分项报价明显不合理或者低于成本，有可能影响服务质量和不能诚信履约的，要求其在谈判小组规定的期限内提供书面文件予以解释说明，并提交相关证明材料；如果其不能在谈判小组规定时间内提供相关材料证明其报价的合理性，其最终报价为无效报价。</w:t>
      </w:r>
    </w:p>
    <w:p>
      <w:pPr>
        <w:pStyle w:val="9"/>
        <w:overflowPunct w:val="0"/>
        <w:adjustRightInd w:val="0"/>
        <w:snapToGrid w:val="0"/>
        <w:spacing w:before="0" w:after="0" w:line="440" w:lineRule="exact"/>
        <w:jc w:val="left"/>
        <w:rPr>
          <w:rFonts w:ascii="宋体" w:hAnsi="宋体"/>
          <w:color w:val="auto"/>
          <w:sz w:val="21"/>
          <w:szCs w:val="21"/>
        </w:rPr>
      </w:pPr>
      <w:bookmarkStart w:id="135" w:name="_Toc489284231"/>
      <w:bookmarkStart w:id="136" w:name="_Toc46309834"/>
      <w:bookmarkStart w:id="137" w:name="_Toc311415604"/>
      <w:r>
        <w:rPr>
          <w:rFonts w:ascii="宋体" w:hAnsi="宋体"/>
          <w:color w:val="auto"/>
          <w:sz w:val="21"/>
          <w:szCs w:val="21"/>
        </w:rPr>
        <w:t>28</w:t>
      </w:r>
      <w:r>
        <w:rPr>
          <w:rFonts w:hint="eastAsia" w:ascii="宋体" w:hAnsi="宋体"/>
          <w:color w:val="auto"/>
          <w:sz w:val="21"/>
          <w:szCs w:val="21"/>
        </w:rPr>
        <w:t>．评审原则</w:t>
      </w:r>
      <w:bookmarkEnd w:id="135"/>
      <w:bookmarkEnd w:id="136"/>
      <w:bookmarkEnd w:id="137"/>
    </w:p>
    <w:p>
      <w:pPr>
        <w:overflowPunct w:val="0"/>
        <w:adjustRightInd w:val="0"/>
        <w:snapToGrid w:val="0"/>
        <w:spacing w:line="440" w:lineRule="exact"/>
        <w:jc w:val="left"/>
        <w:rPr>
          <w:rFonts w:ascii="宋体" w:hAnsi="宋体"/>
          <w:color w:val="auto"/>
        </w:rPr>
      </w:pPr>
      <w:r>
        <w:rPr>
          <w:rFonts w:ascii="宋体" w:hAnsi="宋体"/>
          <w:color w:val="auto"/>
        </w:rPr>
        <w:t>28.1</w:t>
      </w:r>
      <w:r>
        <w:rPr>
          <w:rFonts w:hint="eastAsia" w:ascii="宋体" w:hAnsi="宋体"/>
          <w:color w:val="auto"/>
        </w:rPr>
        <w:t>谈判小组将遵循公平、公正和择优的原则，对所有供应商的响应文件评审，都采用相同的程序和标准严格按照谈判文件的要求和内容进行谈判。</w:t>
      </w:r>
    </w:p>
    <w:p>
      <w:pPr>
        <w:overflowPunct w:val="0"/>
        <w:adjustRightInd w:val="0"/>
        <w:snapToGrid w:val="0"/>
        <w:spacing w:line="440" w:lineRule="exact"/>
        <w:jc w:val="left"/>
        <w:rPr>
          <w:rFonts w:ascii="宋体" w:hAnsi="宋体"/>
          <w:color w:val="auto"/>
        </w:rPr>
      </w:pPr>
      <w:r>
        <w:rPr>
          <w:rFonts w:ascii="宋体" w:hAnsi="宋体"/>
          <w:color w:val="auto"/>
        </w:rPr>
        <w:t xml:space="preserve">28.2 </w:t>
      </w:r>
      <w:r>
        <w:rPr>
          <w:rFonts w:hint="eastAsia" w:ascii="宋体" w:hAnsi="宋体"/>
          <w:color w:val="auto"/>
        </w:rPr>
        <w:t>评审过程的保密：在响应文件的评审、比较、成交候选供应商推荐以及授予合同的过程中，供应商向采购人和谈判小组施加影响的任何行为，都将会导致其报价被拒绝；成交供应商确定后，采购人不对未成交供应商就评审过程以及未能成交原因做出任何解释。未成交供应商不得向谈判小组成员或其他相关人员索问评审过程的情况和材料。</w:t>
      </w:r>
    </w:p>
    <w:p>
      <w:pPr>
        <w:pStyle w:val="9"/>
        <w:overflowPunct w:val="0"/>
        <w:adjustRightInd w:val="0"/>
        <w:snapToGrid w:val="0"/>
        <w:spacing w:before="0" w:after="0" w:line="440" w:lineRule="exact"/>
        <w:jc w:val="left"/>
        <w:rPr>
          <w:rFonts w:ascii="宋体" w:hAnsi="宋体"/>
          <w:color w:val="auto"/>
          <w:sz w:val="21"/>
          <w:szCs w:val="21"/>
        </w:rPr>
      </w:pPr>
      <w:bookmarkStart w:id="138" w:name="_Toc489284232"/>
      <w:bookmarkStart w:id="139" w:name="_Toc46309835"/>
      <w:r>
        <w:rPr>
          <w:rFonts w:ascii="宋体" w:hAnsi="宋体"/>
          <w:color w:val="auto"/>
          <w:sz w:val="21"/>
          <w:szCs w:val="21"/>
        </w:rPr>
        <w:t xml:space="preserve">29. </w:t>
      </w:r>
      <w:r>
        <w:rPr>
          <w:rFonts w:hint="eastAsia" w:ascii="宋体" w:hAnsi="宋体"/>
          <w:color w:val="auto"/>
          <w:sz w:val="21"/>
          <w:szCs w:val="21"/>
        </w:rPr>
        <w:t>谈判办法</w:t>
      </w:r>
      <w:bookmarkEnd w:id="138"/>
      <w:bookmarkEnd w:id="139"/>
    </w:p>
    <w:p>
      <w:pPr>
        <w:spacing w:line="440" w:lineRule="exact"/>
        <w:jc w:val="left"/>
        <w:rPr>
          <w:rFonts w:ascii="宋体" w:hAnsi="宋体"/>
          <w:color w:val="auto"/>
        </w:rPr>
      </w:pPr>
      <w:r>
        <w:rPr>
          <w:rFonts w:hint="eastAsia" w:ascii="宋体" w:hAnsi="宋体"/>
          <w:color w:val="auto"/>
        </w:rPr>
        <w:t>采用最低价法，谈判小组按照谈判办法规定的评审内容进行评审，按照最终报价由低到高进行排序，推荐成交候选供应商。</w:t>
      </w:r>
    </w:p>
    <w:p>
      <w:pPr>
        <w:pStyle w:val="9"/>
        <w:overflowPunct w:val="0"/>
        <w:adjustRightInd w:val="0"/>
        <w:snapToGrid w:val="0"/>
        <w:spacing w:before="0" w:after="0" w:line="440" w:lineRule="exact"/>
        <w:jc w:val="left"/>
        <w:rPr>
          <w:rFonts w:ascii="宋体" w:hAnsi="宋体"/>
          <w:color w:val="auto"/>
          <w:sz w:val="21"/>
          <w:szCs w:val="21"/>
        </w:rPr>
      </w:pPr>
      <w:bookmarkStart w:id="140" w:name="_Toc46309836"/>
      <w:bookmarkStart w:id="141" w:name="_Toc489284233"/>
      <w:r>
        <w:rPr>
          <w:rFonts w:ascii="宋体" w:hAnsi="宋体"/>
          <w:color w:val="auto"/>
          <w:sz w:val="21"/>
          <w:szCs w:val="21"/>
        </w:rPr>
        <w:t>30.</w:t>
      </w:r>
      <w:r>
        <w:rPr>
          <w:rFonts w:hint="eastAsia" w:ascii="宋体" w:hAnsi="宋体"/>
          <w:color w:val="auto"/>
          <w:sz w:val="21"/>
          <w:szCs w:val="21"/>
        </w:rPr>
        <w:t>评审程序</w:t>
      </w:r>
      <w:bookmarkEnd w:id="140"/>
      <w:bookmarkEnd w:id="141"/>
    </w:p>
    <w:p>
      <w:pPr>
        <w:spacing w:line="440" w:lineRule="exact"/>
        <w:jc w:val="left"/>
        <w:rPr>
          <w:rFonts w:ascii="宋体" w:hAnsi="宋体"/>
          <w:color w:val="auto"/>
        </w:rPr>
      </w:pPr>
      <w:r>
        <w:rPr>
          <w:rFonts w:hint="eastAsia" w:ascii="宋体" w:hAnsi="宋体"/>
          <w:color w:val="auto"/>
        </w:rPr>
        <w:t>按照资格审查、初审、详细评审的顺序分步骤进行评审。</w:t>
      </w:r>
    </w:p>
    <w:p>
      <w:pPr>
        <w:spacing w:line="440" w:lineRule="exact"/>
        <w:jc w:val="left"/>
        <w:rPr>
          <w:rFonts w:ascii="宋体" w:hAnsi="宋体"/>
          <w:b/>
          <w:color w:val="auto"/>
        </w:rPr>
      </w:pPr>
      <w:r>
        <w:rPr>
          <w:rFonts w:ascii="宋体" w:hAnsi="宋体"/>
          <w:b/>
          <w:color w:val="auto"/>
        </w:rPr>
        <w:t>30.1</w:t>
      </w:r>
      <w:r>
        <w:rPr>
          <w:rFonts w:hint="eastAsia" w:ascii="宋体" w:hAnsi="宋体"/>
          <w:b/>
          <w:color w:val="auto"/>
        </w:rPr>
        <w:t>资格审查：</w:t>
      </w:r>
    </w:p>
    <w:p>
      <w:pPr>
        <w:spacing w:line="440" w:lineRule="exact"/>
        <w:jc w:val="left"/>
        <w:rPr>
          <w:rFonts w:ascii="宋体" w:hAnsi="宋体"/>
          <w:color w:val="auto"/>
        </w:rPr>
      </w:pPr>
      <w:r>
        <w:rPr>
          <w:rFonts w:hint="eastAsia" w:ascii="宋体" w:hAnsi="宋体"/>
          <w:color w:val="auto"/>
        </w:rPr>
        <w:t>详见第四部分谈判办法。谈判小组对各供应商递交的资格证明材料进行审查，资格证明文件不齐全或者不符合要求，经谈判小组同意后将按响应无效处理。</w:t>
      </w:r>
    </w:p>
    <w:p>
      <w:pPr>
        <w:spacing w:line="440" w:lineRule="exact"/>
        <w:jc w:val="left"/>
        <w:rPr>
          <w:rFonts w:ascii="宋体" w:hAnsi="宋体"/>
          <w:b/>
          <w:color w:val="auto"/>
        </w:rPr>
      </w:pPr>
      <w:r>
        <w:rPr>
          <w:rFonts w:ascii="宋体" w:hAnsi="宋体"/>
          <w:b/>
          <w:color w:val="auto"/>
        </w:rPr>
        <w:t>30.2</w:t>
      </w:r>
      <w:r>
        <w:rPr>
          <w:rFonts w:hint="eastAsia" w:ascii="宋体" w:hAnsi="宋体"/>
          <w:b/>
          <w:color w:val="auto"/>
        </w:rPr>
        <w:t>初审：</w:t>
      </w:r>
    </w:p>
    <w:p>
      <w:pPr>
        <w:spacing w:line="440" w:lineRule="exact"/>
        <w:jc w:val="left"/>
        <w:rPr>
          <w:rFonts w:ascii="宋体" w:hAnsi="宋体"/>
          <w:color w:val="auto"/>
        </w:rPr>
      </w:pPr>
      <w:r>
        <w:rPr>
          <w:rFonts w:hint="eastAsia" w:ascii="宋体" w:hAnsi="宋体"/>
          <w:color w:val="auto"/>
        </w:rPr>
        <w:t>谈判小组对响应文件进行初审。下述内容凡有一项不合格的，即作为无效响应处理，不再进入下一步评审：</w:t>
      </w:r>
    </w:p>
    <w:p>
      <w:pPr>
        <w:spacing w:line="440" w:lineRule="exact"/>
        <w:jc w:val="left"/>
        <w:rPr>
          <w:rFonts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）响应文件中未按谈判文件的要求加盖供应商公章；法定代表人或被授权代表未按谈判文件要求签字的；</w:t>
      </w:r>
    </w:p>
    <w:p>
      <w:pPr>
        <w:spacing w:line="440" w:lineRule="exact"/>
        <w:jc w:val="left"/>
        <w:rPr>
          <w:rFonts w:ascii="宋体" w:hAnsi="宋体"/>
          <w:color w:val="auto"/>
        </w:rPr>
      </w:pPr>
      <w:r>
        <w:rPr>
          <w:rFonts w:hint="eastAsia" w:ascii="宋体" w:hAnsi="宋体"/>
          <w:color w:val="auto"/>
        </w:rPr>
        <w:t>（</w:t>
      </w:r>
      <w:r>
        <w:rPr>
          <w:rFonts w:ascii="宋体" w:hAnsi="宋体"/>
          <w:color w:val="auto"/>
        </w:rPr>
        <w:t>2</w:t>
      </w:r>
      <w:r>
        <w:rPr>
          <w:rFonts w:hint="eastAsia" w:ascii="宋体" w:hAnsi="宋体"/>
          <w:color w:val="auto"/>
        </w:rPr>
        <w:t>）无谈判有效期或谈判有效期达不到谈判文件的要求；</w:t>
      </w:r>
    </w:p>
    <w:p>
      <w:pPr>
        <w:spacing w:line="440" w:lineRule="exact"/>
        <w:jc w:val="left"/>
        <w:rPr>
          <w:rFonts w:ascii="宋体" w:hAnsi="宋体"/>
          <w:color w:val="auto"/>
        </w:rPr>
      </w:pPr>
      <w:r>
        <w:rPr>
          <w:rFonts w:hint="eastAsia" w:ascii="宋体" w:hAnsi="宋体"/>
          <w:color w:val="auto"/>
        </w:rPr>
        <w:t>（3）未按谈判文件要求编制，出现漏项或服务内容与谈判文件要求不符；</w:t>
      </w:r>
    </w:p>
    <w:p>
      <w:pPr>
        <w:spacing w:line="440" w:lineRule="exact"/>
        <w:jc w:val="left"/>
        <w:rPr>
          <w:rFonts w:ascii="宋体" w:hAnsi="宋体"/>
          <w:color w:val="auto"/>
        </w:rPr>
      </w:pPr>
      <w:r>
        <w:rPr>
          <w:rFonts w:hint="eastAsia" w:ascii="宋体" w:hAnsi="宋体"/>
          <w:color w:val="auto"/>
        </w:rPr>
        <w:t>（4）</w:t>
      </w:r>
      <w:r>
        <w:rPr>
          <w:rFonts w:hint="eastAsia" w:ascii="宋体" w:hAnsi="宋体"/>
          <w:bCs/>
          <w:color w:val="auto"/>
          <w:lang w:val="zh-CN"/>
        </w:rPr>
        <w:t>响应文件实质上未响应谈判文件的要求</w:t>
      </w:r>
      <w:r>
        <w:rPr>
          <w:rFonts w:hint="eastAsia" w:ascii="宋体" w:hAnsi="宋体"/>
          <w:color w:val="auto"/>
        </w:rPr>
        <w:t>，附加了采购人难以接受的条件；</w:t>
      </w:r>
    </w:p>
    <w:p>
      <w:pPr>
        <w:spacing w:line="440" w:lineRule="exact"/>
        <w:jc w:val="left"/>
        <w:rPr>
          <w:rFonts w:ascii="宋体" w:hAnsi="宋体"/>
          <w:color w:val="auto"/>
        </w:rPr>
      </w:pPr>
      <w:r>
        <w:rPr>
          <w:rFonts w:hint="eastAsia" w:ascii="宋体" w:hAnsi="宋体"/>
          <w:color w:val="auto"/>
        </w:rPr>
        <w:t>（5）响应的技术方案达不到谈判文件要求，降低了质量或影响项目进度；</w:t>
      </w:r>
    </w:p>
    <w:p>
      <w:pPr>
        <w:spacing w:line="440" w:lineRule="exact"/>
        <w:jc w:val="left"/>
        <w:rPr>
          <w:rFonts w:ascii="宋体" w:hAnsi="宋体"/>
          <w:color w:val="auto"/>
        </w:rPr>
      </w:pPr>
      <w:r>
        <w:rPr>
          <w:rFonts w:hint="eastAsia" w:ascii="宋体" w:hAnsi="宋体"/>
          <w:color w:val="auto"/>
        </w:rPr>
        <w:t>（6）出现选择性报价的；</w:t>
      </w:r>
    </w:p>
    <w:p>
      <w:pPr>
        <w:spacing w:line="440" w:lineRule="exact"/>
        <w:jc w:val="left"/>
        <w:rPr>
          <w:rFonts w:ascii="宋体" w:hAnsi="宋体"/>
          <w:color w:val="auto"/>
        </w:rPr>
      </w:pPr>
      <w:r>
        <w:rPr>
          <w:rFonts w:hint="eastAsia" w:ascii="宋体" w:hAnsi="宋体"/>
          <w:color w:val="auto"/>
        </w:rPr>
        <w:t>（7）报价超过采购预算或最高限价的。</w:t>
      </w:r>
    </w:p>
    <w:p>
      <w:pPr>
        <w:spacing w:line="440" w:lineRule="exact"/>
        <w:jc w:val="left"/>
        <w:rPr>
          <w:rFonts w:ascii="宋体" w:hAnsi="宋体"/>
          <w:color w:val="auto"/>
        </w:rPr>
      </w:pPr>
      <w:r>
        <w:rPr>
          <w:rFonts w:ascii="宋体" w:hAnsi="宋体"/>
          <w:color w:val="auto"/>
        </w:rPr>
        <w:t>30.</w:t>
      </w:r>
      <w:r>
        <w:rPr>
          <w:rFonts w:hint="eastAsia" w:ascii="宋体" w:hAnsi="宋体"/>
          <w:color w:val="auto"/>
        </w:rPr>
        <w:t>3</w:t>
      </w:r>
      <w:r>
        <w:rPr>
          <w:rFonts w:hint="eastAsia" w:ascii="宋体" w:hAnsi="宋体"/>
          <w:b/>
          <w:color w:val="auto"/>
        </w:rPr>
        <w:t>排序</w:t>
      </w:r>
      <w:r>
        <w:rPr>
          <w:rFonts w:hint="eastAsia" w:ascii="宋体" w:hAnsi="宋体"/>
          <w:color w:val="auto"/>
        </w:rPr>
        <w:t>：按照最终报价由低到高的顺序，推荐成交候选供应商。</w:t>
      </w:r>
    </w:p>
    <w:p>
      <w:pPr>
        <w:spacing w:line="440" w:lineRule="exact"/>
        <w:jc w:val="left"/>
        <w:rPr>
          <w:rFonts w:ascii="宋体" w:hAnsi="宋体"/>
          <w:color w:val="auto"/>
        </w:rPr>
      </w:pPr>
      <w:r>
        <w:rPr>
          <w:rFonts w:ascii="宋体" w:hAnsi="宋体"/>
          <w:color w:val="auto"/>
        </w:rPr>
        <w:t>30.</w:t>
      </w:r>
      <w:r>
        <w:rPr>
          <w:rFonts w:hint="eastAsia" w:ascii="宋体" w:hAnsi="宋体"/>
          <w:color w:val="auto"/>
        </w:rPr>
        <w:t>4</w:t>
      </w:r>
      <w:r>
        <w:rPr>
          <w:rFonts w:ascii="宋体" w:hAnsi="宋体"/>
          <w:color w:val="auto"/>
        </w:rPr>
        <w:t xml:space="preserve"> </w:t>
      </w:r>
      <w:r>
        <w:rPr>
          <w:rFonts w:hint="eastAsia" w:ascii="宋体" w:hAnsi="宋体"/>
          <w:color w:val="auto"/>
        </w:rPr>
        <w:t>在谈判文件规定的响应文件递交截止时间后，供应商不足三家或在谈判期间，出现符合条件的供应商不足三家的情形时，本项目谈判终止。</w:t>
      </w:r>
    </w:p>
    <w:p>
      <w:pPr>
        <w:pStyle w:val="9"/>
        <w:overflowPunct w:val="0"/>
        <w:adjustRightInd w:val="0"/>
        <w:snapToGrid w:val="0"/>
        <w:spacing w:before="0" w:after="0" w:line="440" w:lineRule="exact"/>
        <w:jc w:val="left"/>
        <w:rPr>
          <w:rFonts w:ascii="宋体" w:hAnsi="宋体"/>
          <w:color w:val="auto"/>
          <w:sz w:val="21"/>
          <w:szCs w:val="21"/>
        </w:rPr>
      </w:pPr>
      <w:bookmarkStart w:id="142" w:name="_Toc489284234"/>
      <w:bookmarkStart w:id="143" w:name="_Toc46309837"/>
      <w:r>
        <w:rPr>
          <w:rFonts w:ascii="宋体" w:hAnsi="宋体"/>
          <w:color w:val="auto"/>
          <w:sz w:val="21"/>
          <w:szCs w:val="21"/>
        </w:rPr>
        <w:t>31.</w:t>
      </w:r>
      <w:r>
        <w:rPr>
          <w:rFonts w:hint="eastAsia" w:ascii="宋体" w:hAnsi="宋体"/>
          <w:color w:val="auto"/>
          <w:sz w:val="21"/>
          <w:szCs w:val="21"/>
        </w:rPr>
        <w:t>响应文件的澄清</w:t>
      </w:r>
      <w:bookmarkEnd w:id="142"/>
      <w:bookmarkEnd w:id="143"/>
    </w:p>
    <w:p>
      <w:pPr>
        <w:overflowPunct w:val="0"/>
        <w:adjustRightInd w:val="0"/>
        <w:snapToGrid w:val="0"/>
        <w:spacing w:line="440" w:lineRule="exact"/>
        <w:jc w:val="left"/>
        <w:rPr>
          <w:rFonts w:ascii="宋体" w:hAnsi="宋体"/>
          <w:color w:val="auto"/>
        </w:rPr>
      </w:pPr>
      <w:r>
        <w:rPr>
          <w:rFonts w:ascii="宋体" w:hAnsi="宋体"/>
          <w:color w:val="auto"/>
        </w:rPr>
        <w:t>31.1</w:t>
      </w:r>
      <w:r>
        <w:rPr>
          <w:rFonts w:hint="eastAsia" w:ascii="宋体" w:hAnsi="宋体"/>
          <w:color w:val="auto"/>
        </w:rPr>
        <w:t>在谈判期间，谈判小组要求供应商对其响应文件进行澄清时，供应商应派法定代表人或授权代表和相关技术人员按谈判小组通知的时间和地点接受询问。法定代表人或授权代表在接受询问时应出示其有效身份证件，询问时法定代表人或授权代表未到场或未出示有效身份证件的其响应文件将被拒绝。</w:t>
      </w:r>
    </w:p>
    <w:p>
      <w:pPr>
        <w:overflowPunct w:val="0"/>
        <w:adjustRightInd w:val="0"/>
        <w:snapToGrid w:val="0"/>
        <w:spacing w:line="440" w:lineRule="exact"/>
        <w:jc w:val="left"/>
        <w:rPr>
          <w:rFonts w:ascii="宋体" w:hAnsi="宋体"/>
          <w:color w:val="auto"/>
        </w:rPr>
      </w:pPr>
      <w:r>
        <w:rPr>
          <w:rFonts w:ascii="宋体" w:hAnsi="宋体"/>
          <w:color w:val="auto"/>
        </w:rPr>
        <w:t>31.2</w:t>
      </w:r>
      <w:r>
        <w:rPr>
          <w:rFonts w:hint="eastAsia" w:ascii="宋体" w:hAnsi="宋体"/>
          <w:color w:val="auto"/>
        </w:rPr>
        <w:t>谈判小组可以要求供应商对响应文件中含义不明确、对同类问题表述不一致或者有明显文字和计算错误的内容作必要的澄清、说明或者补正。</w:t>
      </w:r>
    </w:p>
    <w:p>
      <w:pPr>
        <w:overflowPunct w:val="0"/>
        <w:adjustRightInd w:val="0"/>
        <w:snapToGrid w:val="0"/>
        <w:spacing w:line="440" w:lineRule="exact"/>
        <w:jc w:val="left"/>
        <w:rPr>
          <w:rFonts w:ascii="宋体" w:hAnsi="宋体"/>
          <w:color w:val="auto"/>
        </w:rPr>
      </w:pPr>
      <w:r>
        <w:rPr>
          <w:rFonts w:ascii="宋体" w:hAnsi="宋体"/>
          <w:color w:val="auto"/>
        </w:rPr>
        <w:t>31.3</w:t>
      </w:r>
      <w:r>
        <w:rPr>
          <w:rFonts w:hint="eastAsia" w:ascii="宋体" w:hAnsi="宋体"/>
          <w:color w:val="auto"/>
        </w:rPr>
        <w:t>供应商的澄清、说明或者补正不得超出响应文件的范围或者改变响应文件的实质性内容。</w:t>
      </w:r>
    </w:p>
    <w:p>
      <w:pPr>
        <w:overflowPunct w:val="0"/>
        <w:adjustRightInd w:val="0"/>
        <w:snapToGrid w:val="0"/>
        <w:spacing w:line="440" w:lineRule="exact"/>
        <w:jc w:val="left"/>
        <w:rPr>
          <w:rFonts w:ascii="宋体" w:hAnsi="宋体"/>
          <w:color w:val="auto"/>
        </w:rPr>
      </w:pPr>
      <w:r>
        <w:rPr>
          <w:rFonts w:ascii="宋体" w:hAnsi="宋体"/>
          <w:color w:val="auto"/>
        </w:rPr>
        <w:t xml:space="preserve">31.4 </w:t>
      </w:r>
      <w:r>
        <w:rPr>
          <w:rFonts w:hint="eastAsia" w:ascii="宋体" w:hAnsi="宋体"/>
          <w:color w:val="auto"/>
        </w:rPr>
        <w:t>有关澄清的要求和答复均应以书面形式提交。</w:t>
      </w:r>
    </w:p>
    <w:p>
      <w:pPr>
        <w:overflowPunct w:val="0"/>
        <w:adjustRightInd w:val="0"/>
        <w:snapToGrid w:val="0"/>
        <w:spacing w:line="440" w:lineRule="exact"/>
        <w:jc w:val="left"/>
        <w:rPr>
          <w:rFonts w:ascii="宋体" w:hAnsi="宋体"/>
          <w:color w:val="auto"/>
        </w:rPr>
      </w:pPr>
      <w:r>
        <w:rPr>
          <w:rFonts w:ascii="宋体" w:hAnsi="宋体"/>
          <w:color w:val="auto"/>
        </w:rPr>
        <w:t>31.5</w:t>
      </w:r>
      <w:r>
        <w:rPr>
          <w:rFonts w:hint="eastAsia" w:ascii="宋体" w:hAnsi="宋体"/>
          <w:color w:val="auto"/>
        </w:rPr>
        <w:t>供应商的书面澄清、说明和补正经谈判小组认可后可以作为其响应文件的一部分参与谈判。如果供应商成交，这些书面澄清、说明和补正也作为成交的依据。</w:t>
      </w:r>
    </w:p>
    <w:p>
      <w:pPr>
        <w:overflowPunct w:val="0"/>
        <w:adjustRightInd w:val="0"/>
        <w:snapToGrid w:val="0"/>
        <w:spacing w:line="440" w:lineRule="exact"/>
        <w:jc w:val="left"/>
        <w:rPr>
          <w:rFonts w:ascii="宋体" w:hAnsi="宋体"/>
          <w:color w:val="auto"/>
        </w:rPr>
      </w:pPr>
      <w:r>
        <w:rPr>
          <w:rFonts w:ascii="宋体" w:hAnsi="宋体"/>
          <w:color w:val="auto"/>
        </w:rPr>
        <w:t>31.6</w:t>
      </w:r>
      <w:r>
        <w:rPr>
          <w:rFonts w:hint="eastAsia" w:ascii="宋体" w:hAnsi="宋体"/>
          <w:color w:val="auto"/>
        </w:rPr>
        <w:t>供应商对响应文件的澄清只是谈判小组根据谈判的需要而可能进行的工作，并非是谈判的必要程序，也并非每个供应商都需要进行澄清。</w:t>
      </w:r>
    </w:p>
    <w:p>
      <w:pPr>
        <w:pStyle w:val="9"/>
        <w:overflowPunct w:val="0"/>
        <w:adjustRightInd w:val="0"/>
        <w:snapToGrid w:val="0"/>
        <w:spacing w:before="0" w:after="0" w:line="440" w:lineRule="exact"/>
        <w:jc w:val="left"/>
        <w:rPr>
          <w:rFonts w:ascii="宋体" w:hAnsi="宋体"/>
          <w:color w:val="auto"/>
          <w:sz w:val="21"/>
          <w:szCs w:val="21"/>
        </w:rPr>
      </w:pPr>
      <w:bookmarkStart w:id="144" w:name="_Toc46309838"/>
      <w:bookmarkStart w:id="145" w:name="_Toc489284235"/>
      <w:r>
        <w:rPr>
          <w:rFonts w:ascii="宋体" w:hAnsi="宋体"/>
          <w:color w:val="auto"/>
          <w:sz w:val="21"/>
          <w:szCs w:val="21"/>
        </w:rPr>
        <w:t>32.</w:t>
      </w:r>
      <w:r>
        <w:rPr>
          <w:rFonts w:hint="eastAsia" w:ascii="宋体" w:hAnsi="宋体"/>
          <w:color w:val="auto"/>
          <w:sz w:val="21"/>
          <w:szCs w:val="21"/>
        </w:rPr>
        <w:t>重大偏差和细微偏差</w:t>
      </w:r>
      <w:bookmarkEnd w:id="144"/>
      <w:bookmarkEnd w:id="145"/>
    </w:p>
    <w:p>
      <w:pPr>
        <w:overflowPunct w:val="0"/>
        <w:adjustRightInd w:val="0"/>
        <w:snapToGrid w:val="0"/>
        <w:spacing w:line="440" w:lineRule="exact"/>
        <w:jc w:val="left"/>
        <w:rPr>
          <w:rFonts w:ascii="宋体" w:hAnsi="宋体"/>
          <w:color w:val="auto"/>
        </w:rPr>
      </w:pPr>
      <w:r>
        <w:rPr>
          <w:rFonts w:ascii="宋体" w:hAnsi="宋体"/>
          <w:color w:val="auto"/>
        </w:rPr>
        <w:t xml:space="preserve">32.1 </w:t>
      </w:r>
      <w:r>
        <w:rPr>
          <w:rFonts w:hint="eastAsia" w:ascii="宋体" w:hAnsi="宋体"/>
          <w:color w:val="auto"/>
        </w:rPr>
        <w:t>重大偏差是指响应文件未对谈判文件作出实质性响应。</w:t>
      </w:r>
    </w:p>
    <w:p>
      <w:pPr>
        <w:overflowPunct w:val="0"/>
        <w:adjustRightInd w:val="0"/>
        <w:snapToGrid w:val="0"/>
        <w:spacing w:line="440" w:lineRule="exact"/>
        <w:jc w:val="left"/>
        <w:rPr>
          <w:rFonts w:ascii="宋体" w:hAnsi="宋体"/>
          <w:color w:val="auto"/>
        </w:rPr>
      </w:pPr>
      <w:r>
        <w:rPr>
          <w:rFonts w:ascii="宋体" w:hAnsi="宋体"/>
          <w:color w:val="auto"/>
        </w:rPr>
        <w:t xml:space="preserve">32.2 </w:t>
      </w:r>
      <w:r>
        <w:rPr>
          <w:rFonts w:hint="eastAsia" w:ascii="宋体" w:hAnsi="宋体"/>
          <w:color w:val="auto"/>
        </w:rPr>
        <w:t>响应文件有下列情况之一的，即为重大偏差：</w:t>
      </w:r>
    </w:p>
    <w:p>
      <w:pPr>
        <w:overflowPunct w:val="0"/>
        <w:adjustRightInd w:val="0"/>
        <w:snapToGrid w:val="0"/>
        <w:spacing w:line="440" w:lineRule="exact"/>
        <w:jc w:val="left"/>
        <w:rPr>
          <w:rFonts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）无单位盖章并无法定代表人或者法定代表人授权的代理人签字或盖章的；</w:t>
      </w:r>
    </w:p>
    <w:p>
      <w:pPr>
        <w:overflowPunct w:val="0"/>
        <w:adjustRightInd w:val="0"/>
        <w:snapToGrid w:val="0"/>
        <w:spacing w:line="440" w:lineRule="exact"/>
        <w:jc w:val="left"/>
        <w:rPr>
          <w:rFonts w:ascii="宋体" w:hAnsi="宋体"/>
          <w:color w:val="auto"/>
        </w:rPr>
      </w:pPr>
      <w:r>
        <w:rPr>
          <w:rFonts w:hint="eastAsia" w:ascii="宋体" w:hAnsi="宋体"/>
          <w:color w:val="auto"/>
        </w:rPr>
        <w:t>（</w:t>
      </w:r>
      <w:r>
        <w:rPr>
          <w:rFonts w:ascii="宋体" w:hAnsi="宋体"/>
          <w:color w:val="auto"/>
        </w:rPr>
        <w:t>2</w:t>
      </w:r>
      <w:r>
        <w:rPr>
          <w:rFonts w:hint="eastAsia" w:ascii="宋体" w:hAnsi="宋体"/>
          <w:color w:val="auto"/>
        </w:rPr>
        <w:t>）无法定代表人出具的授权委托书的；</w:t>
      </w:r>
    </w:p>
    <w:p>
      <w:pPr>
        <w:overflowPunct w:val="0"/>
        <w:adjustRightInd w:val="0"/>
        <w:snapToGrid w:val="0"/>
        <w:spacing w:line="440" w:lineRule="exact"/>
        <w:jc w:val="left"/>
        <w:rPr>
          <w:rFonts w:ascii="宋体" w:hAnsi="宋体"/>
          <w:color w:val="auto"/>
        </w:rPr>
      </w:pPr>
      <w:r>
        <w:rPr>
          <w:rFonts w:hint="eastAsia" w:ascii="宋体" w:hAnsi="宋体"/>
          <w:color w:val="auto"/>
        </w:rPr>
        <w:t>（</w:t>
      </w:r>
      <w:r>
        <w:rPr>
          <w:rFonts w:ascii="宋体" w:hAnsi="宋体"/>
          <w:color w:val="auto"/>
        </w:rPr>
        <w:t>3</w:t>
      </w:r>
      <w:r>
        <w:rPr>
          <w:rFonts w:hint="eastAsia" w:ascii="宋体" w:hAnsi="宋体"/>
          <w:color w:val="auto"/>
        </w:rPr>
        <w:t>）未按规定的格式填写，内容不全或关键字迹模糊、无法辨认的；</w:t>
      </w:r>
    </w:p>
    <w:p>
      <w:pPr>
        <w:overflowPunct w:val="0"/>
        <w:adjustRightInd w:val="0"/>
        <w:snapToGrid w:val="0"/>
        <w:spacing w:line="440" w:lineRule="exact"/>
        <w:jc w:val="left"/>
        <w:rPr>
          <w:rFonts w:ascii="宋体" w:hAnsi="宋体"/>
          <w:color w:val="auto"/>
        </w:rPr>
      </w:pPr>
      <w:r>
        <w:rPr>
          <w:rFonts w:hint="eastAsia" w:ascii="宋体" w:hAnsi="宋体"/>
          <w:color w:val="auto"/>
        </w:rPr>
        <w:t>（</w:t>
      </w:r>
      <w:r>
        <w:rPr>
          <w:rFonts w:ascii="宋体" w:hAnsi="宋体"/>
          <w:color w:val="auto"/>
        </w:rPr>
        <w:t>4</w:t>
      </w:r>
      <w:r>
        <w:rPr>
          <w:rFonts w:hint="eastAsia" w:ascii="宋体" w:hAnsi="宋体"/>
          <w:color w:val="auto"/>
        </w:rPr>
        <w:t>）供应商递交两份或者多份内容不同的响应文件，或者在一份响应文件对同一采购项目有两个或者多个报价，且未声明哪个有效，按谈判文件规定提交备选方案的除外；</w:t>
      </w:r>
    </w:p>
    <w:p>
      <w:pPr>
        <w:overflowPunct w:val="0"/>
        <w:adjustRightInd w:val="0"/>
        <w:snapToGrid w:val="0"/>
        <w:spacing w:line="440" w:lineRule="exact"/>
        <w:jc w:val="left"/>
        <w:rPr>
          <w:rFonts w:ascii="宋体" w:hAnsi="宋体"/>
          <w:color w:val="auto"/>
        </w:rPr>
      </w:pPr>
      <w:r>
        <w:rPr>
          <w:rFonts w:hint="eastAsia" w:ascii="宋体" w:hAnsi="宋体"/>
          <w:color w:val="auto"/>
        </w:rPr>
        <w:t>（</w:t>
      </w:r>
      <w:r>
        <w:rPr>
          <w:rFonts w:ascii="宋体" w:hAnsi="宋体"/>
          <w:color w:val="auto"/>
        </w:rPr>
        <w:t>5</w:t>
      </w:r>
      <w:r>
        <w:rPr>
          <w:rFonts w:hint="eastAsia" w:ascii="宋体" w:hAnsi="宋体"/>
          <w:color w:val="auto"/>
        </w:rPr>
        <w:t>）谈判有效期不满足谈判文件要求的；</w:t>
      </w:r>
    </w:p>
    <w:p>
      <w:pPr>
        <w:overflowPunct w:val="0"/>
        <w:adjustRightInd w:val="0"/>
        <w:snapToGrid w:val="0"/>
        <w:spacing w:line="440" w:lineRule="exact"/>
        <w:jc w:val="left"/>
        <w:rPr>
          <w:rFonts w:ascii="宋体" w:hAnsi="宋体"/>
          <w:color w:val="auto"/>
        </w:rPr>
      </w:pPr>
      <w:r>
        <w:rPr>
          <w:rFonts w:hint="eastAsia" w:ascii="宋体" w:hAnsi="宋体"/>
          <w:color w:val="auto"/>
        </w:rPr>
        <w:t>（6）响应文件载明的采购项目完成期限超过谈判文件规定的期限的（谈判文件另有规定的除外）；</w:t>
      </w:r>
      <w:r>
        <w:rPr>
          <w:rFonts w:ascii="宋体" w:hAnsi="宋体"/>
          <w:color w:val="auto"/>
        </w:rPr>
        <w:t xml:space="preserve"> </w:t>
      </w:r>
    </w:p>
    <w:p>
      <w:pPr>
        <w:overflowPunct w:val="0"/>
        <w:adjustRightInd w:val="0"/>
        <w:snapToGrid w:val="0"/>
        <w:spacing w:line="440" w:lineRule="exact"/>
        <w:jc w:val="left"/>
        <w:rPr>
          <w:rFonts w:ascii="宋体" w:hAnsi="宋体"/>
          <w:color w:val="auto"/>
        </w:rPr>
      </w:pPr>
      <w:r>
        <w:rPr>
          <w:rFonts w:hint="eastAsia" w:ascii="宋体" w:hAnsi="宋体"/>
          <w:color w:val="auto"/>
        </w:rPr>
        <w:t>（7</w:t>
      </w:r>
      <w:r>
        <w:rPr>
          <w:rFonts w:ascii="宋体" w:hAnsi="宋体"/>
          <w:color w:val="auto"/>
        </w:rPr>
        <w:t>)</w:t>
      </w:r>
      <w:r>
        <w:rPr>
          <w:rFonts w:hint="eastAsia" w:ascii="宋体" w:hAnsi="宋体"/>
          <w:color w:val="auto"/>
        </w:rPr>
        <w:t>明显不符合谈判文件要求的；</w:t>
      </w:r>
    </w:p>
    <w:p>
      <w:pPr>
        <w:overflowPunct w:val="0"/>
        <w:adjustRightInd w:val="0"/>
        <w:snapToGrid w:val="0"/>
        <w:spacing w:line="440" w:lineRule="exact"/>
        <w:jc w:val="left"/>
        <w:rPr>
          <w:rFonts w:ascii="宋体" w:hAnsi="宋体"/>
          <w:color w:val="auto"/>
        </w:rPr>
      </w:pPr>
      <w:r>
        <w:rPr>
          <w:rFonts w:ascii="宋体" w:hAnsi="宋体"/>
          <w:color w:val="auto"/>
        </w:rPr>
        <w:t xml:space="preserve"> (</w:t>
      </w:r>
      <w:r>
        <w:rPr>
          <w:rFonts w:hint="eastAsia" w:ascii="宋体" w:hAnsi="宋体"/>
          <w:color w:val="auto"/>
        </w:rPr>
        <w:t>8</w:t>
      </w:r>
      <w:r>
        <w:rPr>
          <w:rFonts w:ascii="宋体" w:hAnsi="宋体"/>
          <w:color w:val="auto"/>
        </w:rPr>
        <w:t>)</w:t>
      </w:r>
      <w:r>
        <w:rPr>
          <w:rFonts w:hint="eastAsia" w:ascii="宋体" w:hAnsi="宋体"/>
          <w:color w:val="auto"/>
        </w:rPr>
        <w:t>响应文件附有采购方不能接受的条件的；</w:t>
      </w:r>
    </w:p>
    <w:p>
      <w:pPr>
        <w:overflowPunct w:val="0"/>
        <w:adjustRightInd w:val="0"/>
        <w:snapToGrid w:val="0"/>
        <w:spacing w:line="440" w:lineRule="exact"/>
        <w:jc w:val="left"/>
        <w:rPr>
          <w:rFonts w:ascii="宋体" w:hAnsi="宋体"/>
          <w:color w:val="auto"/>
        </w:rPr>
      </w:pPr>
      <w:r>
        <w:rPr>
          <w:rFonts w:hint="eastAsia" w:ascii="宋体" w:hAnsi="宋体"/>
          <w:color w:val="auto"/>
        </w:rPr>
        <w:t>（9）谈判文件规定的其他实质性要求；</w:t>
      </w:r>
    </w:p>
    <w:p>
      <w:pPr>
        <w:overflowPunct w:val="0"/>
        <w:adjustRightInd w:val="0"/>
        <w:snapToGrid w:val="0"/>
        <w:spacing w:line="440" w:lineRule="exact"/>
        <w:jc w:val="left"/>
        <w:rPr>
          <w:rFonts w:ascii="宋体" w:hAnsi="宋体"/>
          <w:color w:val="auto"/>
        </w:rPr>
      </w:pPr>
      <w:r>
        <w:rPr>
          <w:rFonts w:ascii="宋体" w:hAnsi="宋体"/>
          <w:color w:val="auto"/>
        </w:rPr>
        <w:t>(</w:t>
      </w:r>
      <w:r>
        <w:rPr>
          <w:rFonts w:hint="eastAsia" w:ascii="宋体" w:hAnsi="宋体"/>
          <w:color w:val="auto"/>
        </w:rPr>
        <w:t>10）谈判文件明确规定无效和拒绝接受的其他情形。</w:t>
      </w:r>
    </w:p>
    <w:p>
      <w:pPr>
        <w:overflowPunct w:val="0"/>
        <w:adjustRightInd w:val="0"/>
        <w:snapToGrid w:val="0"/>
        <w:spacing w:line="440" w:lineRule="exact"/>
        <w:jc w:val="left"/>
        <w:rPr>
          <w:rFonts w:ascii="宋体" w:hAnsi="宋体"/>
          <w:color w:val="auto"/>
        </w:rPr>
      </w:pPr>
      <w:r>
        <w:rPr>
          <w:rFonts w:ascii="宋体" w:hAnsi="宋体"/>
          <w:color w:val="auto"/>
        </w:rPr>
        <w:t>32.3</w:t>
      </w:r>
      <w:r>
        <w:rPr>
          <w:rFonts w:hint="eastAsia" w:ascii="宋体" w:hAnsi="宋体"/>
          <w:color w:val="auto"/>
        </w:rPr>
        <w:t>细微偏差是指响应文件在实质上响应谈判文件的要求，但在个别地方存在漏项或者提供了不完整的技术信息和数据等情况，并且补正这些遗漏或者不完整不会对其他供应商造成不公平的结果。细微偏差不影响响应文件的有效性。供应商对细微偏差拒不补正的，谈判小组将在详细评审时作不利于该供应商的量化。</w:t>
      </w:r>
    </w:p>
    <w:p>
      <w:pPr>
        <w:pStyle w:val="9"/>
        <w:overflowPunct w:val="0"/>
        <w:adjustRightInd w:val="0"/>
        <w:snapToGrid w:val="0"/>
        <w:spacing w:before="0" w:after="0" w:line="440" w:lineRule="exact"/>
        <w:jc w:val="left"/>
        <w:rPr>
          <w:rFonts w:ascii="宋体" w:hAnsi="宋体"/>
          <w:color w:val="auto"/>
          <w:sz w:val="21"/>
          <w:szCs w:val="21"/>
        </w:rPr>
      </w:pPr>
      <w:bookmarkStart w:id="146" w:name="_Toc46309839"/>
      <w:bookmarkStart w:id="147" w:name="_Toc489284236"/>
      <w:r>
        <w:rPr>
          <w:rFonts w:ascii="宋体" w:hAnsi="宋体"/>
          <w:color w:val="auto"/>
          <w:sz w:val="21"/>
          <w:szCs w:val="21"/>
        </w:rPr>
        <w:t>33.</w:t>
      </w:r>
      <w:r>
        <w:rPr>
          <w:rFonts w:hint="eastAsia" w:ascii="宋体" w:hAnsi="宋体"/>
          <w:color w:val="auto"/>
          <w:sz w:val="21"/>
          <w:szCs w:val="21"/>
        </w:rPr>
        <w:t>无效响应文件</w:t>
      </w:r>
      <w:bookmarkEnd w:id="146"/>
      <w:bookmarkEnd w:id="147"/>
    </w:p>
    <w:p>
      <w:pPr>
        <w:overflowPunct w:val="0"/>
        <w:adjustRightInd w:val="0"/>
        <w:snapToGrid w:val="0"/>
        <w:spacing w:line="440" w:lineRule="exact"/>
        <w:jc w:val="left"/>
        <w:rPr>
          <w:rFonts w:ascii="宋体" w:hAnsi="宋体"/>
          <w:color w:val="auto"/>
        </w:rPr>
      </w:pPr>
      <w:r>
        <w:rPr>
          <w:rFonts w:ascii="宋体" w:hAnsi="宋体"/>
          <w:color w:val="auto"/>
        </w:rPr>
        <w:t xml:space="preserve">33.1 </w:t>
      </w:r>
      <w:r>
        <w:rPr>
          <w:rFonts w:hint="eastAsia" w:ascii="宋体" w:hAnsi="宋体"/>
          <w:color w:val="auto"/>
        </w:rPr>
        <w:t>根据相关法律法规和本谈判文件的规定，经谈判小组讨论被确定为重大偏差的响应文件均作无效响应文件处理。</w:t>
      </w:r>
    </w:p>
    <w:p>
      <w:pPr>
        <w:overflowPunct w:val="0"/>
        <w:adjustRightInd w:val="0"/>
        <w:snapToGrid w:val="0"/>
        <w:spacing w:line="440" w:lineRule="exact"/>
        <w:jc w:val="left"/>
        <w:rPr>
          <w:rFonts w:ascii="宋体" w:hAnsi="宋体"/>
          <w:color w:val="auto"/>
        </w:rPr>
      </w:pPr>
      <w:r>
        <w:rPr>
          <w:rFonts w:ascii="宋体" w:hAnsi="宋体"/>
          <w:color w:val="auto"/>
        </w:rPr>
        <w:t>33.2</w:t>
      </w:r>
      <w:r>
        <w:rPr>
          <w:rFonts w:hint="eastAsia" w:ascii="宋体" w:hAnsi="宋体"/>
          <w:color w:val="auto"/>
        </w:rPr>
        <w:t>谈判小组在评审过程中，发现响应文件有下列情况之一的应作无效响应文件处理：</w:t>
      </w:r>
    </w:p>
    <w:p>
      <w:pPr>
        <w:overflowPunct w:val="0"/>
        <w:adjustRightInd w:val="0"/>
        <w:snapToGrid w:val="0"/>
        <w:spacing w:line="440" w:lineRule="exact"/>
        <w:jc w:val="left"/>
        <w:rPr>
          <w:rFonts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）谈判过程中，谈判小组发现供应商以他人名义参加谈判、串通谈判、以行贿手段谋取成交或以其他弄虚作假方式谈判的；</w:t>
      </w:r>
    </w:p>
    <w:p>
      <w:pPr>
        <w:overflowPunct w:val="0"/>
        <w:adjustRightInd w:val="0"/>
        <w:snapToGrid w:val="0"/>
        <w:spacing w:line="440" w:lineRule="exact"/>
        <w:jc w:val="left"/>
        <w:rPr>
          <w:rFonts w:ascii="宋体" w:hAnsi="宋体"/>
          <w:color w:val="auto"/>
        </w:rPr>
      </w:pPr>
      <w:r>
        <w:rPr>
          <w:rFonts w:hint="eastAsia" w:ascii="宋体" w:hAnsi="宋体"/>
          <w:color w:val="auto"/>
        </w:rPr>
        <w:t>（</w:t>
      </w:r>
      <w:r>
        <w:rPr>
          <w:rFonts w:ascii="宋体" w:hAnsi="宋体"/>
          <w:color w:val="auto"/>
        </w:rPr>
        <w:t>2</w:t>
      </w:r>
      <w:r>
        <w:rPr>
          <w:rFonts w:hint="eastAsia" w:ascii="宋体" w:hAnsi="宋体"/>
          <w:color w:val="auto"/>
        </w:rPr>
        <w:t>）谈判过程中，谈判小组发现供应商的报价明显低于其他响应报价的，应当要求该供应商作出书面说明并提供相关证明。供应商不能合理说明或者不能提供相关证明的，由谈判小组认定该供应商以低于成本报价的；</w:t>
      </w:r>
    </w:p>
    <w:p>
      <w:pPr>
        <w:overflowPunct w:val="0"/>
        <w:adjustRightInd w:val="0"/>
        <w:snapToGrid w:val="0"/>
        <w:spacing w:line="440" w:lineRule="exact"/>
        <w:jc w:val="left"/>
        <w:rPr>
          <w:rFonts w:ascii="宋体" w:hAnsi="宋体"/>
          <w:color w:val="auto"/>
        </w:rPr>
      </w:pPr>
      <w:r>
        <w:rPr>
          <w:rFonts w:hint="eastAsia" w:ascii="宋体" w:hAnsi="宋体"/>
          <w:color w:val="auto"/>
        </w:rPr>
        <w:t>（</w:t>
      </w:r>
      <w:r>
        <w:rPr>
          <w:rFonts w:ascii="宋体" w:hAnsi="宋体"/>
          <w:color w:val="auto"/>
        </w:rPr>
        <w:t>3</w:t>
      </w:r>
      <w:r>
        <w:rPr>
          <w:rFonts w:hint="eastAsia" w:ascii="宋体" w:hAnsi="宋体"/>
          <w:color w:val="auto"/>
        </w:rPr>
        <w:t>）供应商资格条件不符合国家有关规定和谈判文件要求的；</w:t>
      </w:r>
    </w:p>
    <w:p>
      <w:pPr>
        <w:overflowPunct w:val="0"/>
        <w:adjustRightInd w:val="0"/>
        <w:snapToGrid w:val="0"/>
        <w:spacing w:line="440" w:lineRule="exact"/>
        <w:jc w:val="left"/>
        <w:rPr>
          <w:rFonts w:ascii="宋体" w:hAnsi="宋体"/>
          <w:color w:val="auto"/>
        </w:rPr>
      </w:pPr>
      <w:r>
        <w:rPr>
          <w:rFonts w:hint="eastAsia" w:ascii="宋体" w:hAnsi="宋体"/>
          <w:color w:val="auto"/>
        </w:rPr>
        <w:t>（</w:t>
      </w:r>
      <w:r>
        <w:rPr>
          <w:rFonts w:ascii="宋体" w:hAnsi="宋体"/>
          <w:color w:val="auto"/>
        </w:rPr>
        <w:t>4</w:t>
      </w:r>
      <w:r>
        <w:rPr>
          <w:rFonts w:hint="eastAsia" w:ascii="宋体" w:hAnsi="宋体"/>
          <w:color w:val="auto"/>
        </w:rPr>
        <w:t>）响应文件未对谈判文件提出的所有实质性要求和条件作出响应的。</w:t>
      </w:r>
    </w:p>
    <w:p>
      <w:pPr>
        <w:overflowPunct w:val="0"/>
        <w:adjustRightInd w:val="0"/>
        <w:snapToGrid w:val="0"/>
        <w:spacing w:line="440" w:lineRule="exact"/>
        <w:jc w:val="left"/>
        <w:rPr>
          <w:rFonts w:ascii="宋体" w:hAnsi="宋体"/>
          <w:color w:val="auto"/>
        </w:rPr>
      </w:pPr>
      <w:r>
        <w:rPr>
          <w:rFonts w:ascii="宋体" w:hAnsi="宋体"/>
          <w:color w:val="auto"/>
        </w:rPr>
        <w:t>33.3</w:t>
      </w:r>
      <w:r>
        <w:rPr>
          <w:rFonts w:hint="eastAsia" w:ascii="宋体" w:hAnsi="宋体"/>
          <w:color w:val="auto"/>
        </w:rPr>
        <w:t>供应商拒不按照要求对响应文件进行澄清、说明或者补正的，谈判小组可以否决其响应文件。</w:t>
      </w:r>
    </w:p>
    <w:p>
      <w:pPr>
        <w:pStyle w:val="9"/>
        <w:overflowPunct w:val="0"/>
        <w:adjustRightInd w:val="0"/>
        <w:snapToGrid w:val="0"/>
        <w:spacing w:before="0" w:after="0" w:line="440" w:lineRule="exact"/>
        <w:jc w:val="left"/>
        <w:rPr>
          <w:rFonts w:ascii="宋体" w:hAnsi="宋体"/>
          <w:color w:val="auto"/>
          <w:sz w:val="21"/>
          <w:szCs w:val="21"/>
        </w:rPr>
      </w:pPr>
      <w:bookmarkStart w:id="148" w:name="_Toc489284237"/>
      <w:bookmarkStart w:id="149" w:name="_Toc46309840"/>
      <w:r>
        <w:rPr>
          <w:rFonts w:ascii="宋体" w:hAnsi="宋体"/>
          <w:color w:val="auto"/>
          <w:sz w:val="21"/>
          <w:szCs w:val="21"/>
        </w:rPr>
        <w:t>34.</w:t>
      </w:r>
      <w:r>
        <w:rPr>
          <w:rFonts w:hint="eastAsia" w:ascii="宋体" w:hAnsi="宋体"/>
          <w:color w:val="auto"/>
          <w:sz w:val="21"/>
          <w:szCs w:val="21"/>
        </w:rPr>
        <w:t>响应文件的详细评审</w:t>
      </w:r>
      <w:bookmarkEnd w:id="148"/>
      <w:bookmarkEnd w:id="149"/>
    </w:p>
    <w:p>
      <w:pPr>
        <w:overflowPunct w:val="0"/>
        <w:adjustRightInd w:val="0"/>
        <w:snapToGrid w:val="0"/>
        <w:spacing w:line="440" w:lineRule="exact"/>
        <w:jc w:val="left"/>
        <w:rPr>
          <w:rFonts w:ascii="宋体" w:hAnsi="宋体"/>
          <w:color w:val="auto"/>
        </w:rPr>
      </w:pPr>
      <w:r>
        <w:rPr>
          <w:rFonts w:ascii="宋体" w:hAnsi="宋体"/>
          <w:color w:val="auto"/>
        </w:rPr>
        <w:t>34.1</w:t>
      </w:r>
      <w:r>
        <w:rPr>
          <w:rFonts w:hint="eastAsia" w:ascii="宋体" w:hAnsi="宋体"/>
          <w:color w:val="auto"/>
        </w:rPr>
        <w:t>谈判小组仅对实质上响应谈判文件要求的响应文件进行详细评审。</w:t>
      </w:r>
    </w:p>
    <w:p>
      <w:pPr>
        <w:overflowPunct w:val="0"/>
        <w:adjustRightInd w:val="0"/>
        <w:snapToGrid w:val="0"/>
        <w:spacing w:line="440" w:lineRule="exact"/>
        <w:jc w:val="left"/>
        <w:rPr>
          <w:rFonts w:ascii="宋体" w:hAnsi="宋体"/>
          <w:color w:val="auto"/>
        </w:rPr>
      </w:pPr>
      <w:r>
        <w:rPr>
          <w:rFonts w:ascii="宋体" w:hAnsi="宋体"/>
          <w:color w:val="auto"/>
        </w:rPr>
        <w:t>34.2</w:t>
      </w:r>
      <w:r>
        <w:rPr>
          <w:rFonts w:hint="eastAsia" w:ascii="宋体" w:hAnsi="宋体"/>
          <w:color w:val="auto"/>
        </w:rPr>
        <w:t>详细评审是谈判小组评审和比较经初步审查的响应文件是否最大限度地满足谈判文件中规定的各项评价标准</w:t>
      </w:r>
    </w:p>
    <w:p>
      <w:pPr>
        <w:overflowPunct w:val="0"/>
        <w:adjustRightInd w:val="0"/>
        <w:snapToGrid w:val="0"/>
        <w:spacing w:line="440" w:lineRule="exact"/>
        <w:jc w:val="left"/>
        <w:rPr>
          <w:rFonts w:ascii="宋体" w:hAnsi="宋体"/>
          <w:color w:val="auto"/>
        </w:rPr>
      </w:pPr>
      <w:r>
        <w:rPr>
          <w:rFonts w:ascii="宋体" w:hAnsi="宋体"/>
          <w:color w:val="auto"/>
        </w:rPr>
        <w:t>34.3</w:t>
      </w:r>
      <w:r>
        <w:rPr>
          <w:rFonts w:hint="eastAsia" w:ascii="宋体" w:hAnsi="宋体"/>
          <w:color w:val="auto"/>
        </w:rPr>
        <w:t>谈判小组按第四部分</w:t>
      </w:r>
      <w:r>
        <w:rPr>
          <w:rFonts w:ascii="宋体" w:hAnsi="宋体"/>
          <w:color w:val="auto"/>
        </w:rPr>
        <w:t>“</w:t>
      </w:r>
      <w:r>
        <w:rPr>
          <w:rFonts w:hint="eastAsia" w:ascii="宋体" w:hAnsi="宋体"/>
          <w:color w:val="auto"/>
        </w:rPr>
        <w:t>谈判办法</w:t>
      </w:r>
      <w:r>
        <w:rPr>
          <w:rFonts w:ascii="宋体" w:hAnsi="宋体"/>
          <w:color w:val="auto"/>
        </w:rPr>
        <w:t>”</w:t>
      </w:r>
      <w:r>
        <w:rPr>
          <w:rFonts w:hint="eastAsia" w:ascii="宋体" w:hAnsi="宋体"/>
          <w:color w:val="auto"/>
        </w:rPr>
        <w:t>中载明的方法及标准对响应文件作出评价，推荐成交候选供应商或者根据采购方的授权确定成交供应商。</w:t>
      </w:r>
    </w:p>
    <w:p>
      <w:pPr>
        <w:pStyle w:val="9"/>
        <w:overflowPunct w:val="0"/>
        <w:adjustRightInd w:val="0"/>
        <w:snapToGrid w:val="0"/>
        <w:spacing w:before="0" w:after="0" w:line="440" w:lineRule="exact"/>
        <w:jc w:val="left"/>
        <w:rPr>
          <w:rFonts w:ascii="宋体" w:hAnsi="宋体"/>
          <w:color w:val="auto"/>
          <w:sz w:val="21"/>
          <w:szCs w:val="21"/>
        </w:rPr>
      </w:pPr>
      <w:bookmarkStart w:id="150" w:name="_Toc46309841"/>
      <w:bookmarkStart w:id="151" w:name="_Toc489284238"/>
      <w:r>
        <w:rPr>
          <w:rFonts w:ascii="宋体" w:hAnsi="宋体"/>
          <w:color w:val="auto"/>
          <w:sz w:val="21"/>
          <w:szCs w:val="21"/>
        </w:rPr>
        <w:t>35.</w:t>
      </w:r>
      <w:r>
        <w:rPr>
          <w:rFonts w:hint="eastAsia" w:ascii="宋体" w:hAnsi="宋体"/>
          <w:color w:val="auto"/>
          <w:sz w:val="21"/>
          <w:szCs w:val="21"/>
        </w:rPr>
        <w:t>谈判过程的保密</w:t>
      </w:r>
      <w:bookmarkEnd w:id="150"/>
      <w:bookmarkEnd w:id="151"/>
    </w:p>
    <w:p>
      <w:pPr>
        <w:overflowPunct w:val="0"/>
        <w:adjustRightInd w:val="0"/>
        <w:snapToGrid w:val="0"/>
        <w:spacing w:line="440" w:lineRule="exact"/>
        <w:jc w:val="left"/>
        <w:rPr>
          <w:rFonts w:ascii="宋体" w:hAnsi="宋体"/>
          <w:color w:val="auto"/>
        </w:rPr>
      </w:pPr>
      <w:r>
        <w:rPr>
          <w:rFonts w:ascii="宋体" w:hAnsi="宋体"/>
          <w:color w:val="auto"/>
        </w:rPr>
        <w:t>35.1</w:t>
      </w:r>
      <w:r>
        <w:rPr>
          <w:rFonts w:hint="eastAsia" w:ascii="宋体" w:hAnsi="宋体"/>
          <w:color w:val="auto"/>
        </w:rPr>
        <w:t>在宣布成交供应商之前，凡属于审查、澄清、评价、比较响应文件等有关信息，均不得泄露给任何供应商或与谈判工作无关的人员。</w:t>
      </w:r>
    </w:p>
    <w:p>
      <w:pPr>
        <w:overflowPunct w:val="0"/>
        <w:adjustRightInd w:val="0"/>
        <w:snapToGrid w:val="0"/>
        <w:spacing w:line="440" w:lineRule="exact"/>
        <w:jc w:val="left"/>
        <w:rPr>
          <w:rFonts w:ascii="宋体" w:hAnsi="宋体"/>
          <w:color w:val="auto"/>
        </w:rPr>
      </w:pPr>
      <w:r>
        <w:rPr>
          <w:rFonts w:ascii="宋体" w:hAnsi="宋体"/>
          <w:color w:val="auto"/>
        </w:rPr>
        <w:t>35.2</w:t>
      </w:r>
      <w:r>
        <w:rPr>
          <w:rFonts w:hint="eastAsia" w:ascii="宋体" w:hAnsi="宋体"/>
          <w:color w:val="auto"/>
        </w:rPr>
        <w:t>供应商不得探听上述信息，不得以任何行为影响谈判过程，否则其响应文件将被判为无效响应文件。</w:t>
      </w:r>
    </w:p>
    <w:p>
      <w:pPr>
        <w:overflowPunct w:val="0"/>
        <w:adjustRightInd w:val="0"/>
        <w:snapToGrid w:val="0"/>
        <w:spacing w:line="440" w:lineRule="exact"/>
        <w:jc w:val="left"/>
        <w:rPr>
          <w:rFonts w:ascii="宋体" w:hAnsi="宋体"/>
          <w:color w:val="auto"/>
        </w:rPr>
      </w:pPr>
      <w:r>
        <w:rPr>
          <w:rFonts w:ascii="宋体" w:hAnsi="宋体"/>
          <w:color w:val="auto"/>
        </w:rPr>
        <w:t xml:space="preserve">35.3 </w:t>
      </w:r>
      <w:r>
        <w:rPr>
          <w:rFonts w:hint="eastAsia" w:ascii="宋体" w:hAnsi="宋体"/>
          <w:color w:val="auto"/>
        </w:rPr>
        <w:t>在谈判期间，采购方将指定采购代理项目负责人与供应商进行联络。</w:t>
      </w:r>
    </w:p>
    <w:p>
      <w:pPr>
        <w:pStyle w:val="26"/>
        <w:spacing w:line="500" w:lineRule="exact"/>
        <w:jc w:val="center"/>
        <w:rPr>
          <w:rFonts w:hAnsi="宋体" w:cs="Arial"/>
          <w:b/>
          <w:bCs/>
          <w:color w:val="auto"/>
          <w:kern w:val="2"/>
          <w:sz w:val="28"/>
          <w:szCs w:val="28"/>
        </w:rPr>
      </w:pPr>
      <w:r>
        <w:rPr>
          <w:rFonts w:hint="eastAsia" w:hAnsi="宋体" w:cs="Arial"/>
          <w:b/>
          <w:bCs/>
          <w:color w:val="auto"/>
          <w:kern w:val="2"/>
          <w:sz w:val="28"/>
          <w:szCs w:val="28"/>
        </w:rPr>
        <w:t>F  重新采购</w:t>
      </w:r>
    </w:p>
    <w:p>
      <w:pPr>
        <w:pStyle w:val="9"/>
        <w:overflowPunct w:val="0"/>
        <w:adjustRightInd w:val="0"/>
        <w:snapToGrid w:val="0"/>
        <w:spacing w:before="0" w:after="0" w:line="440" w:lineRule="exact"/>
        <w:jc w:val="left"/>
        <w:rPr>
          <w:rFonts w:ascii="宋体" w:hAnsi="宋体"/>
          <w:color w:val="auto"/>
          <w:sz w:val="21"/>
          <w:szCs w:val="21"/>
        </w:rPr>
      </w:pPr>
      <w:bookmarkStart w:id="152" w:name="_Toc46309842"/>
      <w:bookmarkStart w:id="153" w:name="_Toc489284239"/>
      <w:r>
        <w:rPr>
          <w:rFonts w:ascii="宋体" w:hAnsi="宋体"/>
          <w:color w:val="auto"/>
          <w:sz w:val="21"/>
          <w:szCs w:val="21"/>
        </w:rPr>
        <w:t>36.</w:t>
      </w:r>
      <w:r>
        <w:rPr>
          <w:rFonts w:hint="eastAsia" w:ascii="宋体" w:hAnsi="宋体"/>
          <w:color w:val="auto"/>
          <w:sz w:val="21"/>
          <w:szCs w:val="21"/>
        </w:rPr>
        <w:t>重新采购</w:t>
      </w:r>
      <w:bookmarkEnd w:id="152"/>
      <w:bookmarkEnd w:id="153"/>
    </w:p>
    <w:p>
      <w:pPr>
        <w:overflowPunct w:val="0"/>
        <w:adjustRightInd w:val="0"/>
        <w:snapToGrid w:val="0"/>
        <w:spacing w:line="440" w:lineRule="exact"/>
        <w:jc w:val="left"/>
        <w:rPr>
          <w:rFonts w:ascii="宋体" w:hAnsi="宋体"/>
          <w:color w:val="auto"/>
        </w:rPr>
      </w:pPr>
      <w:r>
        <w:rPr>
          <w:rFonts w:hint="eastAsia" w:ascii="宋体" w:hAnsi="宋体"/>
          <w:color w:val="auto"/>
        </w:rPr>
        <w:t>有下列情形之一的采购代理机构应当重新采购</w:t>
      </w:r>
      <w:r>
        <w:rPr>
          <w:rFonts w:ascii="宋体" w:hAnsi="宋体"/>
          <w:color w:val="auto"/>
        </w:rPr>
        <w:t>:</w:t>
      </w:r>
    </w:p>
    <w:p>
      <w:pPr>
        <w:overflowPunct w:val="0"/>
        <w:adjustRightInd w:val="0"/>
        <w:snapToGrid w:val="0"/>
        <w:spacing w:line="440" w:lineRule="exact"/>
        <w:jc w:val="left"/>
        <w:rPr>
          <w:rFonts w:ascii="宋体" w:hAnsi="宋体"/>
          <w:color w:val="auto"/>
        </w:rPr>
      </w:pPr>
      <w:r>
        <w:rPr>
          <w:rFonts w:ascii="宋体" w:hAnsi="宋体"/>
          <w:color w:val="auto"/>
        </w:rPr>
        <w:t>(1)</w:t>
      </w:r>
      <w:r>
        <w:rPr>
          <w:rFonts w:hint="eastAsia" w:ascii="宋体" w:hAnsi="宋体"/>
          <w:color w:val="auto"/>
        </w:rPr>
        <w:t>供应商少于三个的；</w:t>
      </w:r>
    </w:p>
    <w:p>
      <w:pPr>
        <w:overflowPunct w:val="0"/>
        <w:adjustRightInd w:val="0"/>
        <w:snapToGrid w:val="0"/>
        <w:spacing w:line="440" w:lineRule="exact"/>
        <w:jc w:val="left"/>
        <w:rPr>
          <w:rFonts w:ascii="宋体" w:hAnsi="宋体"/>
          <w:color w:val="auto"/>
        </w:rPr>
      </w:pPr>
      <w:r>
        <w:rPr>
          <w:rFonts w:ascii="宋体" w:hAnsi="宋体"/>
          <w:color w:val="auto"/>
        </w:rPr>
        <w:t>(2)</w:t>
      </w:r>
      <w:r>
        <w:rPr>
          <w:rFonts w:hint="eastAsia" w:ascii="宋体" w:hAnsi="宋体"/>
          <w:color w:val="auto"/>
        </w:rPr>
        <w:t>谈判小组评审认为响应文件均不满足响应性要求时否决所有供应商的；</w:t>
      </w:r>
    </w:p>
    <w:p>
      <w:pPr>
        <w:overflowPunct w:val="0"/>
        <w:adjustRightInd w:val="0"/>
        <w:snapToGrid w:val="0"/>
        <w:spacing w:line="440" w:lineRule="exact"/>
        <w:jc w:val="left"/>
        <w:rPr>
          <w:rFonts w:ascii="宋体" w:hAnsi="宋体"/>
          <w:color w:val="auto"/>
        </w:rPr>
      </w:pPr>
      <w:r>
        <w:rPr>
          <w:rFonts w:ascii="宋体" w:hAnsi="宋体"/>
          <w:color w:val="auto"/>
        </w:rPr>
        <w:t>(3)</w:t>
      </w:r>
      <w:r>
        <w:rPr>
          <w:rFonts w:hint="eastAsia" w:ascii="宋体" w:hAnsi="宋体"/>
          <w:color w:val="auto"/>
        </w:rPr>
        <w:t>谈判小组对一部分无效响应文件处理后其他有效供应商不足三个使得谈判明显缺乏竞争而决定否决全部响应文件的。</w:t>
      </w:r>
    </w:p>
    <w:p>
      <w:pPr>
        <w:pStyle w:val="26"/>
        <w:spacing w:line="500" w:lineRule="exact"/>
        <w:jc w:val="center"/>
        <w:rPr>
          <w:rFonts w:hAnsi="宋体" w:cs="Arial"/>
          <w:b/>
          <w:bCs/>
          <w:color w:val="auto"/>
          <w:kern w:val="2"/>
          <w:sz w:val="28"/>
          <w:szCs w:val="28"/>
        </w:rPr>
      </w:pPr>
      <w:r>
        <w:rPr>
          <w:rFonts w:hint="eastAsia" w:hAnsi="宋体" w:cs="Arial"/>
          <w:b/>
          <w:bCs/>
          <w:color w:val="auto"/>
          <w:kern w:val="2"/>
          <w:sz w:val="28"/>
          <w:szCs w:val="28"/>
        </w:rPr>
        <w:t>G  成交及签约</w:t>
      </w:r>
    </w:p>
    <w:p>
      <w:pPr>
        <w:pStyle w:val="9"/>
        <w:overflowPunct w:val="0"/>
        <w:adjustRightInd w:val="0"/>
        <w:snapToGrid w:val="0"/>
        <w:spacing w:before="0" w:after="0" w:line="440" w:lineRule="exact"/>
        <w:jc w:val="left"/>
        <w:rPr>
          <w:rFonts w:ascii="宋体" w:hAnsi="宋体"/>
          <w:color w:val="auto"/>
          <w:sz w:val="21"/>
          <w:szCs w:val="21"/>
        </w:rPr>
      </w:pPr>
      <w:bookmarkStart w:id="154" w:name="_Toc489284240"/>
      <w:bookmarkStart w:id="155" w:name="_Toc46309843"/>
      <w:r>
        <w:rPr>
          <w:rFonts w:ascii="宋体" w:hAnsi="宋体"/>
          <w:color w:val="auto"/>
          <w:sz w:val="21"/>
          <w:szCs w:val="21"/>
        </w:rPr>
        <w:t xml:space="preserve">37. </w:t>
      </w:r>
      <w:bookmarkEnd w:id="154"/>
      <w:r>
        <w:rPr>
          <w:rFonts w:hint="eastAsia" w:ascii="宋体" w:hAnsi="宋体"/>
          <w:color w:val="auto"/>
          <w:sz w:val="21"/>
          <w:szCs w:val="21"/>
        </w:rPr>
        <w:t>成交</w:t>
      </w:r>
      <w:bookmarkEnd w:id="155"/>
    </w:p>
    <w:p>
      <w:pPr>
        <w:overflowPunct w:val="0"/>
        <w:adjustRightInd w:val="0"/>
        <w:snapToGrid w:val="0"/>
        <w:spacing w:line="440" w:lineRule="exact"/>
        <w:jc w:val="left"/>
        <w:rPr>
          <w:rFonts w:ascii="宋体" w:hAnsi="宋体"/>
          <w:color w:val="auto"/>
        </w:rPr>
      </w:pPr>
      <w:r>
        <w:rPr>
          <w:rFonts w:ascii="宋体" w:hAnsi="宋体"/>
          <w:color w:val="auto"/>
        </w:rPr>
        <w:t>37.1</w:t>
      </w:r>
      <w:r>
        <w:rPr>
          <w:rFonts w:hint="eastAsia" w:ascii="宋体" w:hAnsi="宋体"/>
          <w:color w:val="auto"/>
        </w:rPr>
        <w:t>采购代理机构应在评审结束后</w:t>
      </w:r>
      <w:r>
        <w:rPr>
          <w:rFonts w:ascii="宋体" w:hAnsi="宋体"/>
          <w:color w:val="auto"/>
        </w:rPr>
        <w:t>2</w:t>
      </w:r>
      <w:r>
        <w:rPr>
          <w:rFonts w:hint="eastAsia" w:ascii="宋体" w:hAnsi="宋体"/>
          <w:color w:val="auto"/>
        </w:rPr>
        <w:t>个工作日内，将评审报告送采购人确认。</w:t>
      </w:r>
    </w:p>
    <w:p>
      <w:pPr>
        <w:overflowPunct w:val="0"/>
        <w:adjustRightInd w:val="0"/>
        <w:snapToGrid w:val="0"/>
        <w:spacing w:line="440" w:lineRule="exact"/>
        <w:jc w:val="left"/>
        <w:rPr>
          <w:rFonts w:ascii="宋体" w:hAnsi="宋体"/>
          <w:color w:val="auto"/>
        </w:rPr>
      </w:pPr>
      <w:r>
        <w:rPr>
          <w:rFonts w:ascii="宋体" w:hAnsi="宋体"/>
          <w:color w:val="auto"/>
        </w:rPr>
        <w:t>37.2</w:t>
      </w:r>
      <w:r>
        <w:rPr>
          <w:rFonts w:hint="eastAsia" w:ascii="宋体" w:hAnsi="宋体"/>
          <w:color w:val="auto"/>
        </w:rPr>
        <w:t>采购人在收到评审报告后3个工作日内，根据评审报告对评审过程及结果进行严格审核后确定成交供应商，复函采购代理机构。</w:t>
      </w:r>
    </w:p>
    <w:p>
      <w:pPr>
        <w:overflowPunct w:val="0"/>
        <w:adjustRightInd w:val="0"/>
        <w:snapToGrid w:val="0"/>
        <w:spacing w:line="440" w:lineRule="exact"/>
        <w:jc w:val="left"/>
        <w:rPr>
          <w:rFonts w:ascii="宋体" w:hAnsi="宋体"/>
          <w:color w:val="auto"/>
        </w:rPr>
      </w:pPr>
      <w:r>
        <w:rPr>
          <w:rFonts w:ascii="宋体" w:hAnsi="宋体"/>
          <w:color w:val="auto"/>
        </w:rPr>
        <w:t>37.3</w:t>
      </w:r>
      <w:r>
        <w:rPr>
          <w:rFonts w:hint="eastAsia" w:ascii="宋体" w:hAnsi="宋体"/>
          <w:color w:val="auto"/>
        </w:rPr>
        <w:t>采购代理机构在接到采购人的成交供应商复函后，向成交供应商发《成交通知书》。</w:t>
      </w:r>
    </w:p>
    <w:p>
      <w:pPr>
        <w:overflowPunct w:val="0"/>
        <w:adjustRightInd w:val="0"/>
        <w:snapToGrid w:val="0"/>
        <w:spacing w:line="440" w:lineRule="exact"/>
        <w:jc w:val="left"/>
        <w:rPr>
          <w:rFonts w:ascii="宋体" w:hAnsi="宋体"/>
          <w:color w:val="auto"/>
        </w:rPr>
      </w:pPr>
      <w:r>
        <w:rPr>
          <w:rFonts w:ascii="宋体" w:hAnsi="宋体"/>
          <w:color w:val="auto"/>
        </w:rPr>
        <w:t>37.</w:t>
      </w:r>
      <w:r>
        <w:rPr>
          <w:rFonts w:hint="eastAsia" w:ascii="宋体" w:hAnsi="宋体"/>
          <w:color w:val="auto"/>
        </w:rPr>
        <w:t>4《成交通知书》将作为签订合同的依据，谈判文件、成交供应商的响应文件和补充文件（如澄清、承诺等）等，均为有法律约束力的经济合同组成的一部分。</w:t>
      </w:r>
    </w:p>
    <w:p>
      <w:pPr>
        <w:overflowPunct w:val="0"/>
        <w:adjustRightInd w:val="0"/>
        <w:snapToGrid w:val="0"/>
        <w:spacing w:line="440" w:lineRule="exact"/>
        <w:jc w:val="left"/>
        <w:rPr>
          <w:rFonts w:ascii="宋体" w:hAnsi="宋体"/>
          <w:color w:val="auto"/>
        </w:rPr>
      </w:pPr>
      <w:r>
        <w:rPr>
          <w:rFonts w:ascii="宋体" w:hAnsi="宋体"/>
          <w:color w:val="auto"/>
        </w:rPr>
        <w:t>37.</w:t>
      </w:r>
      <w:r>
        <w:rPr>
          <w:rFonts w:hint="eastAsia" w:ascii="宋体" w:hAnsi="宋体"/>
          <w:color w:val="auto"/>
        </w:rPr>
        <w:t>5《成交通知书》发出7天内，如果已成交的供应商不能按响应文件，包括补充文件（如澄清、承诺等）中承诺的条件履行签约行为，采购人有权取消其成交资格。</w:t>
      </w:r>
    </w:p>
    <w:p>
      <w:pPr>
        <w:overflowPunct w:val="0"/>
        <w:adjustRightInd w:val="0"/>
        <w:snapToGrid w:val="0"/>
        <w:spacing w:line="440" w:lineRule="exact"/>
        <w:jc w:val="left"/>
        <w:rPr>
          <w:rFonts w:ascii="宋体" w:hAnsi="宋体"/>
          <w:color w:val="auto"/>
        </w:rPr>
      </w:pPr>
      <w:r>
        <w:rPr>
          <w:rFonts w:ascii="宋体" w:hAnsi="宋体"/>
          <w:color w:val="auto"/>
        </w:rPr>
        <w:t>37.</w:t>
      </w:r>
      <w:r>
        <w:rPr>
          <w:rFonts w:hint="eastAsia" w:ascii="宋体" w:hAnsi="宋体"/>
          <w:color w:val="auto"/>
        </w:rPr>
        <w:t>6成交供应商如果因不可抗力或自身原因不能履行采购合同，采购人可与排位在成交供应商之后第一位的成交候选供应商签订采购合同。</w:t>
      </w:r>
    </w:p>
    <w:p>
      <w:pPr>
        <w:overflowPunct w:val="0"/>
        <w:adjustRightInd w:val="0"/>
        <w:snapToGrid w:val="0"/>
        <w:spacing w:line="440" w:lineRule="exact"/>
        <w:jc w:val="left"/>
        <w:rPr>
          <w:rFonts w:ascii="宋体" w:hAnsi="宋体"/>
          <w:color w:val="auto"/>
        </w:rPr>
      </w:pPr>
      <w:r>
        <w:rPr>
          <w:rFonts w:ascii="宋体" w:hAnsi="宋体"/>
          <w:color w:val="auto"/>
        </w:rPr>
        <w:t>37.</w:t>
      </w:r>
      <w:r>
        <w:rPr>
          <w:rFonts w:hint="eastAsia" w:ascii="宋体" w:hAnsi="宋体"/>
          <w:color w:val="auto"/>
        </w:rPr>
        <w:t>7采购方将根据谈判小组的书面谈判报告，依据法律法规确定成交供应商。采购方不得在谈判小组推荐的成交候选供应商之外确定成交供应商，否则成交结果无效。</w:t>
      </w:r>
    </w:p>
    <w:p>
      <w:pPr>
        <w:overflowPunct w:val="0"/>
        <w:adjustRightInd w:val="0"/>
        <w:snapToGrid w:val="0"/>
        <w:spacing w:line="440" w:lineRule="exact"/>
        <w:jc w:val="left"/>
        <w:rPr>
          <w:rFonts w:ascii="宋体" w:hAnsi="宋体"/>
          <w:color w:val="auto"/>
        </w:rPr>
      </w:pPr>
      <w:r>
        <w:rPr>
          <w:rFonts w:ascii="宋体" w:hAnsi="宋体"/>
          <w:color w:val="auto"/>
        </w:rPr>
        <w:t>37.</w:t>
      </w:r>
      <w:r>
        <w:rPr>
          <w:rFonts w:hint="eastAsia" w:ascii="宋体" w:hAnsi="宋体"/>
          <w:color w:val="auto"/>
        </w:rPr>
        <w:t>8采购方对谈判小组推荐的成交候选供应商（成交供应商）及其响应文件作最终审查，进一步核查其财务、服务能力、履行合同的能力以及信誉和同类项目业绩。</w:t>
      </w:r>
    </w:p>
    <w:p>
      <w:pPr>
        <w:pStyle w:val="9"/>
        <w:overflowPunct w:val="0"/>
        <w:adjustRightInd w:val="0"/>
        <w:snapToGrid w:val="0"/>
        <w:spacing w:before="0" w:after="0" w:line="440" w:lineRule="exact"/>
        <w:jc w:val="left"/>
        <w:rPr>
          <w:rFonts w:ascii="宋体" w:hAnsi="宋体"/>
          <w:color w:val="auto"/>
          <w:sz w:val="21"/>
          <w:szCs w:val="21"/>
        </w:rPr>
      </w:pPr>
      <w:bookmarkStart w:id="156" w:name="_Toc46309844"/>
      <w:bookmarkStart w:id="157" w:name="_Toc489284241"/>
      <w:r>
        <w:rPr>
          <w:rFonts w:ascii="宋体" w:hAnsi="宋体"/>
          <w:color w:val="auto"/>
          <w:sz w:val="21"/>
          <w:szCs w:val="21"/>
        </w:rPr>
        <w:t>38.</w:t>
      </w:r>
      <w:r>
        <w:rPr>
          <w:rFonts w:hint="eastAsia" w:ascii="宋体" w:hAnsi="宋体"/>
          <w:color w:val="auto"/>
          <w:sz w:val="21"/>
          <w:szCs w:val="21"/>
        </w:rPr>
        <w:t>接受和拒绝任何或所有谈判的权力</w:t>
      </w:r>
      <w:bookmarkEnd w:id="156"/>
      <w:bookmarkEnd w:id="157"/>
    </w:p>
    <w:p>
      <w:pPr>
        <w:overflowPunct w:val="0"/>
        <w:adjustRightInd w:val="0"/>
        <w:snapToGrid w:val="0"/>
        <w:spacing w:line="440" w:lineRule="exact"/>
        <w:jc w:val="left"/>
        <w:rPr>
          <w:rFonts w:ascii="宋体" w:hAnsi="宋体"/>
          <w:color w:val="auto"/>
        </w:rPr>
      </w:pPr>
      <w:r>
        <w:rPr>
          <w:rFonts w:ascii="宋体" w:hAnsi="宋体"/>
          <w:color w:val="auto"/>
        </w:rPr>
        <w:t>38.1</w:t>
      </w:r>
      <w:r>
        <w:rPr>
          <w:rFonts w:hint="eastAsia" w:ascii="宋体" w:hAnsi="宋体"/>
          <w:color w:val="auto"/>
        </w:rPr>
        <w:t>采购方保留在成交之前任何时候出现特殊情况，经谈判小组认定后，可以接受或拒绝任何谈判的权力，对受影响的供应商不承担任何责任，也没有向供应商解释其理由的义务。</w:t>
      </w:r>
    </w:p>
    <w:p>
      <w:pPr>
        <w:pStyle w:val="9"/>
        <w:overflowPunct w:val="0"/>
        <w:adjustRightInd w:val="0"/>
        <w:snapToGrid w:val="0"/>
        <w:spacing w:before="0" w:after="0" w:line="440" w:lineRule="exact"/>
        <w:jc w:val="left"/>
        <w:rPr>
          <w:rFonts w:ascii="宋体" w:hAnsi="宋体"/>
          <w:color w:val="auto"/>
          <w:sz w:val="21"/>
          <w:szCs w:val="21"/>
        </w:rPr>
      </w:pPr>
      <w:bookmarkStart w:id="158" w:name="_Toc489284242"/>
      <w:bookmarkStart w:id="159" w:name="_Toc46309845"/>
      <w:r>
        <w:rPr>
          <w:rFonts w:ascii="宋体" w:hAnsi="宋体"/>
          <w:color w:val="auto"/>
          <w:sz w:val="21"/>
          <w:szCs w:val="21"/>
        </w:rPr>
        <w:t>39.</w:t>
      </w:r>
      <w:r>
        <w:rPr>
          <w:rFonts w:hint="eastAsia" w:ascii="宋体" w:hAnsi="宋体"/>
          <w:color w:val="auto"/>
          <w:sz w:val="21"/>
          <w:szCs w:val="21"/>
        </w:rPr>
        <w:t>成交通知</w:t>
      </w:r>
      <w:bookmarkEnd w:id="158"/>
      <w:bookmarkEnd w:id="159"/>
    </w:p>
    <w:p>
      <w:pPr>
        <w:overflowPunct w:val="0"/>
        <w:adjustRightInd w:val="0"/>
        <w:snapToGrid w:val="0"/>
        <w:spacing w:line="440" w:lineRule="exact"/>
        <w:jc w:val="left"/>
        <w:rPr>
          <w:rFonts w:ascii="宋体" w:hAnsi="宋体"/>
          <w:color w:val="auto"/>
        </w:rPr>
      </w:pPr>
      <w:r>
        <w:rPr>
          <w:rFonts w:ascii="宋体" w:hAnsi="宋体"/>
          <w:color w:val="auto"/>
        </w:rPr>
        <w:t>39.1</w:t>
      </w:r>
      <w:r>
        <w:rPr>
          <w:rFonts w:hint="eastAsia" w:ascii="宋体" w:hAnsi="宋体"/>
          <w:color w:val="auto"/>
        </w:rPr>
        <w:t>在采购人确定成交供应商后，采购代理机构向成交供应商发出书面成交通知书。</w:t>
      </w:r>
    </w:p>
    <w:p>
      <w:pPr>
        <w:pStyle w:val="9"/>
        <w:overflowPunct w:val="0"/>
        <w:adjustRightInd w:val="0"/>
        <w:snapToGrid w:val="0"/>
        <w:spacing w:before="0" w:after="0" w:line="440" w:lineRule="exact"/>
        <w:jc w:val="left"/>
        <w:rPr>
          <w:rFonts w:ascii="宋体" w:hAnsi="宋体"/>
          <w:color w:val="auto"/>
          <w:sz w:val="21"/>
          <w:szCs w:val="21"/>
        </w:rPr>
      </w:pPr>
      <w:bookmarkStart w:id="160" w:name="_Toc46309846"/>
      <w:bookmarkStart w:id="161" w:name="_Toc489284243"/>
      <w:r>
        <w:rPr>
          <w:rFonts w:ascii="宋体" w:hAnsi="宋体"/>
          <w:color w:val="auto"/>
          <w:sz w:val="21"/>
          <w:szCs w:val="21"/>
        </w:rPr>
        <w:t>40.</w:t>
      </w:r>
      <w:r>
        <w:rPr>
          <w:rFonts w:hint="eastAsia" w:ascii="宋体" w:hAnsi="宋体"/>
          <w:color w:val="auto"/>
          <w:sz w:val="21"/>
          <w:szCs w:val="21"/>
        </w:rPr>
        <w:t>签订合同</w:t>
      </w:r>
      <w:bookmarkEnd w:id="160"/>
      <w:bookmarkEnd w:id="161"/>
    </w:p>
    <w:p>
      <w:pPr>
        <w:overflowPunct w:val="0"/>
        <w:adjustRightInd w:val="0"/>
        <w:snapToGrid w:val="0"/>
        <w:spacing w:line="440" w:lineRule="exact"/>
        <w:jc w:val="left"/>
        <w:rPr>
          <w:rFonts w:ascii="宋体" w:hAnsi="宋体"/>
          <w:color w:val="auto"/>
        </w:rPr>
      </w:pPr>
      <w:r>
        <w:rPr>
          <w:rFonts w:ascii="宋体" w:hAnsi="宋体"/>
          <w:color w:val="auto"/>
        </w:rPr>
        <w:t>40.1</w:t>
      </w:r>
      <w:r>
        <w:rPr>
          <w:rFonts w:hint="eastAsia" w:ascii="宋体" w:hAnsi="宋体"/>
          <w:color w:val="auto"/>
        </w:rPr>
        <w:t>成交供应商收到成交通知书后，应按指定时间、地点，根据谈判文件和响应文件与采购方签订合同。必要时可请公证机构对合同进行公证。</w:t>
      </w:r>
    </w:p>
    <w:p>
      <w:pPr>
        <w:overflowPunct w:val="0"/>
        <w:adjustRightInd w:val="0"/>
        <w:snapToGrid w:val="0"/>
        <w:spacing w:line="440" w:lineRule="exact"/>
        <w:jc w:val="left"/>
        <w:rPr>
          <w:rFonts w:ascii="宋体" w:hAnsi="宋体"/>
          <w:color w:val="auto"/>
        </w:rPr>
      </w:pPr>
      <w:r>
        <w:rPr>
          <w:rFonts w:ascii="宋体" w:hAnsi="宋体"/>
          <w:color w:val="auto"/>
        </w:rPr>
        <w:t>40.2</w:t>
      </w:r>
      <w:r>
        <w:rPr>
          <w:rFonts w:hint="eastAsia" w:ascii="宋体" w:hAnsi="宋体"/>
          <w:color w:val="auto"/>
        </w:rPr>
        <w:t>谈判文件、成交供应商的响应文件、对响应文件的书面澄清、成交通知书等均应作为合同附件。</w:t>
      </w:r>
    </w:p>
    <w:p>
      <w:pPr>
        <w:pStyle w:val="9"/>
        <w:overflowPunct w:val="0"/>
        <w:adjustRightInd w:val="0"/>
        <w:snapToGrid w:val="0"/>
        <w:spacing w:before="0" w:after="0" w:line="440" w:lineRule="exact"/>
        <w:jc w:val="left"/>
        <w:rPr>
          <w:rFonts w:ascii="宋体" w:hAnsi="宋体"/>
          <w:color w:val="auto"/>
          <w:sz w:val="21"/>
          <w:szCs w:val="21"/>
        </w:rPr>
      </w:pPr>
      <w:bookmarkStart w:id="162" w:name="_Toc311415613"/>
      <w:bookmarkStart w:id="163" w:name="_Toc46309847"/>
      <w:bookmarkStart w:id="164" w:name="_Toc489284245"/>
      <w:r>
        <w:rPr>
          <w:rFonts w:hint="eastAsia" w:ascii="宋体" w:hAnsi="宋体"/>
          <w:color w:val="auto"/>
          <w:sz w:val="21"/>
          <w:szCs w:val="21"/>
        </w:rPr>
        <w:t>41.腐败和欺诈行为</w:t>
      </w:r>
      <w:bookmarkEnd w:id="162"/>
      <w:bookmarkEnd w:id="163"/>
      <w:bookmarkEnd w:id="164"/>
    </w:p>
    <w:p>
      <w:pPr>
        <w:overflowPunct w:val="0"/>
        <w:adjustRightInd w:val="0"/>
        <w:snapToGrid w:val="0"/>
        <w:spacing w:line="440" w:lineRule="exact"/>
        <w:jc w:val="left"/>
        <w:rPr>
          <w:rFonts w:ascii="宋体" w:hAnsi="宋体"/>
          <w:color w:val="auto"/>
        </w:rPr>
      </w:pPr>
      <w:r>
        <w:rPr>
          <w:rFonts w:ascii="宋体" w:hAnsi="宋体"/>
          <w:color w:val="auto"/>
        </w:rPr>
        <w:t>4</w:t>
      </w:r>
      <w:r>
        <w:rPr>
          <w:rFonts w:hint="eastAsia" w:ascii="宋体" w:hAnsi="宋体"/>
          <w:color w:val="auto"/>
        </w:rPr>
        <w:t>1</w:t>
      </w:r>
      <w:r>
        <w:rPr>
          <w:rFonts w:ascii="宋体" w:hAnsi="宋体"/>
          <w:color w:val="auto"/>
        </w:rPr>
        <w:t xml:space="preserve">.1 </w:t>
      </w:r>
      <w:r>
        <w:rPr>
          <w:rFonts w:hint="eastAsia" w:ascii="宋体" w:hAnsi="宋体"/>
          <w:color w:val="auto"/>
        </w:rPr>
        <w:t>定义</w:t>
      </w:r>
    </w:p>
    <w:p>
      <w:pPr>
        <w:overflowPunct w:val="0"/>
        <w:adjustRightInd w:val="0"/>
        <w:snapToGrid w:val="0"/>
        <w:spacing w:line="440" w:lineRule="exact"/>
        <w:jc w:val="left"/>
        <w:rPr>
          <w:rFonts w:ascii="宋体" w:hAnsi="宋体"/>
          <w:color w:val="auto"/>
        </w:rPr>
      </w:pPr>
      <w:r>
        <w:rPr>
          <w:rFonts w:ascii="宋体" w:hAnsi="宋体"/>
          <w:color w:val="auto"/>
        </w:rPr>
        <w:t>a. “</w:t>
      </w:r>
      <w:r>
        <w:rPr>
          <w:rFonts w:hint="eastAsia" w:ascii="宋体" w:hAnsi="宋体"/>
          <w:color w:val="auto"/>
        </w:rPr>
        <w:t>腐败行为</w:t>
      </w:r>
      <w:r>
        <w:rPr>
          <w:rFonts w:ascii="宋体" w:hAnsi="宋体"/>
          <w:color w:val="auto"/>
        </w:rPr>
        <w:t>”</w:t>
      </w:r>
      <w:r>
        <w:rPr>
          <w:rFonts w:hint="eastAsia" w:ascii="宋体" w:hAnsi="宋体"/>
          <w:color w:val="auto"/>
        </w:rPr>
        <w:t>是指提供给予接受或索取任何有价值的东西来影响采购代理机构和</w:t>
      </w:r>
      <w:r>
        <w:rPr>
          <w:rFonts w:ascii="宋体" w:hAnsi="宋体"/>
          <w:color w:val="auto"/>
        </w:rPr>
        <w:t>/</w:t>
      </w:r>
      <w:r>
        <w:rPr>
          <w:rFonts w:hint="eastAsia" w:ascii="宋体" w:hAnsi="宋体"/>
          <w:color w:val="auto"/>
        </w:rPr>
        <w:t>或采购人在采购过程或合同实施过程中的行为。</w:t>
      </w:r>
    </w:p>
    <w:p>
      <w:pPr>
        <w:overflowPunct w:val="0"/>
        <w:adjustRightInd w:val="0"/>
        <w:snapToGrid w:val="0"/>
        <w:spacing w:line="440" w:lineRule="exact"/>
        <w:jc w:val="left"/>
        <w:rPr>
          <w:color w:val="auto"/>
        </w:rPr>
      </w:pPr>
      <w:r>
        <w:rPr>
          <w:rFonts w:ascii="宋体" w:hAnsi="宋体"/>
          <w:color w:val="auto"/>
        </w:rPr>
        <w:t>b. “</w:t>
      </w:r>
      <w:r>
        <w:rPr>
          <w:rFonts w:hint="eastAsia" w:ascii="宋体" w:hAnsi="宋体"/>
          <w:color w:val="auto"/>
        </w:rPr>
        <w:t>欺诈行为</w:t>
      </w:r>
      <w:r>
        <w:rPr>
          <w:rFonts w:ascii="宋体" w:hAnsi="宋体"/>
          <w:color w:val="auto"/>
        </w:rPr>
        <w:t>”</w:t>
      </w:r>
      <w:r>
        <w:rPr>
          <w:rFonts w:hint="eastAsia" w:ascii="宋体" w:hAnsi="宋体"/>
          <w:color w:val="auto"/>
        </w:rPr>
        <w:t>是指为了影响采购过程或合同实施过程而谎报事实，损害采购代理机构和</w:t>
      </w:r>
      <w:r>
        <w:rPr>
          <w:rFonts w:ascii="宋体" w:hAnsi="宋体"/>
          <w:color w:val="auto"/>
        </w:rPr>
        <w:t>/</w:t>
      </w:r>
      <w:r>
        <w:rPr>
          <w:rFonts w:hint="eastAsia" w:ascii="宋体" w:hAnsi="宋体"/>
          <w:color w:val="auto"/>
        </w:rPr>
        <w:t>或采购人的利益，包括供应商之间相互串通（递交响应文件之前和之后），人为地使谈判丧失竞争性，剥夺采购人从自由公开竞争所能获得的权益。</w:t>
      </w:r>
      <w:bookmarkStart w:id="165" w:name="_Toc46309848"/>
      <w:bookmarkStart w:id="166" w:name="_Toc46310026"/>
    </w:p>
    <w:p>
      <w:pPr>
        <w:pStyle w:val="7"/>
        <w:spacing w:line="360" w:lineRule="auto"/>
        <w:jc w:val="center"/>
        <w:rPr>
          <w:rFonts w:ascii="宋体" w:hAnsi="宋体" w:cs="Arial"/>
          <w:color w:val="auto"/>
          <w:kern w:val="2"/>
          <w:sz w:val="28"/>
          <w:szCs w:val="28"/>
        </w:rPr>
      </w:pPr>
    </w:p>
    <w:p>
      <w:pPr>
        <w:pStyle w:val="7"/>
        <w:spacing w:line="360" w:lineRule="auto"/>
        <w:jc w:val="center"/>
        <w:rPr>
          <w:rFonts w:ascii="宋体" w:hAnsi="宋体" w:cs="Arial"/>
          <w:color w:val="auto"/>
          <w:kern w:val="2"/>
          <w:sz w:val="28"/>
          <w:szCs w:val="28"/>
        </w:rPr>
      </w:pPr>
    </w:p>
    <w:p>
      <w:pPr>
        <w:pStyle w:val="7"/>
        <w:spacing w:line="360" w:lineRule="auto"/>
        <w:jc w:val="center"/>
        <w:rPr>
          <w:rFonts w:ascii="宋体" w:hAnsi="宋体" w:cs="Arial"/>
          <w:color w:val="auto"/>
          <w:kern w:val="2"/>
          <w:sz w:val="28"/>
          <w:szCs w:val="28"/>
        </w:rPr>
      </w:pPr>
    </w:p>
    <w:p>
      <w:pPr>
        <w:pStyle w:val="7"/>
        <w:spacing w:line="360" w:lineRule="auto"/>
        <w:jc w:val="center"/>
        <w:rPr>
          <w:rFonts w:ascii="宋体" w:hAnsi="宋体" w:cs="Arial"/>
          <w:color w:val="auto"/>
          <w:kern w:val="2"/>
          <w:sz w:val="28"/>
          <w:szCs w:val="28"/>
        </w:rPr>
      </w:pPr>
    </w:p>
    <w:p>
      <w:pPr>
        <w:pStyle w:val="7"/>
        <w:spacing w:line="360" w:lineRule="auto"/>
        <w:jc w:val="center"/>
        <w:rPr>
          <w:rFonts w:ascii="宋体" w:hAnsi="宋体" w:cs="Arial"/>
          <w:color w:val="auto"/>
          <w:kern w:val="2"/>
          <w:sz w:val="28"/>
          <w:szCs w:val="28"/>
        </w:rPr>
      </w:pPr>
    </w:p>
    <w:p>
      <w:pPr>
        <w:pStyle w:val="7"/>
        <w:spacing w:line="360" w:lineRule="auto"/>
        <w:rPr>
          <w:rFonts w:ascii="宋体" w:hAnsi="宋体" w:cs="Arial"/>
          <w:color w:val="auto"/>
          <w:kern w:val="2"/>
          <w:sz w:val="28"/>
          <w:szCs w:val="28"/>
        </w:rPr>
      </w:pPr>
    </w:p>
    <w:p>
      <w:pPr>
        <w:pStyle w:val="7"/>
        <w:spacing w:line="360" w:lineRule="auto"/>
        <w:rPr>
          <w:rFonts w:ascii="宋体" w:hAnsi="宋体" w:cs="Arial"/>
          <w:color w:val="auto"/>
          <w:kern w:val="2"/>
          <w:sz w:val="28"/>
          <w:szCs w:val="28"/>
        </w:rPr>
      </w:pPr>
    </w:p>
    <w:p>
      <w:pPr>
        <w:rPr>
          <w:color w:val="auto"/>
        </w:rPr>
      </w:pPr>
    </w:p>
    <w:p>
      <w:pPr>
        <w:pStyle w:val="7"/>
        <w:spacing w:line="360" w:lineRule="auto"/>
        <w:jc w:val="center"/>
        <w:rPr>
          <w:rFonts w:ascii="宋体" w:hAnsi="宋体" w:cs="Arial"/>
          <w:color w:val="auto"/>
          <w:kern w:val="2"/>
          <w:sz w:val="28"/>
          <w:szCs w:val="28"/>
        </w:rPr>
      </w:pPr>
      <w:r>
        <w:rPr>
          <w:rFonts w:hint="eastAsia" w:ascii="宋体" w:hAnsi="宋体" w:cs="Arial"/>
          <w:color w:val="auto"/>
          <w:kern w:val="2"/>
          <w:sz w:val="28"/>
          <w:szCs w:val="28"/>
        </w:rPr>
        <w:t>第三部分  谈判办法</w:t>
      </w:r>
      <w:bookmarkEnd w:id="165"/>
      <w:bookmarkEnd w:id="166"/>
    </w:p>
    <w:p>
      <w:pPr>
        <w:spacing w:line="440" w:lineRule="exact"/>
        <w:ind w:firstLine="422" w:firstLineChars="200"/>
        <w:jc w:val="left"/>
        <w:rPr>
          <w:rFonts w:ascii="宋体" w:hAnsi="宋体"/>
          <w:b/>
          <w:color w:val="auto"/>
        </w:rPr>
      </w:pPr>
      <w:r>
        <w:rPr>
          <w:rFonts w:ascii="宋体" w:hAnsi="宋体"/>
          <w:b/>
          <w:color w:val="auto"/>
        </w:rPr>
        <w:t xml:space="preserve">1. </w:t>
      </w:r>
      <w:r>
        <w:rPr>
          <w:rFonts w:hint="eastAsia" w:ascii="宋体" w:hAnsi="宋体"/>
          <w:b/>
          <w:color w:val="auto"/>
        </w:rPr>
        <w:t>谈判原则</w:t>
      </w:r>
    </w:p>
    <w:p>
      <w:pPr>
        <w:spacing w:line="440" w:lineRule="exact"/>
        <w:ind w:firstLine="420" w:firstLineChars="200"/>
        <w:jc w:val="left"/>
        <w:rPr>
          <w:rFonts w:ascii="宋体" w:hAnsi="宋体"/>
          <w:color w:val="auto"/>
        </w:rPr>
      </w:pPr>
      <w:r>
        <w:rPr>
          <w:rFonts w:ascii="宋体" w:hAnsi="宋体"/>
          <w:color w:val="auto"/>
        </w:rPr>
        <w:t>1.1</w:t>
      </w:r>
      <w:r>
        <w:rPr>
          <w:rFonts w:hint="eastAsia" w:hAnsi="宋体"/>
          <w:color w:val="auto"/>
        </w:rPr>
        <w:t>本项目采用竞争性谈判的采购方式确定中标供应商。</w:t>
      </w:r>
      <w:r>
        <w:rPr>
          <w:rFonts w:hint="eastAsia" w:ascii="宋体" w:hAnsi="宋体"/>
          <w:color w:val="auto"/>
        </w:rPr>
        <w:t>严格按照谈判文件要求和内容进行谈判。</w:t>
      </w:r>
    </w:p>
    <w:p>
      <w:pPr>
        <w:numPr>
          <w:ilvl w:val="0"/>
          <w:numId w:val="4"/>
        </w:numPr>
        <w:spacing w:line="440" w:lineRule="exact"/>
        <w:ind w:firstLine="422" w:firstLineChars="200"/>
        <w:jc w:val="left"/>
        <w:rPr>
          <w:rFonts w:ascii="宋体" w:hAnsi="宋体"/>
          <w:color w:val="auto"/>
        </w:rPr>
      </w:pPr>
      <w:r>
        <w:rPr>
          <w:rFonts w:hint="eastAsia" w:ascii="宋体" w:hAnsi="宋体"/>
          <w:b/>
          <w:color w:val="auto"/>
        </w:rPr>
        <w:t>谈判内容</w:t>
      </w:r>
    </w:p>
    <w:p>
      <w:pPr>
        <w:pStyle w:val="26"/>
        <w:spacing w:line="440" w:lineRule="exact"/>
        <w:ind w:left="420" w:leftChars="200"/>
        <w:jc w:val="left"/>
        <w:rPr>
          <w:rFonts w:hAnsi="宋体"/>
          <w:color w:val="auto"/>
        </w:rPr>
      </w:pPr>
      <w:r>
        <w:rPr>
          <w:rFonts w:hint="eastAsia" w:hAnsi="宋体"/>
          <w:color w:val="auto"/>
        </w:rPr>
        <w:t>2.1供应商提供货物、服务等均符合招标要求，即进行竞争性谈判。</w:t>
      </w:r>
    </w:p>
    <w:p>
      <w:pPr>
        <w:pStyle w:val="26"/>
        <w:spacing w:line="440" w:lineRule="exact"/>
        <w:ind w:left="420" w:leftChars="200"/>
        <w:jc w:val="left"/>
        <w:rPr>
          <w:color w:val="auto"/>
        </w:rPr>
      </w:pPr>
      <w:r>
        <w:rPr>
          <w:rFonts w:hint="eastAsia" w:hAnsi="宋体"/>
          <w:b/>
          <w:bCs/>
          <w:color w:val="auto"/>
        </w:rPr>
        <w:t>供应商的中标价格：采用两次报价形式，以有效报价的最低价，确定中标价。投标函价格作为第一次报价（</w:t>
      </w:r>
      <w:r>
        <w:rPr>
          <w:rFonts w:hint="eastAsia" w:hAnsi="宋体"/>
          <w:b/>
          <w:bCs/>
          <w:color w:val="0000FF"/>
        </w:rPr>
        <w:t>资格审查合格后，谈判现场不宣读供应商的一次报价）</w:t>
      </w:r>
      <w:r>
        <w:rPr>
          <w:rFonts w:hint="eastAsia" w:hAnsi="宋体"/>
          <w:b/>
          <w:bCs/>
          <w:color w:val="auto"/>
        </w:rPr>
        <w:t>，谈判小组将与供应商就投标报价等内容进行谈判，然后供应商进行二次报价（综合单价同比例下浮），二次投标报价不得高于一次投标报价，否则取消其投标报价资格。如果二次报价相同时则采购人采取现场抽签决定排名情况，谈判过程中，若投标价格双方不能达成一致，可宣布本次谈判失败。</w:t>
      </w:r>
    </w:p>
    <w:p>
      <w:pPr>
        <w:spacing w:line="440" w:lineRule="exact"/>
        <w:ind w:firstLine="420" w:firstLineChars="200"/>
        <w:jc w:val="left"/>
        <w:rPr>
          <w:rFonts w:ascii="宋体" w:hAnsi="宋体"/>
          <w:color w:val="auto"/>
        </w:rPr>
      </w:pPr>
      <w:r>
        <w:rPr>
          <w:rFonts w:ascii="宋体" w:hAnsi="宋体"/>
          <w:color w:val="auto"/>
        </w:rPr>
        <w:t xml:space="preserve"> 2.</w:t>
      </w:r>
      <w:r>
        <w:rPr>
          <w:rFonts w:hint="eastAsia" w:ascii="宋体" w:hAnsi="宋体"/>
          <w:color w:val="auto"/>
        </w:rPr>
        <w:t>2服务期、质量、价格等。</w:t>
      </w:r>
    </w:p>
    <w:p>
      <w:pPr>
        <w:spacing w:line="440" w:lineRule="exact"/>
        <w:ind w:firstLine="422" w:firstLineChars="200"/>
        <w:jc w:val="left"/>
        <w:rPr>
          <w:rFonts w:ascii="宋体" w:hAnsi="宋体"/>
          <w:b/>
          <w:color w:val="auto"/>
        </w:rPr>
      </w:pPr>
      <w:r>
        <w:rPr>
          <w:rFonts w:ascii="宋体" w:hAnsi="宋体"/>
          <w:b/>
          <w:color w:val="auto"/>
        </w:rPr>
        <w:t>3.</w:t>
      </w:r>
      <w:r>
        <w:rPr>
          <w:rFonts w:hint="eastAsia" w:ascii="宋体" w:hAnsi="宋体"/>
          <w:b/>
          <w:color w:val="auto"/>
        </w:rPr>
        <w:t>谈判办法</w:t>
      </w:r>
    </w:p>
    <w:p>
      <w:pPr>
        <w:spacing w:line="440" w:lineRule="exact"/>
        <w:ind w:firstLine="420" w:firstLineChars="200"/>
        <w:jc w:val="left"/>
        <w:rPr>
          <w:rFonts w:ascii="宋体" w:hAnsi="宋体"/>
          <w:color w:val="auto"/>
        </w:rPr>
      </w:pPr>
      <w:r>
        <w:rPr>
          <w:rFonts w:ascii="宋体" w:hAnsi="宋体"/>
          <w:color w:val="auto"/>
        </w:rPr>
        <w:t>3.1</w:t>
      </w:r>
      <w:r>
        <w:rPr>
          <w:rFonts w:hint="eastAsia" w:ascii="宋体" w:hAnsi="宋体"/>
          <w:bCs/>
          <w:color w:val="auto"/>
        </w:rPr>
        <w:t>初审：</w:t>
      </w:r>
    </w:p>
    <w:p>
      <w:pPr>
        <w:spacing w:line="440" w:lineRule="exact"/>
        <w:ind w:firstLine="420" w:firstLineChars="200"/>
        <w:jc w:val="left"/>
        <w:rPr>
          <w:rFonts w:ascii="宋体" w:hAnsi="宋体"/>
          <w:color w:val="auto"/>
        </w:rPr>
      </w:pPr>
      <w:r>
        <w:rPr>
          <w:rFonts w:hint="eastAsia" w:ascii="宋体" w:hAnsi="宋体"/>
          <w:color w:val="auto"/>
        </w:rPr>
        <w:t>谈判小组对响应文件进行初审。下述内容凡有一项，响应文件按无效处理，不再进入下一步评审：</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0"/>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290" w:type="dxa"/>
            <w:vAlign w:val="center"/>
          </w:tcPr>
          <w:p>
            <w:pPr>
              <w:spacing w:line="440" w:lineRule="exact"/>
              <w:jc w:val="center"/>
              <w:rPr>
                <w:rFonts w:ascii="宋体" w:hAnsi="宋体"/>
                <w:b/>
                <w:color w:val="auto"/>
              </w:rPr>
            </w:pPr>
            <w:r>
              <w:rPr>
                <w:rFonts w:hint="eastAsia" w:ascii="宋体" w:hAnsi="宋体"/>
                <w:b/>
                <w:color w:val="auto"/>
              </w:rPr>
              <w:t>审查内容</w:t>
            </w:r>
          </w:p>
        </w:tc>
        <w:tc>
          <w:tcPr>
            <w:tcW w:w="1532" w:type="dxa"/>
            <w:vAlign w:val="center"/>
          </w:tcPr>
          <w:p>
            <w:pPr>
              <w:spacing w:line="440" w:lineRule="exact"/>
              <w:jc w:val="center"/>
              <w:rPr>
                <w:rFonts w:ascii="宋体" w:hAnsi="宋体"/>
                <w:b/>
                <w:color w:val="auto"/>
              </w:rPr>
            </w:pPr>
            <w:r>
              <w:rPr>
                <w:rFonts w:hint="eastAsia" w:ascii="宋体" w:hAnsi="宋体"/>
                <w:b/>
                <w:color w:val="auto"/>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90" w:type="dxa"/>
            <w:vAlign w:val="center"/>
          </w:tcPr>
          <w:p>
            <w:pPr>
              <w:spacing w:line="440" w:lineRule="exact"/>
              <w:jc w:val="center"/>
              <w:rPr>
                <w:rFonts w:ascii="宋体" w:hAnsi="宋体"/>
                <w:b/>
                <w:color w:val="auto"/>
              </w:rPr>
            </w:pPr>
            <w:r>
              <w:rPr>
                <w:rFonts w:hint="eastAsia" w:ascii="宋体" w:hAnsi="宋体"/>
                <w:color w:val="auto"/>
              </w:rPr>
              <w:t>法人代表身份证明及其有效身份证（或法人代表授权委托书及其有效身份证）</w:t>
            </w:r>
          </w:p>
        </w:tc>
        <w:tc>
          <w:tcPr>
            <w:tcW w:w="1532" w:type="dxa"/>
            <w:vAlign w:val="center"/>
          </w:tcPr>
          <w:p>
            <w:pPr>
              <w:spacing w:line="440" w:lineRule="exact"/>
              <w:jc w:val="center"/>
              <w:rPr>
                <w:rFonts w:ascii="宋体" w:hAnsi="宋体"/>
                <w:b/>
                <w:color w:val="auto"/>
              </w:rPr>
            </w:pPr>
            <w:r>
              <w:rPr>
                <w:rFonts w:hint="eastAsia" w:ascii="宋体" w:hAnsi="宋体"/>
                <w:color w:val="auto"/>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290" w:type="dxa"/>
            <w:vAlign w:val="center"/>
          </w:tcPr>
          <w:p>
            <w:pPr>
              <w:spacing w:line="440" w:lineRule="exact"/>
              <w:rPr>
                <w:rFonts w:ascii="宋体" w:hAnsi="宋体"/>
                <w:color w:val="auto"/>
              </w:rPr>
            </w:pPr>
            <w:r>
              <w:rPr>
                <w:rFonts w:hint="eastAsia" w:ascii="宋体" w:hAnsi="宋体"/>
                <w:color w:val="auto"/>
              </w:rPr>
              <w:t>响应文件中未按谈判文件的要求加盖供应商公章；法定代表人或被授权代表未按谈判文件要求签字的</w:t>
            </w:r>
          </w:p>
        </w:tc>
        <w:tc>
          <w:tcPr>
            <w:tcW w:w="1532" w:type="dxa"/>
            <w:vAlign w:val="center"/>
          </w:tcPr>
          <w:p>
            <w:pPr>
              <w:spacing w:line="440" w:lineRule="exact"/>
              <w:jc w:val="center"/>
              <w:rPr>
                <w:rFonts w:ascii="宋体" w:hAnsi="宋体"/>
                <w:color w:val="auto"/>
              </w:rPr>
            </w:pPr>
            <w:r>
              <w:rPr>
                <w:rFonts w:hint="eastAsia" w:ascii="宋体" w:hAnsi="宋体"/>
                <w:color w:val="auto"/>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90" w:type="dxa"/>
            <w:vAlign w:val="center"/>
          </w:tcPr>
          <w:p>
            <w:pPr>
              <w:spacing w:line="440" w:lineRule="exact"/>
              <w:rPr>
                <w:rFonts w:ascii="宋体" w:hAnsi="宋体"/>
                <w:color w:val="auto"/>
              </w:rPr>
            </w:pPr>
            <w:r>
              <w:rPr>
                <w:rFonts w:hint="eastAsia" w:ascii="宋体" w:hAnsi="宋体"/>
                <w:color w:val="auto"/>
              </w:rPr>
              <w:t>无谈判有效期或谈判有效期达不到谈判文件的要求；</w:t>
            </w:r>
          </w:p>
        </w:tc>
        <w:tc>
          <w:tcPr>
            <w:tcW w:w="1532" w:type="dxa"/>
            <w:vAlign w:val="center"/>
          </w:tcPr>
          <w:p>
            <w:pPr>
              <w:spacing w:line="440" w:lineRule="exact"/>
              <w:jc w:val="center"/>
              <w:rPr>
                <w:rFonts w:ascii="宋体" w:hAnsi="宋体"/>
                <w:color w:val="auto"/>
              </w:rPr>
            </w:pPr>
            <w:r>
              <w:rPr>
                <w:rFonts w:hint="eastAsia" w:ascii="宋体" w:hAnsi="宋体"/>
                <w:color w:val="auto"/>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90" w:type="dxa"/>
            <w:vAlign w:val="center"/>
          </w:tcPr>
          <w:p>
            <w:pPr>
              <w:spacing w:line="440" w:lineRule="exact"/>
              <w:rPr>
                <w:rFonts w:ascii="宋体" w:hAnsi="宋体"/>
                <w:color w:val="auto"/>
              </w:rPr>
            </w:pPr>
            <w:r>
              <w:rPr>
                <w:rFonts w:hint="eastAsia" w:ascii="宋体" w:hAnsi="宋体"/>
                <w:color w:val="auto"/>
              </w:rPr>
              <w:t>未按谈判文件要求编制或出现漏项或服务内容与谈判文件要求不符；</w:t>
            </w:r>
          </w:p>
        </w:tc>
        <w:tc>
          <w:tcPr>
            <w:tcW w:w="1532" w:type="dxa"/>
            <w:vAlign w:val="center"/>
          </w:tcPr>
          <w:p>
            <w:pPr>
              <w:spacing w:line="440" w:lineRule="exact"/>
              <w:jc w:val="center"/>
              <w:rPr>
                <w:rFonts w:ascii="宋体" w:hAnsi="宋体"/>
                <w:color w:val="auto"/>
              </w:rPr>
            </w:pPr>
            <w:r>
              <w:rPr>
                <w:rFonts w:hint="eastAsia" w:ascii="宋体" w:hAnsi="宋体"/>
                <w:color w:val="auto"/>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90" w:type="dxa"/>
            <w:vAlign w:val="center"/>
          </w:tcPr>
          <w:p>
            <w:pPr>
              <w:spacing w:line="440" w:lineRule="exact"/>
              <w:rPr>
                <w:rFonts w:ascii="宋体" w:hAnsi="宋体"/>
                <w:color w:val="auto"/>
              </w:rPr>
            </w:pPr>
            <w:r>
              <w:rPr>
                <w:rFonts w:hint="eastAsia" w:ascii="宋体" w:hAnsi="宋体"/>
                <w:color w:val="auto"/>
              </w:rPr>
              <w:t>响应文件实质上未响应谈判文件的要求，附加了采购人难以接受的条件</w:t>
            </w:r>
          </w:p>
        </w:tc>
        <w:tc>
          <w:tcPr>
            <w:tcW w:w="1532" w:type="dxa"/>
            <w:vAlign w:val="center"/>
          </w:tcPr>
          <w:p>
            <w:pPr>
              <w:spacing w:line="440" w:lineRule="exact"/>
              <w:jc w:val="center"/>
              <w:rPr>
                <w:rFonts w:ascii="宋体" w:hAnsi="宋体"/>
                <w:color w:val="auto"/>
              </w:rPr>
            </w:pPr>
            <w:r>
              <w:rPr>
                <w:rFonts w:hint="eastAsia" w:ascii="宋体" w:hAnsi="宋体"/>
                <w:color w:val="auto"/>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90" w:type="dxa"/>
            <w:vAlign w:val="center"/>
          </w:tcPr>
          <w:p>
            <w:pPr>
              <w:spacing w:line="440" w:lineRule="exact"/>
              <w:rPr>
                <w:rFonts w:ascii="宋体" w:hAnsi="宋体"/>
                <w:color w:val="auto"/>
              </w:rPr>
            </w:pPr>
            <w:r>
              <w:rPr>
                <w:rFonts w:hint="eastAsia" w:ascii="宋体" w:hAnsi="宋体"/>
                <w:color w:val="auto"/>
              </w:rPr>
              <w:t>报价超过采购预算或最高限价的。</w:t>
            </w:r>
          </w:p>
        </w:tc>
        <w:tc>
          <w:tcPr>
            <w:tcW w:w="1532" w:type="dxa"/>
            <w:vAlign w:val="center"/>
          </w:tcPr>
          <w:p>
            <w:pPr>
              <w:spacing w:line="440" w:lineRule="exact"/>
              <w:jc w:val="center"/>
              <w:rPr>
                <w:rFonts w:ascii="宋体" w:hAnsi="宋体"/>
                <w:color w:val="auto"/>
              </w:rPr>
            </w:pPr>
            <w:r>
              <w:rPr>
                <w:rFonts w:hint="eastAsia" w:ascii="宋体" w:hAnsi="宋体"/>
                <w:color w:val="auto"/>
              </w:rPr>
              <w:t>符合要求</w:t>
            </w:r>
          </w:p>
        </w:tc>
      </w:tr>
    </w:tbl>
    <w:p>
      <w:pPr>
        <w:spacing w:line="440" w:lineRule="exact"/>
        <w:ind w:firstLine="211" w:firstLineChars="100"/>
        <w:jc w:val="left"/>
        <w:rPr>
          <w:rFonts w:ascii="宋体" w:hAnsi="宋体"/>
          <w:b/>
          <w:color w:val="auto"/>
        </w:rPr>
      </w:pPr>
      <w:r>
        <w:rPr>
          <w:rFonts w:ascii="宋体" w:hAnsi="宋体"/>
          <w:b/>
          <w:color w:val="auto"/>
        </w:rPr>
        <w:t>3.</w:t>
      </w:r>
      <w:r>
        <w:rPr>
          <w:rFonts w:hint="eastAsia" w:ascii="宋体" w:hAnsi="宋体"/>
          <w:b/>
          <w:color w:val="auto"/>
        </w:rPr>
        <w:t>2详细评审</w:t>
      </w:r>
    </w:p>
    <w:p>
      <w:pPr>
        <w:overflowPunct w:val="0"/>
        <w:adjustRightInd w:val="0"/>
        <w:snapToGrid w:val="0"/>
        <w:spacing w:line="440" w:lineRule="exact"/>
        <w:jc w:val="left"/>
        <w:rPr>
          <w:rFonts w:ascii="宋体" w:hAnsi="宋体"/>
          <w:color w:val="auto"/>
        </w:rPr>
      </w:pPr>
      <w:r>
        <w:rPr>
          <w:rFonts w:hint="eastAsia" w:ascii="宋体" w:hAnsi="宋体"/>
          <w:color w:val="auto"/>
        </w:rPr>
        <w:t>（1）法定代表人身份证明和本人有效身份证(或法定代表人授权委托书和委托代理人有效身份证)（格式见附件）；</w:t>
      </w:r>
    </w:p>
    <w:p>
      <w:pPr>
        <w:overflowPunct w:val="0"/>
        <w:adjustRightInd w:val="0"/>
        <w:snapToGrid w:val="0"/>
        <w:spacing w:line="440" w:lineRule="exact"/>
        <w:jc w:val="left"/>
        <w:rPr>
          <w:rFonts w:ascii="宋体" w:hAnsi="宋体"/>
          <w:color w:val="auto"/>
        </w:rPr>
      </w:pPr>
      <w:r>
        <w:rPr>
          <w:rFonts w:hint="eastAsia" w:ascii="宋体" w:hAnsi="宋体"/>
          <w:color w:val="auto"/>
        </w:rPr>
        <w:t>（2）供应商具有合法有效的营业执照、组织机构代码证、税务登记证（或三证合一的营业执照 ）；</w:t>
      </w:r>
    </w:p>
    <w:p>
      <w:pPr>
        <w:overflowPunct w:val="0"/>
        <w:adjustRightInd w:val="0"/>
        <w:snapToGrid w:val="0"/>
        <w:spacing w:line="440" w:lineRule="exact"/>
        <w:jc w:val="left"/>
        <w:rPr>
          <w:rFonts w:ascii="宋体" w:hAnsi="宋体"/>
          <w:color w:val="auto"/>
        </w:rPr>
      </w:pPr>
      <w:r>
        <w:rPr>
          <w:rFonts w:hint="eastAsia" w:hAnsi="宋体"/>
          <w:color w:val="auto"/>
        </w:rPr>
        <w:t>（3）</w:t>
      </w:r>
      <w:r>
        <w:rPr>
          <w:rFonts w:hint="eastAsia" w:ascii="宋体" w:hAnsi="宋体"/>
          <w:color w:val="auto"/>
        </w:rPr>
        <w:t>诚信谈判承诺书（格式见附件）；</w:t>
      </w:r>
    </w:p>
    <w:p>
      <w:pPr>
        <w:overflowPunct w:val="0"/>
        <w:adjustRightInd w:val="0"/>
        <w:snapToGrid w:val="0"/>
        <w:spacing w:line="440" w:lineRule="exact"/>
        <w:jc w:val="left"/>
        <w:rPr>
          <w:rFonts w:ascii="宋体" w:hAnsi="宋体"/>
          <w:color w:val="auto"/>
        </w:rPr>
      </w:pPr>
      <w:r>
        <w:rPr>
          <w:rFonts w:hint="eastAsia" w:ascii="宋体" w:hAnsi="宋体"/>
          <w:color w:val="auto"/>
        </w:rPr>
        <w:t>（4）服务承诺（格式见附件）；</w:t>
      </w:r>
    </w:p>
    <w:p>
      <w:pPr>
        <w:overflowPunct w:val="0"/>
        <w:adjustRightInd w:val="0"/>
        <w:snapToGrid w:val="0"/>
        <w:spacing w:line="440" w:lineRule="exact"/>
        <w:jc w:val="left"/>
        <w:rPr>
          <w:color w:val="auto"/>
        </w:rPr>
      </w:pPr>
      <w:r>
        <w:rPr>
          <w:rFonts w:hint="eastAsia" w:ascii="宋体" w:hAnsi="宋体"/>
          <w:color w:val="auto"/>
        </w:rPr>
        <w:t>（5）参加采购活动近三年内，在经营活动中没有重大违法记录的声明（格式见附件）；</w:t>
      </w:r>
    </w:p>
    <w:p>
      <w:pPr>
        <w:pStyle w:val="2"/>
        <w:spacing w:line="440" w:lineRule="exact"/>
        <w:ind w:firstLine="0" w:firstLineChars="0"/>
        <w:jc w:val="left"/>
        <w:rPr>
          <w:color w:val="auto"/>
        </w:rPr>
      </w:pPr>
      <w:r>
        <w:rPr>
          <w:rFonts w:hint="eastAsia" w:hAnsi="宋体" w:cs="宋体"/>
          <w:b/>
          <w:color w:val="auto"/>
          <w:kern w:val="2"/>
          <w:sz w:val="21"/>
          <w:szCs w:val="21"/>
        </w:rPr>
        <w:t>以上证明材料须按顺序装订，每页均须加盖投标单位公章。供应商所提交的响应文件资料的完整与否，直接影响供应商的响应文件评审。</w:t>
      </w:r>
    </w:p>
    <w:p>
      <w:pPr>
        <w:spacing w:line="440" w:lineRule="exact"/>
        <w:jc w:val="left"/>
        <w:rPr>
          <w:rFonts w:ascii="宋体" w:hAnsi="宋体"/>
          <w:b/>
          <w:color w:val="auto"/>
        </w:rPr>
      </w:pPr>
      <w:r>
        <w:rPr>
          <w:rFonts w:hint="eastAsia" w:ascii="宋体" w:hAnsi="宋体"/>
          <w:b/>
          <w:color w:val="auto"/>
        </w:rPr>
        <w:t>3.3、成交供应商的确定</w:t>
      </w:r>
    </w:p>
    <w:p>
      <w:pPr>
        <w:overflowPunct w:val="0"/>
        <w:adjustRightInd w:val="0"/>
        <w:snapToGrid w:val="0"/>
        <w:spacing w:line="440" w:lineRule="exact"/>
        <w:jc w:val="left"/>
        <w:rPr>
          <w:color w:val="auto"/>
        </w:rPr>
      </w:pPr>
      <w:r>
        <w:rPr>
          <w:rFonts w:hint="eastAsia" w:ascii="宋体" w:hAnsi="宋体"/>
          <w:color w:val="auto"/>
        </w:rPr>
        <w:t>谈判小组应当根据谈判情况，按照最终报价由低到高顺序推荐</w:t>
      </w:r>
      <w:r>
        <w:rPr>
          <w:rFonts w:ascii="宋体" w:hAnsi="宋体"/>
          <w:color w:val="auto"/>
        </w:rPr>
        <w:t>3</w:t>
      </w:r>
      <w:r>
        <w:rPr>
          <w:rFonts w:hint="eastAsia" w:ascii="宋体" w:hAnsi="宋体"/>
          <w:color w:val="auto"/>
        </w:rPr>
        <w:t>名成交候选供应商，并编写评审报告，最后有效报价最低的有两家或以上相同的，由采购人抽签确定成交候选人排名。</w:t>
      </w:r>
    </w:p>
    <w:p>
      <w:pPr>
        <w:overflowPunct w:val="0"/>
        <w:adjustRightInd w:val="0"/>
        <w:snapToGrid w:val="0"/>
        <w:spacing w:line="440" w:lineRule="exact"/>
        <w:jc w:val="left"/>
        <w:rPr>
          <w:rFonts w:ascii="宋体" w:hAnsi="宋体"/>
          <w:color w:val="auto"/>
        </w:rPr>
      </w:pPr>
      <w:r>
        <w:rPr>
          <w:rFonts w:hint="eastAsia" w:ascii="宋体" w:hAnsi="宋体"/>
          <w:color w:val="auto"/>
        </w:rPr>
        <w:t>评审过程中，若出现本办法以外的特殊情况时，将暂停评审，有关情况待谈判小组确定后，再行评定。</w:t>
      </w:r>
    </w:p>
    <w:p>
      <w:pPr>
        <w:spacing w:line="440" w:lineRule="exact"/>
        <w:jc w:val="left"/>
        <w:rPr>
          <w:rFonts w:ascii="宋体" w:hAnsi="宋体"/>
          <w:b/>
          <w:color w:val="auto"/>
        </w:rPr>
      </w:pPr>
      <w:bookmarkStart w:id="167" w:name="_Toc468442304"/>
      <w:bookmarkStart w:id="168" w:name="_Toc463793142"/>
      <w:bookmarkStart w:id="169" w:name="_Toc410389005"/>
      <w:bookmarkStart w:id="170" w:name="_Toc468442902"/>
      <w:bookmarkStart w:id="171" w:name="_Toc489284248"/>
      <w:bookmarkStart w:id="172" w:name="_Toc311415605"/>
      <w:r>
        <w:rPr>
          <w:rFonts w:hint="eastAsia" w:ascii="宋体" w:hAnsi="宋体"/>
          <w:b/>
          <w:color w:val="auto"/>
        </w:rPr>
        <w:t>3.4．</w:t>
      </w:r>
      <w:bookmarkEnd w:id="167"/>
      <w:bookmarkEnd w:id="168"/>
      <w:bookmarkEnd w:id="169"/>
      <w:bookmarkEnd w:id="170"/>
      <w:bookmarkEnd w:id="171"/>
      <w:bookmarkEnd w:id="172"/>
      <w:r>
        <w:rPr>
          <w:rFonts w:hint="eastAsia" w:ascii="宋体" w:hAnsi="宋体"/>
          <w:b/>
          <w:color w:val="auto"/>
        </w:rPr>
        <w:t>其他</w:t>
      </w:r>
    </w:p>
    <w:p>
      <w:pPr>
        <w:overflowPunct w:val="0"/>
        <w:adjustRightInd w:val="0"/>
        <w:snapToGrid w:val="0"/>
        <w:spacing w:line="440" w:lineRule="exact"/>
        <w:jc w:val="left"/>
        <w:rPr>
          <w:rFonts w:ascii="宋体" w:hAnsi="宋体" w:cs="Times"/>
          <w:color w:val="auto"/>
        </w:rPr>
      </w:pPr>
      <w:r>
        <w:rPr>
          <w:rFonts w:ascii="宋体" w:hAnsi="宋体"/>
          <w:color w:val="auto"/>
        </w:rPr>
        <w:t xml:space="preserve"> </w:t>
      </w:r>
      <w:r>
        <w:rPr>
          <w:rFonts w:hint="eastAsia" w:ascii="宋体" w:hAnsi="宋体"/>
          <w:color w:val="auto"/>
        </w:rPr>
        <w:t>供应商试图对采购人和谈判小组的评审、比较或授予合同的决定进行影响，都可能导致其谈判被拒绝。</w:t>
      </w:r>
      <w:bookmarkEnd w:id="60"/>
      <w:bookmarkEnd w:id="61"/>
      <w:bookmarkEnd w:id="62"/>
    </w:p>
    <w:p>
      <w:pPr>
        <w:spacing w:line="400" w:lineRule="exact"/>
        <w:rPr>
          <w:rFonts w:ascii="宋体" w:hAnsi="宋体"/>
          <w:color w:val="auto"/>
        </w:rPr>
      </w:pPr>
    </w:p>
    <w:p>
      <w:pPr>
        <w:jc w:val="center"/>
        <w:rPr>
          <w:rFonts w:eastAsia="黑体"/>
          <w:color w:val="auto"/>
          <w:sz w:val="32"/>
          <w:szCs w:val="32"/>
        </w:rPr>
      </w:pPr>
    </w:p>
    <w:p>
      <w:pPr>
        <w:pStyle w:val="2"/>
        <w:ind w:firstLine="640"/>
        <w:rPr>
          <w:rFonts w:eastAsia="黑体"/>
          <w:color w:val="auto"/>
          <w:sz w:val="32"/>
          <w:szCs w:val="32"/>
        </w:rPr>
      </w:pPr>
    </w:p>
    <w:p>
      <w:pPr>
        <w:rPr>
          <w:rFonts w:eastAsia="黑体"/>
          <w:color w:val="auto"/>
          <w:sz w:val="32"/>
          <w:szCs w:val="32"/>
        </w:rPr>
      </w:pPr>
    </w:p>
    <w:p>
      <w:pPr>
        <w:pStyle w:val="2"/>
        <w:ind w:firstLine="640"/>
        <w:rPr>
          <w:rFonts w:eastAsia="黑体"/>
          <w:color w:val="auto"/>
          <w:sz w:val="32"/>
          <w:szCs w:val="32"/>
        </w:rPr>
      </w:pPr>
    </w:p>
    <w:p>
      <w:pPr>
        <w:rPr>
          <w:rFonts w:eastAsia="黑体"/>
          <w:color w:val="auto"/>
          <w:sz w:val="32"/>
          <w:szCs w:val="32"/>
        </w:rPr>
      </w:pPr>
    </w:p>
    <w:p>
      <w:pPr>
        <w:pStyle w:val="2"/>
        <w:ind w:firstLine="640"/>
        <w:rPr>
          <w:rFonts w:eastAsia="黑体"/>
          <w:color w:val="auto"/>
          <w:sz w:val="32"/>
          <w:szCs w:val="32"/>
        </w:rPr>
      </w:pPr>
    </w:p>
    <w:p>
      <w:pPr>
        <w:rPr>
          <w:rFonts w:eastAsia="黑体"/>
          <w:color w:val="auto"/>
          <w:sz w:val="32"/>
          <w:szCs w:val="32"/>
        </w:rPr>
      </w:pPr>
    </w:p>
    <w:p>
      <w:pPr>
        <w:pStyle w:val="2"/>
        <w:ind w:firstLine="640"/>
        <w:rPr>
          <w:rFonts w:eastAsia="黑体"/>
          <w:color w:val="auto"/>
          <w:sz w:val="32"/>
          <w:szCs w:val="32"/>
        </w:rPr>
      </w:pPr>
    </w:p>
    <w:p>
      <w:pPr>
        <w:rPr>
          <w:rFonts w:eastAsia="黑体"/>
          <w:color w:val="auto"/>
          <w:sz w:val="32"/>
          <w:szCs w:val="32"/>
        </w:rPr>
      </w:pPr>
    </w:p>
    <w:p>
      <w:pPr>
        <w:pStyle w:val="2"/>
        <w:ind w:firstLine="640"/>
        <w:rPr>
          <w:rFonts w:eastAsia="黑体"/>
          <w:color w:val="auto"/>
          <w:sz w:val="32"/>
          <w:szCs w:val="32"/>
        </w:rPr>
      </w:pPr>
    </w:p>
    <w:p>
      <w:pPr>
        <w:spacing w:before="156" w:beforeLines="50" w:after="156" w:afterLines="50" w:line="440" w:lineRule="exact"/>
        <w:rPr>
          <w:rFonts w:ascii="宋体" w:hAnsi="宋体" w:cs="宋体"/>
          <w:b/>
          <w:color w:val="auto"/>
          <w:sz w:val="32"/>
          <w:szCs w:val="32"/>
        </w:rPr>
        <w:sectPr>
          <w:footerReference r:id="rId7" w:type="first"/>
          <w:headerReference r:id="rId5" w:type="default"/>
          <w:footerReference r:id="rId6" w:type="default"/>
          <w:pgSz w:w="11906" w:h="16838"/>
          <w:pgMar w:top="935" w:right="1106" w:bottom="936" w:left="1260" w:header="680" w:footer="680" w:gutter="0"/>
          <w:cols w:space="720" w:num="1"/>
          <w:titlePg/>
          <w:docGrid w:type="lines" w:linePitch="312" w:charSpace="0"/>
        </w:sectPr>
      </w:pPr>
      <w:bookmarkStart w:id="173" w:name="_Toc46309850"/>
      <w:bookmarkStart w:id="174" w:name="_Toc46310028"/>
      <w:r>
        <w:rPr>
          <w:rFonts w:hint="eastAsia" w:ascii="宋体" w:hAnsi="宋体" w:cs="宋体"/>
          <w:b/>
          <w:color w:val="auto"/>
          <w:sz w:val="32"/>
          <w:szCs w:val="32"/>
        </w:rPr>
        <w:t xml:space="preserve">   </w:t>
      </w:r>
    </w:p>
    <w:p>
      <w:pPr>
        <w:spacing w:before="156" w:beforeLines="50" w:after="156" w:afterLines="50" w:line="440" w:lineRule="exact"/>
        <w:ind w:firstLine="2570" w:firstLineChars="800"/>
        <w:rPr>
          <w:color w:val="auto"/>
        </w:rPr>
      </w:pPr>
      <w:r>
        <w:rPr>
          <w:rFonts w:hint="eastAsia" w:ascii="宋体" w:hAnsi="宋体" w:cs="宋体"/>
          <w:b/>
          <w:color w:val="auto"/>
          <w:sz w:val="32"/>
          <w:szCs w:val="32"/>
        </w:rPr>
        <w:t>第四部分 采购清单及技术参数要求</w:t>
      </w:r>
    </w:p>
    <w:p>
      <w:pPr>
        <w:numPr>
          <w:ilvl w:val="0"/>
          <w:numId w:val="5"/>
        </w:numPr>
        <w:spacing w:line="440" w:lineRule="exact"/>
        <w:jc w:val="left"/>
        <w:rPr>
          <w:rFonts w:ascii="宋体" w:hAnsi="宋体" w:cs="宋体"/>
          <w:b/>
          <w:bCs/>
          <w:color w:val="auto"/>
          <w:sz w:val="28"/>
          <w:szCs w:val="28"/>
        </w:rPr>
      </w:pPr>
      <w:r>
        <w:rPr>
          <w:rFonts w:hint="eastAsia" w:ascii="宋体" w:hAnsi="宋体" w:cs="宋体"/>
          <w:b/>
          <w:bCs/>
          <w:color w:val="auto"/>
          <w:sz w:val="28"/>
          <w:szCs w:val="28"/>
        </w:rPr>
        <w:t>采购清单</w:t>
      </w:r>
    </w:p>
    <w:bookmarkEnd w:id="173"/>
    <w:bookmarkEnd w:id="174"/>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514"/>
        <w:gridCol w:w="5877"/>
        <w:gridCol w:w="723"/>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85" w:type="dxa"/>
            <w:vAlign w:val="center"/>
          </w:tcPr>
          <w:p>
            <w:pPr>
              <w:jc w:val="center"/>
              <w:rPr>
                <w:b/>
                <w:bCs/>
                <w:color w:val="auto"/>
                <w:sz w:val="24"/>
                <w:szCs w:val="24"/>
              </w:rPr>
            </w:pPr>
            <w:r>
              <w:rPr>
                <w:rFonts w:hint="eastAsia"/>
                <w:b/>
                <w:bCs/>
                <w:color w:val="auto"/>
                <w:sz w:val="24"/>
                <w:szCs w:val="24"/>
              </w:rPr>
              <w:t>序号</w:t>
            </w:r>
          </w:p>
        </w:tc>
        <w:tc>
          <w:tcPr>
            <w:tcW w:w="1514" w:type="dxa"/>
            <w:vAlign w:val="center"/>
          </w:tcPr>
          <w:p>
            <w:pPr>
              <w:jc w:val="center"/>
              <w:rPr>
                <w:b/>
                <w:bCs/>
                <w:color w:val="auto"/>
                <w:sz w:val="24"/>
                <w:szCs w:val="24"/>
              </w:rPr>
            </w:pPr>
            <w:r>
              <w:rPr>
                <w:rFonts w:hint="eastAsia"/>
                <w:b/>
                <w:bCs/>
                <w:color w:val="auto"/>
                <w:sz w:val="24"/>
                <w:szCs w:val="24"/>
              </w:rPr>
              <w:t>名称</w:t>
            </w:r>
          </w:p>
        </w:tc>
        <w:tc>
          <w:tcPr>
            <w:tcW w:w="5877" w:type="dxa"/>
          </w:tcPr>
          <w:p>
            <w:pPr>
              <w:jc w:val="center"/>
              <w:rPr>
                <w:rFonts w:ascii="宋体" w:hAnsi="宋体" w:cs="宋体"/>
                <w:b/>
                <w:bCs/>
                <w:color w:val="auto"/>
                <w:sz w:val="24"/>
                <w:szCs w:val="24"/>
              </w:rPr>
            </w:pPr>
            <w:r>
              <w:rPr>
                <w:rFonts w:hint="eastAsia"/>
                <w:b/>
                <w:bCs/>
                <w:color w:val="auto"/>
                <w:sz w:val="24"/>
                <w:szCs w:val="24"/>
              </w:rPr>
              <w:t>参数及技术要求</w:t>
            </w:r>
          </w:p>
        </w:tc>
        <w:tc>
          <w:tcPr>
            <w:tcW w:w="723" w:type="dxa"/>
            <w:vAlign w:val="center"/>
          </w:tcPr>
          <w:p>
            <w:pPr>
              <w:jc w:val="center"/>
              <w:rPr>
                <w:b/>
                <w:bCs/>
                <w:color w:val="auto"/>
                <w:sz w:val="24"/>
                <w:szCs w:val="24"/>
              </w:rPr>
            </w:pPr>
            <w:r>
              <w:rPr>
                <w:rFonts w:hint="eastAsia"/>
                <w:b/>
                <w:bCs/>
                <w:color w:val="auto"/>
                <w:sz w:val="24"/>
                <w:szCs w:val="24"/>
              </w:rPr>
              <w:t>数量</w:t>
            </w:r>
          </w:p>
        </w:tc>
        <w:tc>
          <w:tcPr>
            <w:tcW w:w="790" w:type="dxa"/>
            <w:vAlign w:val="center"/>
          </w:tcPr>
          <w:p>
            <w:pPr>
              <w:jc w:val="center"/>
              <w:rPr>
                <w:b/>
                <w:bCs/>
                <w:color w:val="auto"/>
                <w:sz w:val="24"/>
                <w:szCs w:val="24"/>
              </w:rPr>
            </w:pPr>
            <w:r>
              <w:rPr>
                <w:rFonts w:hint="eastAsia"/>
                <w:b/>
                <w:bCs/>
                <w:color w:val="auto"/>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color w:val="auto"/>
                <w:sz w:val="21"/>
                <w:szCs w:val="21"/>
              </w:rPr>
            </w:pPr>
            <w:r>
              <w:rPr>
                <w:rFonts w:hint="eastAsia"/>
                <w:color w:val="auto"/>
                <w:sz w:val="21"/>
                <w:szCs w:val="21"/>
              </w:rPr>
              <w:t>1</w:t>
            </w:r>
          </w:p>
        </w:tc>
        <w:tc>
          <w:tcPr>
            <w:tcW w:w="151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color w:val="auto"/>
                <w:sz w:val="21"/>
                <w:szCs w:val="21"/>
              </w:rPr>
            </w:pPr>
            <w:r>
              <w:rPr>
                <w:rFonts w:hint="eastAsia"/>
                <w:color w:val="auto"/>
                <w:sz w:val="21"/>
                <w:szCs w:val="21"/>
              </w:rPr>
              <w:t>磁盘阵列</w:t>
            </w:r>
          </w:p>
        </w:tc>
        <w:tc>
          <w:tcPr>
            <w:tcW w:w="5877" w:type="dxa"/>
          </w:tcPr>
          <w:p>
            <w:pPr>
              <w:keepNext w:val="0"/>
              <w:keepLines w:val="0"/>
              <w:pageBreakBefore w:val="0"/>
              <w:widowControl w:val="0"/>
              <w:numPr>
                <w:ilvl w:val="0"/>
                <w:numId w:val="6"/>
              </w:numPr>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处理器</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 xml:space="preserve">处理器型号 ≥Intel® Celeron® 5095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 xml:space="preserve">处理器架构 X.86 64-bit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 xml:space="preserve">处理器主频 ≥四核 2.0GHz (最大频率≥2.9GHz)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 xml:space="preserve">硬件加密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 xml:space="preserve">硬件转码引擎 H.264, H.265, MPEG-4, VC-1;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 xml:space="preserve">2、内存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 xml:space="preserve">系统内存 ≥8GB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 xml:space="preserve">内存插槽总数 ≥2 (SO-DIMM) 最大支持内存 ≥32 GB (16GB + 16GB)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 xml:space="preserve">3、存储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 xml:space="preserve">硬盘插槽数量 ≥12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兼容硬盘类型 3.5" SATA HDD 2.5" SATA HDD 2.5" SATA SSD</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 xml:space="preserve">最大内部存储容量 ≥240TB (≥20TB x 12) (容量可能因RAID类型而异)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 xml:space="preserve">单一卷最大容量 ≥108TB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 xml:space="preserve">4、尺寸 ≤334 x 163x 295 毫米 （高 * 宽 * 深度）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 xml:space="preserve">5、其他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 xml:space="preserve">系统风扇 80 x 80 x 25毫米 3PCS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 xml:space="preserve">风扇模式 智能，高速，中速，低速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 xml:space="preserve">噪声水平 ≤31.4(A) （满载4TB 硬盘处于闲置状态）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交流电源输入电压</w:t>
            </w:r>
            <w:r>
              <w:rPr>
                <w:rFonts w:hint="eastAsia" w:ascii="宋体" w:hAnsi="宋体" w:cs="宋体"/>
                <w:color w:val="auto"/>
                <w:sz w:val="21"/>
                <w:szCs w:val="21"/>
              </w:rPr>
              <w:tab/>
            </w:r>
            <w:r>
              <w:rPr>
                <w:rFonts w:hint="eastAsia" w:ascii="宋体" w:hAnsi="宋体" w:cs="宋体"/>
                <w:color w:val="auto"/>
                <w:sz w:val="21"/>
                <w:szCs w:val="21"/>
              </w:rPr>
              <w:t>100V - 240V AC</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电流频率</w:t>
            </w:r>
            <w:r>
              <w:rPr>
                <w:rFonts w:hint="eastAsia" w:ascii="宋体" w:hAnsi="宋体" w:cs="宋体"/>
                <w:color w:val="auto"/>
                <w:sz w:val="21"/>
                <w:szCs w:val="21"/>
              </w:rPr>
              <w:tab/>
            </w:r>
            <w:r>
              <w:rPr>
                <w:rFonts w:hint="eastAsia" w:ascii="宋体" w:hAnsi="宋体" w:cs="宋体"/>
                <w:color w:val="auto"/>
                <w:sz w:val="21"/>
                <w:szCs w:val="21"/>
              </w:rPr>
              <w:t>50/60 Hz, Single frequency</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功耗</w:t>
            </w:r>
            <w:r>
              <w:rPr>
                <w:rFonts w:hint="eastAsia" w:ascii="宋体" w:hAnsi="宋体" w:cs="宋体"/>
                <w:color w:val="auto"/>
                <w:sz w:val="21"/>
                <w:szCs w:val="21"/>
              </w:rPr>
              <w:tab/>
            </w:r>
            <w:r>
              <w:rPr>
                <w:rFonts w:hint="eastAsia" w:ascii="宋体" w:hAnsi="宋体" w:cs="宋体"/>
                <w:color w:val="auto"/>
                <w:sz w:val="21"/>
                <w:szCs w:val="21"/>
              </w:rPr>
              <w:t xml:space="preserve">≤94W(满载4TB硬盘在读写状态)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≤32W(满载4TB硬盘在休眠状态)</w:t>
            </w: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color w:val="auto"/>
                <w:sz w:val="21"/>
                <w:szCs w:val="21"/>
              </w:rPr>
            </w:pPr>
            <w:r>
              <w:rPr>
                <w:rFonts w:hint="eastAsia"/>
                <w:color w:val="auto"/>
                <w:sz w:val="21"/>
                <w:szCs w:val="21"/>
              </w:rPr>
              <w:t>6</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color w:val="auto"/>
                <w:sz w:val="21"/>
                <w:szCs w:val="21"/>
              </w:rPr>
            </w:pPr>
            <w:r>
              <w:rPr>
                <w:rFonts w:hint="eastAsia"/>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color w:val="auto"/>
                <w:sz w:val="21"/>
                <w:szCs w:val="21"/>
              </w:rPr>
            </w:pPr>
            <w:r>
              <w:rPr>
                <w:rFonts w:hint="eastAsia"/>
                <w:color w:val="auto"/>
                <w:sz w:val="21"/>
                <w:szCs w:val="21"/>
              </w:rPr>
              <w:t>2</w:t>
            </w:r>
          </w:p>
        </w:tc>
        <w:tc>
          <w:tcPr>
            <w:tcW w:w="151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color w:val="auto"/>
                <w:sz w:val="21"/>
                <w:szCs w:val="21"/>
              </w:rPr>
            </w:pPr>
            <w:r>
              <w:rPr>
                <w:rFonts w:hint="eastAsia"/>
                <w:color w:val="auto"/>
                <w:sz w:val="21"/>
                <w:szCs w:val="21"/>
              </w:rPr>
              <w:t>企业级硬盘</w:t>
            </w:r>
          </w:p>
        </w:tc>
        <w:tc>
          <w:tcPr>
            <w:tcW w:w="5877" w:type="dxa"/>
          </w:tcPr>
          <w:p>
            <w:pPr>
              <w:keepNext w:val="0"/>
              <w:keepLines w:val="0"/>
              <w:pageBreakBefore w:val="0"/>
              <w:widowControl w:val="0"/>
              <w:numPr>
                <w:ilvl w:val="0"/>
                <w:numId w:val="7"/>
              </w:numPr>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规格</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容量 18TB</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性能</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转速(RPM) ≥7,200RPM</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缓存 ≥256MB</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接口访问速度（Gb/秒） 6.0, 3.0</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最大持续数据传输率OD （MB/秒，MiB/秒） ≥270/258</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随机读取/写入4K QD16 WCD (IOPS) ≥ 170/550</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平均延迟（毫秒） ≤4.16</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抗旋转振动性达 20-1500 赫兹（弧度/秒²） 12.5</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可靠性/数据完整性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平均故障间隔时间（MTBF，小时） ≥2,500,000</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24×7 不间断运行的可靠性级别 (AFR) 0.35%</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不可恢复错误/被读数据（位） 1 扇区/10E15</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功能</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氦气密封硬盘设计 传统磁记录</w:t>
            </w:r>
            <w:r>
              <w:rPr>
                <w:rFonts w:ascii="宋体" w:hAnsi="宋体" w:cs="宋体"/>
                <w:color w:val="auto"/>
                <w:sz w:val="21"/>
                <w:szCs w:val="21"/>
              </w:rPr>
              <w:t xml:space="preserve"> </w:t>
            </w:r>
            <w:r>
              <w:rPr>
                <w:rFonts w:hint="eastAsia" w:ascii="宋体" w:hAnsi="宋体" w:cs="宋体"/>
                <w:color w:val="auto"/>
                <w:sz w:val="21"/>
                <w:szCs w:val="21"/>
              </w:rPr>
              <w:t xml:space="preserve">有机可焊性防护层 </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其它</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平均闲置功率 ≤5.3瓦</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运行时温度 5°C – 60°C</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振动，非运行时：2 赫兹到500 赫兹 2.27Grms</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抗冲性，运行时 2 毫秒（读/写）50G</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非运行时抗冲击性：2 毫秒 200GS</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尺寸 ≤26.1 x 101.85 x 147 毫米 （高 * 宽 * 深度）</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重量 ≤670克</w:t>
            </w: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color w:val="auto"/>
                <w:sz w:val="21"/>
                <w:szCs w:val="21"/>
              </w:rPr>
            </w:pPr>
            <w:r>
              <w:rPr>
                <w:rFonts w:hint="eastAsia"/>
                <w:color w:val="auto"/>
                <w:sz w:val="21"/>
                <w:szCs w:val="21"/>
              </w:rPr>
              <w:t>72</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color w:val="auto"/>
                <w:sz w:val="21"/>
                <w:szCs w:val="21"/>
              </w:rPr>
            </w:pPr>
            <w:r>
              <w:rPr>
                <w:rFonts w:hint="eastAsia"/>
                <w:color w:val="auto"/>
                <w:sz w:val="21"/>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color w:val="auto"/>
                <w:sz w:val="21"/>
                <w:szCs w:val="21"/>
              </w:rPr>
            </w:pPr>
            <w:r>
              <w:rPr>
                <w:rFonts w:hint="eastAsia"/>
                <w:color w:val="auto"/>
                <w:sz w:val="21"/>
                <w:szCs w:val="21"/>
              </w:rPr>
              <w:t>3</w:t>
            </w:r>
          </w:p>
        </w:tc>
        <w:tc>
          <w:tcPr>
            <w:tcW w:w="151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color w:val="auto"/>
                <w:sz w:val="21"/>
                <w:szCs w:val="21"/>
              </w:rPr>
            </w:pPr>
            <w:r>
              <w:rPr>
                <w:rFonts w:hint="eastAsia"/>
                <w:color w:val="auto"/>
                <w:sz w:val="21"/>
                <w:szCs w:val="21"/>
              </w:rPr>
              <w:t>移动固态硬盘</w:t>
            </w:r>
          </w:p>
        </w:tc>
        <w:tc>
          <w:tcPr>
            <w:tcW w:w="5877" w:type="dxa"/>
          </w:tcPr>
          <w:p>
            <w:pPr>
              <w:keepNext w:val="0"/>
              <w:keepLines w:val="0"/>
              <w:pageBreakBefore w:val="0"/>
              <w:widowControl w:val="0"/>
              <w:numPr>
                <w:ilvl w:val="0"/>
                <w:numId w:val="8"/>
              </w:numPr>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规格</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容量 4TB</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接口 USB 3.2 Gen 2</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连接器 USB-C</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性能</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顺序读取性能 ≥1050MB/s</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顺序写入性能 ≥1000MB/s</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功能</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启用密码的 256 位 AES 硬件加密 可承受高达 6.5 英尺（1.98 米）的跌落冲击 交叉兼容 USB 3.2 Gen-2 和 USB-C™</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其它</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1"/>
                <w:szCs w:val="21"/>
              </w:rPr>
            </w:pPr>
            <w:r>
              <w:rPr>
                <w:rFonts w:hint="eastAsia" w:ascii="宋体" w:hAnsi="宋体" w:cs="宋体"/>
                <w:color w:val="auto"/>
                <w:sz w:val="21"/>
                <w:szCs w:val="21"/>
              </w:rPr>
              <w:t>尺寸 ≤100.08 x 55.12 x 8.89毫米（长x宽x高）</w:t>
            </w: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color w:val="auto"/>
                <w:sz w:val="21"/>
                <w:szCs w:val="21"/>
              </w:rPr>
            </w:pPr>
            <w:r>
              <w:rPr>
                <w:rFonts w:hint="eastAsia"/>
                <w:color w:val="auto"/>
                <w:sz w:val="21"/>
                <w:szCs w:val="21"/>
              </w:rPr>
              <w:t xml:space="preserve">10 </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color w:val="auto"/>
                <w:sz w:val="21"/>
                <w:szCs w:val="21"/>
              </w:rPr>
            </w:pPr>
            <w:r>
              <w:rPr>
                <w:rFonts w:hint="eastAsia"/>
                <w:color w:val="auto"/>
                <w:sz w:val="21"/>
                <w:szCs w:val="21"/>
              </w:rPr>
              <w:t>块</w:t>
            </w:r>
          </w:p>
        </w:tc>
      </w:tr>
    </w:tbl>
    <w:p>
      <w:pPr>
        <w:pageBreakBefore/>
        <w:spacing w:before="156" w:beforeLines="50" w:after="156" w:afterLines="50" w:line="440" w:lineRule="exact"/>
        <w:ind w:firstLine="2570" w:firstLineChars="800"/>
        <w:outlineLvl w:val="0"/>
        <w:rPr>
          <w:rFonts w:ascii="宋体" w:hAnsi="宋体" w:cs="宋体"/>
          <w:b/>
          <w:bCs/>
          <w:color w:val="auto"/>
          <w:sz w:val="32"/>
          <w:szCs w:val="32"/>
        </w:rPr>
      </w:pPr>
      <w:r>
        <w:rPr>
          <w:rFonts w:hint="eastAsia" w:ascii="宋体" w:hAnsi="宋体" w:cs="宋体"/>
          <w:b/>
          <w:bCs/>
          <w:color w:val="auto"/>
          <w:sz w:val="32"/>
          <w:szCs w:val="32"/>
        </w:rPr>
        <w:t>第五部分  合同条款及格式</w:t>
      </w:r>
    </w:p>
    <w:p>
      <w:pPr>
        <w:pStyle w:val="2"/>
        <w:ind w:firstLine="3000" w:firstLineChars="1500"/>
        <w:rPr>
          <w:color w:val="auto"/>
        </w:rPr>
      </w:pPr>
      <w:r>
        <w:rPr>
          <w:rFonts w:hint="eastAsia"/>
          <w:color w:val="auto"/>
        </w:rPr>
        <w:t>格式仅供参考，具体以双方签订为准</w:t>
      </w:r>
    </w:p>
    <w:p>
      <w:pPr>
        <w:spacing w:line="440" w:lineRule="exact"/>
        <w:ind w:firstLine="2932" w:firstLineChars="1043"/>
        <w:rPr>
          <w:rFonts w:ascii="宋体" w:hAnsi="宋体" w:cs="宋体"/>
          <w:color w:val="auto"/>
          <w:sz w:val="24"/>
        </w:rPr>
      </w:pPr>
      <w:r>
        <w:rPr>
          <w:rFonts w:hint="eastAsia" w:ascii="宋体" w:hAnsi="宋体" w:cs="宋体"/>
          <w:b/>
          <w:color w:val="auto"/>
          <w:sz w:val="28"/>
          <w:szCs w:val="28"/>
        </w:rPr>
        <w:t xml:space="preserve">合同名称 </w:t>
      </w:r>
      <w:r>
        <w:rPr>
          <w:rFonts w:hint="eastAsia" w:ascii="宋体" w:hAnsi="宋体" w:cs="宋体"/>
          <w:b/>
          <w:color w:val="auto"/>
          <w:sz w:val="24"/>
        </w:rPr>
        <w:t xml:space="preserve">  </w:t>
      </w:r>
      <w:r>
        <w:rPr>
          <w:rFonts w:hint="eastAsia" w:ascii="宋体" w:hAnsi="宋体" w:cs="宋体"/>
          <w:color w:val="auto"/>
          <w:sz w:val="24"/>
        </w:rPr>
        <w:t xml:space="preserve">          编号</w:t>
      </w:r>
    </w:p>
    <w:p>
      <w:pPr>
        <w:spacing w:line="440" w:lineRule="exact"/>
        <w:ind w:firstLine="420" w:firstLineChars="200"/>
        <w:rPr>
          <w:rFonts w:ascii="宋体" w:hAnsi="宋体" w:cs="宋体"/>
          <w:color w:val="auto"/>
        </w:rPr>
      </w:pPr>
      <w:bookmarkStart w:id="175" w:name="_Toc179632628"/>
      <w:bookmarkStart w:id="176" w:name="_Toc144974578"/>
      <w:bookmarkStart w:id="177" w:name="_Toc469495742"/>
      <w:bookmarkStart w:id="178" w:name="_Toc152045610"/>
      <w:bookmarkStart w:id="179" w:name="_Toc247085768"/>
      <w:bookmarkStart w:id="180" w:name="_Toc246996996"/>
      <w:bookmarkStart w:id="181" w:name="_Toc152042388"/>
      <w:bookmarkStart w:id="182" w:name="_Toc246996253"/>
      <w:bookmarkStart w:id="183" w:name="_Toc296602498"/>
      <w:r>
        <w:rPr>
          <w:rFonts w:hint="eastAsia" w:ascii="宋体" w:hAnsi="宋体" w:cs="宋体"/>
          <w:color w:val="auto"/>
        </w:rPr>
        <w:t>甲    方：                                   乙    方：</w:t>
      </w:r>
    </w:p>
    <w:p>
      <w:pPr>
        <w:spacing w:line="440" w:lineRule="exact"/>
        <w:ind w:firstLine="420" w:firstLineChars="200"/>
        <w:rPr>
          <w:rFonts w:ascii="宋体" w:hAnsi="宋体" w:cs="宋体"/>
          <w:color w:val="auto"/>
        </w:rPr>
      </w:pPr>
      <w:r>
        <w:rPr>
          <w:rFonts w:hint="eastAsia" w:ascii="宋体" w:hAnsi="宋体" w:cs="宋体"/>
          <w:color w:val="auto"/>
        </w:rPr>
        <w:t>电    话：                                   电    话：</w:t>
      </w:r>
    </w:p>
    <w:p>
      <w:pPr>
        <w:spacing w:line="440" w:lineRule="exact"/>
        <w:ind w:firstLine="420" w:firstLineChars="200"/>
        <w:rPr>
          <w:rFonts w:ascii="宋体" w:hAnsi="宋体" w:cs="宋体"/>
          <w:color w:val="auto"/>
        </w:rPr>
      </w:pPr>
      <w:r>
        <w:rPr>
          <w:rFonts w:hint="eastAsia" w:ascii="宋体" w:hAnsi="宋体" w:cs="宋体"/>
          <w:color w:val="auto"/>
        </w:rPr>
        <w:t xml:space="preserve">住    所：                                   住    所：                       </w:t>
      </w:r>
    </w:p>
    <w:p>
      <w:pPr>
        <w:spacing w:line="440" w:lineRule="exact"/>
        <w:jc w:val="left"/>
        <w:rPr>
          <w:rFonts w:ascii="宋体" w:hAnsi="宋体" w:cs="宋体"/>
          <w:color w:val="auto"/>
        </w:rPr>
      </w:pPr>
      <w:r>
        <w:rPr>
          <w:rFonts w:hint="eastAsia" w:ascii="宋体" w:hAnsi="宋体" w:cs="宋体"/>
          <w:color w:val="auto"/>
          <w:u w:val="single"/>
        </w:rPr>
        <w:t>（甲方）</w:t>
      </w:r>
      <w:r>
        <w:rPr>
          <w:rFonts w:hint="eastAsia" w:ascii="宋体" w:hAnsi="宋体" w:cs="宋体"/>
          <w:color w:val="auto"/>
        </w:rPr>
        <w:t>的</w:t>
      </w:r>
      <w:r>
        <w:rPr>
          <w:rFonts w:hint="eastAsia" w:ascii="宋体" w:hAnsi="宋体" w:cs="宋体"/>
          <w:color w:val="auto"/>
          <w:u w:val="single"/>
        </w:rPr>
        <w:t>（项目名称）</w:t>
      </w:r>
      <w:r>
        <w:rPr>
          <w:rFonts w:hint="eastAsia" w:ascii="宋体" w:hAnsi="宋体" w:cs="宋体"/>
          <w:color w:val="auto"/>
        </w:rPr>
        <w:t>中所需</w:t>
      </w:r>
      <w:r>
        <w:rPr>
          <w:rFonts w:hint="eastAsia" w:ascii="宋体" w:hAnsi="宋体" w:cs="宋体"/>
          <w:color w:val="auto"/>
          <w:u w:val="single"/>
        </w:rPr>
        <w:t>（产品名称）</w:t>
      </w:r>
      <w:r>
        <w:rPr>
          <w:rFonts w:hint="eastAsia" w:ascii="宋体" w:hAnsi="宋体" w:cs="宋体"/>
          <w:color w:val="auto"/>
        </w:rPr>
        <w:t xml:space="preserve"> 经竞争性谈判采购，确定</w:t>
      </w:r>
      <w:r>
        <w:rPr>
          <w:rFonts w:hint="eastAsia" w:ascii="宋体" w:hAnsi="宋体" w:cs="宋体"/>
          <w:color w:val="auto"/>
          <w:u w:val="single"/>
        </w:rPr>
        <w:t>（乙方）</w:t>
      </w:r>
      <w:r>
        <w:rPr>
          <w:rFonts w:hint="eastAsia" w:ascii="宋体" w:hAnsi="宋体" w:cs="宋体"/>
          <w:color w:val="auto"/>
        </w:rPr>
        <w:t>为中标人。按照中华人民共和国民法典的规定，买卖双方同意按照下述的条款和条件，签署本合同。</w:t>
      </w:r>
    </w:p>
    <w:p>
      <w:pPr>
        <w:spacing w:line="440" w:lineRule="exact"/>
        <w:jc w:val="left"/>
        <w:rPr>
          <w:rFonts w:ascii="宋体" w:hAnsi="宋体" w:cs="宋体"/>
          <w:color w:val="auto"/>
        </w:rPr>
      </w:pPr>
      <w:r>
        <w:rPr>
          <w:rFonts w:hint="eastAsia" w:ascii="宋体" w:hAnsi="宋体" w:cs="宋体"/>
          <w:color w:val="auto"/>
        </w:rPr>
        <w:t>1、本合同文件</w:t>
      </w:r>
    </w:p>
    <w:p>
      <w:pPr>
        <w:spacing w:line="440" w:lineRule="exact"/>
        <w:jc w:val="left"/>
        <w:rPr>
          <w:rFonts w:ascii="宋体" w:hAnsi="宋体" w:cs="宋体"/>
          <w:color w:val="auto"/>
        </w:rPr>
      </w:pPr>
      <w:r>
        <w:rPr>
          <w:rFonts w:hint="eastAsia" w:ascii="宋体" w:hAnsi="宋体" w:cs="宋体"/>
          <w:color w:val="auto"/>
        </w:rPr>
        <w:t>下列每一文件均应作为合同的组成部分进行阅读和解释：</w:t>
      </w:r>
    </w:p>
    <w:p>
      <w:pPr>
        <w:spacing w:line="440" w:lineRule="exact"/>
        <w:jc w:val="left"/>
        <w:rPr>
          <w:rFonts w:ascii="宋体" w:hAnsi="宋体" w:cs="宋体"/>
          <w:color w:val="auto"/>
        </w:rPr>
      </w:pPr>
      <w:r>
        <w:rPr>
          <w:rFonts w:hint="eastAsia" w:ascii="宋体" w:hAnsi="宋体" w:cs="宋体"/>
          <w:color w:val="auto"/>
        </w:rPr>
        <w:t>（1）谈判公告（2）谈判文件（3）成交通知书</w:t>
      </w:r>
    </w:p>
    <w:p>
      <w:pPr>
        <w:spacing w:line="440" w:lineRule="exact"/>
        <w:jc w:val="left"/>
        <w:rPr>
          <w:rFonts w:ascii="宋体" w:hAnsi="宋体" w:cs="宋体"/>
          <w:color w:val="auto"/>
        </w:rPr>
      </w:pPr>
      <w:r>
        <w:rPr>
          <w:rFonts w:hint="eastAsia" w:ascii="宋体" w:hAnsi="宋体" w:cs="宋体"/>
          <w:color w:val="auto"/>
        </w:rPr>
        <w:t>（4）经双方确认进入合同的其它文件、补充条款或说明</w:t>
      </w:r>
    </w:p>
    <w:p>
      <w:pPr>
        <w:spacing w:line="440" w:lineRule="exact"/>
        <w:jc w:val="left"/>
        <w:rPr>
          <w:rFonts w:ascii="宋体" w:hAnsi="宋体" w:cs="宋体"/>
          <w:color w:val="auto"/>
        </w:rPr>
      </w:pPr>
      <w:r>
        <w:rPr>
          <w:rFonts w:hint="eastAsia" w:ascii="宋体" w:hAnsi="宋体" w:cs="宋体"/>
          <w:color w:val="auto"/>
        </w:rPr>
        <w:t>2、服务内容、数量、质量要求</w:t>
      </w:r>
    </w:p>
    <w:p>
      <w:pPr>
        <w:spacing w:line="440" w:lineRule="exact"/>
        <w:jc w:val="left"/>
        <w:rPr>
          <w:rFonts w:ascii="宋体" w:hAnsi="宋体" w:cs="宋体"/>
          <w:color w:val="auto"/>
        </w:rPr>
      </w:pPr>
      <w:r>
        <w:rPr>
          <w:rFonts w:hint="eastAsia" w:ascii="宋体" w:hAnsi="宋体" w:cs="宋体"/>
          <w:color w:val="auto"/>
        </w:rPr>
        <w:t>3、合同总价</w:t>
      </w:r>
    </w:p>
    <w:p>
      <w:pPr>
        <w:spacing w:line="440" w:lineRule="exact"/>
        <w:jc w:val="left"/>
        <w:rPr>
          <w:rFonts w:ascii="宋体" w:hAnsi="宋体" w:cs="宋体"/>
          <w:color w:val="auto"/>
        </w:rPr>
      </w:pPr>
      <w:r>
        <w:rPr>
          <w:rFonts w:hint="eastAsia" w:ascii="宋体" w:hAnsi="宋体" w:cs="宋体"/>
          <w:color w:val="auto"/>
        </w:rPr>
        <w:t xml:space="preserve">合同总价为 </w:t>
      </w:r>
      <w:r>
        <w:rPr>
          <w:rFonts w:hint="eastAsia" w:ascii="宋体" w:hAnsi="宋体" w:cs="宋体"/>
          <w:color w:val="auto"/>
          <w:u w:val="single"/>
        </w:rPr>
        <w:t xml:space="preserve">              大写   </w:t>
      </w:r>
      <w:r>
        <w:rPr>
          <w:rFonts w:hint="eastAsia" w:ascii="宋体" w:hAnsi="宋体" w:cs="宋体"/>
          <w:color w:val="auto"/>
        </w:rPr>
        <w:t>元   （小写）人民币。</w:t>
      </w:r>
    </w:p>
    <w:p>
      <w:pPr>
        <w:pStyle w:val="6"/>
        <w:spacing w:line="440" w:lineRule="exact"/>
        <w:ind w:left="0" w:firstLine="0"/>
        <w:jc w:val="left"/>
        <w:rPr>
          <w:rFonts w:ascii="宋体" w:hAnsi="宋体" w:cs="宋体"/>
          <w:b/>
          <w:bCs/>
          <w:color w:val="auto"/>
          <w:szCs w:val="21"/>
        </w:rPr>
      </w:pPr>
      <w:r>
        <w:rPr>
          <w:rFonts w:hint="eastAsia" w:ascii="宋体" w:hAnsi="宋体" w:eastAsia="宋体" w:cs="宋体"/>
          <w:b/>
          <w:color w:val="auto"/>
          <w:sz w:val="21"/>
          <w:szCs w:val="21"/>
        </w:rPr>
        <w:t>4、付款方式：合同签订后7个日历天完成供货安装完毕，并经采购人经验收合格后，一次性支付合同价款。</w:t>
      </w:r>
    </w:p>
    <w:p>
      <w:pPr>
        <w:pStyle w:val="118"/>
        <w:spacing w:before="0" w:after="0" w:line="440" w:lineRule="exact"/>
        <w:ind w:left="0" w:right="0"/>
        <w:rPr>
          <w:rFonts w:ascii="宋体" w:hAnsi="宋体" w:cs="宋体"/>
          <w:b/>
          <w:bCs/>
          <w:color w:val="auto"/>
          <w:szCs w:val="21"/>
        </w:rPr>
      </w:pPr>
      <w:r>
        <w:rPr>
          <w:rFonts w:hint="eastAsia" w:ascii="宋体" w:hAnsi="宋体" w:cs="宋体"/>
          <w:b/>
          <w:bCs/>
          <w:color w:val="auto"/>
          <w:szCs w:val="21"/>
        </w:rPr>
        <w:t>5、</w:t>
      </w:r>
      <w:r>
        <w:rPr>
          <w:rFonts w:hint="eastAsia" w:ascii="宋体" w:hAnsi="宋体" w:cs="宋体"/>
          <w:b/>
          <w:bCs/>
          <w:snapToGrid w:val="0"/>
          <w:color w:val="auto"/>
          <w:kern w:val="21"/>
          <w:sz w:val="21"/>
          <w:szCs w:val="21"/>
        </w:rPr>
        <w:t>供货周期：签订合同后7个日历天供货安装完毕。 </w:t>
      </w:r>
    </w:p>
    <w:p>
      <w:pPr>
        <w:spacing w:line="440" w:lineRule="exact"/>
        <w:jc w:val="left"/>
        <w:rPr>
          <w:rFonts w:ascii="宋体" w:hAnsi="宋体" w:cs="宋体"/>
          <w:color w:val="auto"/>
        </w:rPr>
      </w:pPr>
      <w:r>
        <w:rPr>
          <w:rFonts w:hint="eastAsia" w:ascii="宋体" w:hAnsi="宋体" w:cs="宋体"/>
          <w:color w:val="auto"/>
        </w:rPr>
        <w:t>6、服务地点：</w:t>
      </w:r>
      <w:r>
        <w:rPr>
          <w:rFonts w:hint="eastAsia" w:ascii="宋体" w:hAnsi="宋体" w:cs="宋体"/>
          <w:color w:val="auto"/>
          <w:u w:val="single"/>
        </w:rPr>
        <w:t>采购人指定的各个地点</w:t>
      </w:r>
      <w:r>
        <w:rPr>
          <w:rFonts w:hint="eastAsia" w:ascii="宋体" w:hAnsi="宋体" w:cs="宋体"/>
          <w:color w:val="auto"/>
        </w:rPr>
        <w:t xml:space="preserve"> </w:t>
      </w:r>
    </w:p>
    <w:p>
      <w:pPr>
        <w:spacing w:line="440" w:lineRule="exact"/>
        <w:jc w:val="left"/>
        <w:rPr>
          <w:rFonts w:ascii="宋体" w:cs="宋体"/>
          <w:color w:val="auto"/>
        </w:rPr>
      </w:pPr>
      <w:r>
        <w:rPr>
          <w:rFonts w:hint="eastAsia" w:ascii="宋体" w:hAnsi="宋体" w:cs="宋体"/>
          <w:color w:val="auto"/>
        </w:rPr>
        <w:t>7、</w:t>
      </w:r>
      <w:r>
        <w:rPr>
          <w:rFonts w:hint="eastAsia" w:ascii="宋体" w:cs="宋体"/>
          <w:color w:val="auto"/>
        </w:rPr>
        <w:t>验收要求及违约责任：</w:t>
      </w:r>
      <w:r>
        <w:rPr>
          <w:rFonts w:hint="eastAsia" w:ascii="宋体" w:hAnsi="宋体" w:cs="宋体"/>
          <w:color w:val="auto"/>
        </w:rPr>
        <w:t>中标人无故不能履行合同，或者本项采购服务不满足采购人实际需求，不符合成交条件的，采购人可以按谈判小组提出的成交候选供应商名单排序依次确定其他成交候选供应商为成交供应商，也可以重新开展谈判。给采购人造成的损失的，还应当对超过部分予以赔偿，同时依法承担相应法律责任（具体内容双方另行约定）。</w:t>
      </w:r>
    </w:p>
    <w:p>
      <w:pPr>
        <w:spacing w:line="440" w:lineRule="exact"/>
        <w:jc w:val="left"/>
        <w:rPr>
          <w:rFonts w:ascii="宋体" w:hAnsi="宋体" w:cs="宋体"/>
          <w:b/>
          <w:bCs/>
          <w:color w:val="auto"/>
        </w:rPr>
      </w:pPr>
      <w:r>
        <w:rPr>
          <w:rFonts w:hint="eastAsia" w:ascii="宋体" w:hAnsi="宋体" w:cs="宋体"/>
          <w:b/>
          <w:bCs/>
          <w:color w:val="auto"/>
        </w:rPr>
        <w:t>8、争议解决：</w:t>
      </w:r>
    </w:p>
    <w:p>
      <w:pPr>
        <w:spacing w:line="440" w:lineRule="exact"/>
        <w:jc w:val="left"/>
        <w:rPr>
          <w:rFonts w:ascii="宋体" w:hAnsi="宋体" w:cs="宋体"/>
          <w:b/>
          <w:bCs/>
          <w:color w:val="auto"/>
        </w:rPr>
      </w:pPr>
      <w:r>
        <w:rPr>
          <w:rFonts w:hint="eastAsia" w:ascii="宋体" w:hAnsi="宋体" w:cs="宋体"/>
          <w:b/>
          <w:bCs/>
          <w:color w:val="auto"/>
        </w:rPr>
        <w:t>本合同下发生的争议，由甲、乙双方协商解决或申请调解解决；协商或调解不成的，由甲方所在地人民法院管辖。</w:t>
      </w:r>
    </w:p>
    <w:p>
      <w:pPr>
        <w:spacing w:line="440" w:lineRule="exact"/>
        <w:jc w:val="left"/>
        <w:rPr>
          <w:rFonts w:ascii="宋体" w:hAnsi="宋体" w:cs="宋体"/>
          <w:b/>
          <w:bCs/>
          <w:color w:val="auto"/>
        </w:rPr>
      </w:pPr>
      <w:r>
        <w:rPr>
          <w:rFonts w:hint="eastAsia" w:ascii="宋体" w:hAnsi="宋体" w:cs="宋体"/>
          <w:b/>
          <w:bCs/>
          <w:color w:val="auto"/>
        </w:rPr>
        <w:t>9、合同的生效</w:t>
      </w:r>
    </w:p>
    <w:p>
      <w:pPr>
        <w:pStyle w:val="3"/>
        <w:spacing w:line="440" w:lineRule="exact"/>
        <w:ind w:firstLine="0"/>
        <w:jc w:val="left"/>
        <w:rPr>
          <w:rFonts w:ascii="宋体" w:hAnsi="宋体" w:cs="宋体"/>
          <w:color w:val="auto"/>
          <w:sz w:val="21"/>
        </w:rPr>
      </w:pPr>
      <w:r>
        <w:rPr>
          <w:rFonts w:hint="eastAsia" w:ascii="宋体" w:hAnsi="宋体" w:cs="宋体"/>
          <w:color w:val="auto"/>
          <w:sz w:val="21"/>
        </w:rPr>
        <w:t>合同经双方授权代表签署，买卖双方加盖印章之后生效。</w:t>
      </w:r>
    </w:p>
    <w:p>
      <w:pPr>
        <w:pStyle w:val="3"/>
        <w:spacing w:line="440" w:lineRule="exact"/>
        <w:ind w:firstLine="420" w:firstLineChars="200"/>
        <w:rPr>
          <w:rFonts w:ascii="宋体" w:hAnsi="宋体" w:cs="宋体"/>
          <w:color w:val="auto"/>
          <w:sz w:val="21"/>
        </w:rPr>
      </w:pPr>
      <w:r>
        <w:rPr>
          <w:rFonts w:hint="eastAsia" w:ascii="宋体" w:hAnsi="宋体" w:cs="宋体"/>
          <w:color w:val="auto"/>
          <w:sz w:val="21"/>
        </w:rPr>
        <w:t>本合同一式     份，双方各执     份。</w:t>
      </w:r>
    </w:p>
    <w:p>
      <w:pPr>
        <w:pStyle w:val="3"/>
        <w:spacing w:line="440" w:lineRule="exact"/>
        <w:ind w:firstLine="420" w:firstLineChars="200"/>
        <w:rPr>
          <w:rFonts w:ascii="宋体" w:hAnsi="宋体" w:cs="宋体"/>
          <w:color w:val="auto"/>
          <w:sz w:val="21"/>
        </w:rPr>
      </w:pPr>
      <w:r>
        <w:rPr>
          <w:rFonts w:hint="eastAsia" w:ascii="宋体" w:hAnsi="宋体" w:cs="宋体"/>
          <w:color w:val="auto"/>
          <w:sz w:val="21"/>
        </w:rPr>
        <w:t>买  方：                            卖  方：</w:t>
      </w:r>
    </w:p>
    <w:p>
      <w:pPr>
        <w:pStyle w:val="3"/>
        <w:spacing w:line="440" w:lineRule="exact"/>
        <w:ind w:firstLine="420" w:firstLineChars="200"/>
        <w:rPr>
          <w:rFonts w:ascii="宋体" w:hAnsi="宋体" w:cs="宋体"/>
          <w:color w:val="auto"/>
          <w:sz w:val="21"/>
        </w:rPr>
      </w:pPr>
      <w:r>
        <w:rPr>
          <w:rFonts w:hint="eastAsia" w:ascii="宋体" w:hAnsi="宋体" w:cs="宋体"/>
          <w:color w:val="auto"/>
          <w:sz w:val="21"/>
        </w:rPr>
        <w:t>名  称：（盖章）                    名  称：（盖章）</w:t>
      </w:r>
    </w:p>
    <w:p>
      <w:pPr>
        <w:pStyle w:val="3"/>
        <w:spacing w:line="440" w:lineRule="exact"/>
        <w:ind w:firstLine="420" w:firstLineChars="200"/>
        <w:rPr>
          <w:rFonts w:ascii="宋体" w:hAnsi="宋体" w:cs="宋体"/>
          <w:color w:val="auto"/>
          <w:sz w:val="21"/>
        </w:rPr>
      </w:pPr>
      <w:r>
        <w:rPr>
          <w:rFonts w:hint="eastAsia" w:ascii="宋体" w:hAnsi="宋体" w:cs="宋体"/>
          <w:color w:val="auto"/>
          <w:sz w:val="21"/>
        </w:rPr>
        <w:t>法定代表人（或委托代理人）：        法定代表人（或委托代理人）：</w:t>
      </w:r>
    </w:p>
    <w:p>
      <w:pPr>
        <w:pStyle w:val="3"/>
        <w:spacing w:line="440" w:lineRule="exact"/>
        <w:ind w:firstLine="420" w:firstLineChars="200"/>
        <w:rPr>
          <w:rFonts w:ascii="宋体" w:hAnsi="宋体" w:cs="宋体"/>
          <w:color w:val="auto"/>
          <w:sz w:val="21"/>
        </w:rPr>
      </w:pPr>
      <w:r>
        <w:rPr>
          <w:rFonts w:hint="eastAsia" w:ascii="宋体" w:hAnsi="宋体" w:cs="宋体"/>
          <w:color w:val="auto"/>
          <w:sz w:val="21"/>
        </w:rPr>
        <w:t>（签字）                        （签字）</w:t>
      </w:r>
    </w:p>
    <w:p>
      <w:pPr>
        <w:pStyle w:val="3"/>
        <w:spacing w:line="440" w:lineRule="exact"/>
        <w:ind w:firstLine="420" w:firstLineChars="200"/>
        <w:rPr>
          <w:rFonts w:ascii="宋体" w:hAnsi="宋体" w:cs="宋体"/>
          <w:color w:val="auto"/>
          <w:sz w:val="21"/>
        </w:rPr>
      </w:pPr>
      <w:r>
        <w:rPr>
          <w:rFonts w:hint="eastAsia" w:ascii="宋体" w:hAnsi="宋体" w:cs="宋体"/>
          <w:color w:val="auto"/>
          <w:sz w:val="21"/>
        </w:rPr>
        <w:t>地    址：                        地    址：</w:t>
      </w:r>
    </w:p>
    <w:p>
      <w:pPr>
        <w:pStyle w:val="3"/>
        <w:spacing w:line="440" w:lineRule="exact"/>
        <w:ind w:firstLine="420" w:firstLineChars="200"/>
        <w:rPr>
          <w:rFonts w:ascii="宋体" w:hAnsi="宋体" w:cs="宋体"/>
          <w:color w:val="auto"/>
          <w:sz w:val="21"/>
        </w:rPr>
      </w:pPr>
      <w:r>
        <w:rPr>
          <w:rFonts w:hint="eastAsia" w:ascii="宋体" w:hAnsi="宋体" w:cs="宋体"/>
          <w:color w:val="auto"/>
          <w:sz w:val="21"/>
        </w:rPr>
        <w:t>邮政编码：                        邮政编码：</w:t>
      </w:r>
    </w:p>
    <w:p>
      <w:pPr>
        <w:pStyle w:val="3"/>
        <w:spacing w:line="440" w:lineRule="exact"/>
        <w:ind w:firstLine="420" w:firstLineChars="200"/>
        <w:rPr>
          <w:rFonts w:ascii="宋体" w:hAnsi="宋体" w:cs="宋体"/>
          <w:color w:val="auto"/>
          <w:sz w:val="21"/>
        </w:rPr>
      </w:pPr>
      <w:r>
        <w:rPr>
          <w:rFonts w:hint="eastAsia" w:ascii="宋体" w:hAnsi="宋体" w:cs="宋体"/>
          <w:color w:val="auto"/>
          <w:sz w:val="21"/>
        </w:rPr>
        <w:t>电    话：                        电    话：</w:t>
      </w:r>
    </w:p>
    <w:p>
      <w:pPr>
        <w:pStyle w:val="3"/>
        <w:spacing w:line="440" w:lineRule="exact"/>
        <w:ind w:firstLine="420" w:firstLineChars="200"/>
        <w:rPr>
          <w:rFonts w:ascii="宋体" w:hAnsi="宋体" w:cs="宋体"/>
          <w:color w:val="auto"/>
          <w:sz w:val="21"/>
        </w:rPr>
      </w:pPr>
      <w:r>
        <w:rPr>
          <w:rFonts w:hint="eastAsia" w:ascii="宋体" w:hAnsi="宋体" w:cs="宋体"/>
          <w:color w:val="auto"/>
          <w:sz w:val="21"/>
        </w:rPr>
        <w:t>开户银行：                        开户银行：</w:t>
      </w:r>
    </w:p>
    <w:p>
      <w:pPr>
        <w:pStyle w:val="3"/>
        <w:spacing w:line="440" w:lineRule="exact"/>
        <w:ind w:firstLine="420" w:firstLineChars="200"/>
        <w:rPr>
          <w:rFonts w:ascii="宋体" w:hAnsi="宋体" w:cs="宋体"/>
          <w:b/>
          <w:color w:val="auto"/>
          <w:sz w:val="21"/>
        </w:rPr>
      </w:pPr>
      <w:r>
        <w:rPr>
          <w:rFonts w:hint="eastAsia" w:ascii="宋体" w:hAnsi="宋体" w:cs="宋体"/>
          <w:color w:val="auto"/>
          <w:sz w:val="21"/>
        </w:rPr>
        <w:t>帐    号：                        帐    号：</w:t>
      </w:r>
    </w:p>
    <w:bookmarkEnd w:id="175"/>
    <w:bookmarkEnd w:id="176"/>
    <w:bookmarkEnd w:id="177"/>
    <w:bookmarkEnd w:id="178"/>
    <w:bookmarkEnd w:id="179"/>
    <w:bookmarkEnd w:id="180"/>
    <w:bookmarkEnd w:id="181"/>
    <w:bookmarkEnd w:id="182"/>
    <w:bookmarkEnd w:id="183"/>
    <w:p>
      <w:pPr>
        <w:spacing w:line="440" w:lineRule="exact"/>
        <w:jc w:val="left"/>
        <w:rPr>
          <w:rFonts w:ascii="宋体" w:hAnsi="宋体" w:cs="宋体"/>
          <w:color w:val="auto"/>
        </w:rPr>
      </w:pPr>
    </w:p>
    <w:p>
      <w:pPr>
        <w:pStyle w:val="2"/>
        <w:ind w:firstLine="0" w:firstLineChars="0"/>
        <w:rPr>
          <w:color w:val="auto"/>
        </w:rPr>
      </w:pPr>
      <w:bookmarkStart w:id="184" w:name="_Toc46310029"/>
      <w:bookmarkStart w:id="185" w:name="_Toc46309851"/>
    </w:p>
    <w:p>
      <w:pPr>
        <w:widowControl/>
        <w:spacing w:line="400" w:lineRule="exact"/>
        <w:jc w:val="center"/>
        <w:textAlignment w:val="baseline"/>
        <w:outlineLvl w:val="1"/>
        <w:rPr>
          <w:rFonts w:ascii="黑体" w:eastAsia="黑体"/>
          <w:b/>
          <w:color w:val="auto"/>
          <w:sz w:val="30"/>
          <w:szCs w:val="30"/>
        </w:rPr>
      </w:pPr>
      <w:bookmarkStart w:id="186" w:name="_Toc6951"/>
      <w:bookmarkStart w:id="187" w:name="_Toc58430331"/>
      <w:r>
        <w:rPr>
          <w:rFonts w:hint="eastAsia" w:ascii="宋体"/>
          <w:b/>
          <w:color w:val="auto"/>
          <w:sz w:val="30"/>
          <w:szCs w:val="30"/>
        </w:rPr>
        <w:t>二、合同条款</w:t>
      </w:r>
      <w:bookmarkEnd w:id="186"/>
      <w:bookmarkEnd w:id="187"/>
    </w:p>
    <w:p>
      <w:pPr>
        <w:spacing w:line="440" w:lineRule="exact"/>
        <w:ind w:firstLine="422" w:firstLineChars="200"/>
        <w:rPr>
          <w:rFonts w:ascii="宋体" w:hAnsi="宋体" w:cs="宋体"/>
          <w:b/>
          <w:color w:val="auto"/>
        </w:rPr>
      </w:pPr>
      <w:r>
        <w:rPr>
          <w:rFonts w:hint="eastAsia" w:ascii="宋体" w:hAnsi="宋体" w:cs="宋体"/>
          <w:b/>
          <w:color w:val="auto"/>
        </w:rPr>
        <w:t>一.  合同文件</w:t>
      </w:r>
    </w:p>
    <w:p>
      <w:pPr>
        <w:spacing w:line="440" w:lineRule="exact"/>
        <w:ind w:firstLine="420" w:firstLineChars="200"/>
        <w:jc w:val="left"/>
        <w:rPr>
          <w:rFonts w:ascii="宋体" w:hAnsi="宋体" w:cs="宋体"/>
          <w:color w:val="auto"/>
        </w:rPr>
      </w:pPr>
      <w:r>
        <w:rPr>
          <w:rFonts w:hint="eastAsia" w:ascii="宋体" w:hAnsi="宋体" w:cs="宋体"/>
          <w:color w:val="auto"/>
        </w:rPr>
        <w:t>1.合同文件适用法律</w:t>
      </w:r>
    </w:p>
    <w:p>
      <w:pPr>
        <w:spacing w:line="440" w:lineRule="exact"/>
        <w:ind w:firstLine="420" w:firstLineChars="200"/>
        <w:jc w:val="left"/>
        <w:rPr>
          <w:rFonts w:ascii="宋体" w:hAnsi="宋体" w:cs="宋体"/>
          <w:color w:val="auto"/>
        </w:rPr>
      </w:pPr>
      <w:r>
        <w:rPr>
          <w:rFonts w:hint="eastAsia" w:ascii="宋体" w:hAnsi="宋体" w:cs="宋体"/>
          <w:color w:val="auto"/>
        </w:rPr>
        <w:t>适用于合同文件的法律是中华人民共和国现行法律、法规及采购人所在地的地方性法规。</w:t>
      </w:r>
    </w:p>
    <w:p>
      <w:pPr>
        <w:spacing w:line="440" w:lineRule="exact"/>
        <w:ind w:firstLine="420" w:firstLineChars="200"/>
        <w:jc w:val="left"/>
        <w:rPr>
          <w:rFonts w:ascii="宋体" w:hAnsi="宋体" w:cs="宋体"/>
          <w:color w:val="auto"/>
        </w:rPr>
      </w:pPr>
      <w:r>
        <w:rPr>
          <w:rFonts w:hint="eastAsia" w:ascii="宋体" w:hAnsi="宋体" w:cs="宋体"/>
          <w:color w:val="auto"/>
        </w:rPr>
        <w:t>2.合同文件组成和解释顺序</w:t>
      </w:r>
    </w:p>
    <w:p>
      <w:pPr>
        <w:spacing w:line="440" w:lineRule="exact"/>
        <w:ind w:firstLine="420" w:firstLineChars="200"/>
        <w:jc w:val="left"/>
        <w:rPr>
          <w:rFonts w:ascii="宋体" w:hAnsi="宋体" w:cs="宋体"/>
          <w:color w:val="auto"/>
        </w:rPr>
      </w:pPr>
      <w:r>
        <w:rPr>
          <w:rFonts w:hint="eastAsia" w:ascii="宋体" w:hAnsi="宋体" w:cs="宋体"/>
          <w:color w:val="auto"/>
        </w:rPr>
        <w:t>(1）合同文件的组成和解释顺序如下：</w:t>
      </w:r>
    </w:p>
    <w:p>
      <w:pPr>
        <w:spacing w:line="440" w:lineRule="exact"/>
        <w:ind w:firstLine="420" w:firstLineChars="200"/>
        <w:jc w:val="left"/>
        <w:rPr>
          <w:rFonts w:ascii="宋体" w:hAnsi="宋体" w:cs="宋体"/>
          <w:color w:val="auto"/>
        </w:rPr>
      </w:pPr>
      <w:r>
        <w:rPr>
          <w:rFonts w:hint="eastAsia" w:ascii="宋体" w:hAnsi="宋体" w:cs="宋体"/>
          <w:color w:val="auto"/>
        </w:rPr>
        <w:t>&lt;1〉合同的主要条款；</w:t>
      </w:r>
    </w:p>
    <w:p>
      <w:pPr>
        <w:spacing w:line="440" w:lineRule="exact"/>
        <w:ind w:firstLine="420" w:firstLineChars="200"/>
        <w:jc w:val="left"/>
        <w:rPr>
          <w:rFonts w:ascii="宋体" w:hAnsi="宋体" w:cs="宋体"/>
          <w:color w:val="auto"/>
        </w:rPr>
      </w:pPr>
      <w:r>
        <w:rPr>
          <w:rFonts w:hint="eastAsia" w:ascii="宋体" w:hAnsi="宋体" w:cs="宋体"/>
          <w:color w:val="auto"/>
        </w:rPr>
        <w:t>&lt;2〉合同的一般性条款；</w:t>
      </w:r>
    </w:p>
    <w:p>
      <w:pPr>
        <w:spacing w:line="440" w:lineRule="exact"/>
        <w:ind w:firstLine="420" w:firstLineChars="200"/>
        <w:jc w:val="left"/>
        <w:rPr>
          <w:rFonts w:ascii="宋体" w:hAnsi="宋体" w:cs="宋体"/>
          <w:color w:val="auto"/>
        </w:rPr>
      </w:pPr>
      <w:r>
        <w:rPr>
          <w:rFonts w:hint="eastAsia" w:ascii="宋体" w:hAnsi="宋体" w:cs="宋体"/>
          <w:color w:val="auto"/>
        </w:rPr>
        <w:t>&lt;3〉洽商、变更等明确双方权利义务的纪要、协议；</w:t>
      </w:r>
    </w:p>
    <w:p>
      <w:pPr>
        <w:spacing w:line="440" w:lineRule="exact"/>
        <w:ind w:firstLine="420" w:firstLineChars="200"/>
        <w:jc w:val="left"/>
        <w:rPr>
          <w:rFonts w:ascii="宋体" w:hAnsi="宋体" w:cs="宋体"/>
          <w:color w:val="auto"/>
        </w:rPr>
      </w:pPr>
      <w:r>
        <w:rPr>
          <w:rFonts w:hint="eastAsia" w:ascii="宋体" w:hAnsi="宋体" w:cs="宋体"/>
          <w:color w:val="auto"/>
        </w:rPr>
        <w:t>&lt;4〉中标通知书、投标文件和招标文件；</w:t>
      </w:r>
    </w:p>
    <w:p>
      <w:pPr>
        <w:spacing w:line="440" w:lineRule="exact"/>
        <w:ind w:firstLine="420" w:firstLineChars="200"/>
        <w:jc w:val="left"/>
        <w:rPr>
          <w:rFonts w:ascii="宋体" w:hAnsi="宋体" w:cs="宋体"/>
          <w:color w:val="auto"/>
        </w:rPr>
      </w:pPr>
      <w:r>
        <w:rPr>
          <w:rFonts w:hint="eastAsia" w:ascii="宋体" w:hAnsi="宋体" w:cs="宋体"/>
          <w:color w:val="auto"/>
        </w:rPr>
        <w:t>&lt;5〉有关图纸、标准、规范和其他有关技术资料、技术要求。</w:t>
      </w:r>
    </w:p>
    <w:p>
      <w:pPr>
        <w:spacing w:line="440" w:lineRule="exact"/>
        <w:ind w:firstLine="420" w:firstLineChars="200"/>
        <w:jc w:val="left"/>
        <w:rPr>
          <w:rFonts w:ascii="宋体" w:hAnsi="宋体" w:cs="宋体"/>
          <w:color w:val="auto"/>
        </w:rPr>
      </w:pPr>
      <w:r>
        <w:rPr>
          <w:rFonts w:hint="eastAsia" w:ascii="宋体" w:hAnsi="宋体" w:cs="宋体"/>
          <w:color w:val="auto"/>
        </w:rPr>
        <w:t>&lt;6〉合同的主要条款的效力优于合同的一般性条款的效力。</w:t>
      </w:r>
    </w:p>
    <w:p>
      <w:pPr>
        <w:spacing w:line="440" w:lineRule="exact"/>
        <w:ind w:firstLine="420" w:firstLineChars="200"/>
        <w:jc w:val="left"/>
        <w:rPr>
          <w:rFonts w:ascii="宋体" w:hAnsi="宋体" w:cs="宋体"/>
          <w:color w:val="auto"/>
        </w:rPr>
      </w:pPr>
      <w:r>
        <w:rPr>
          <w:rFonts w:hint="eastAsia" w:ascii="宋体" w:hAnsi="宋体" w:cs="宋体"/>
          <w:color w:val="auto"/>
        </w:rPr>
        <w:t>3.合同文件使用文字</w:t>
      </w:r>
    </w:p>
    <w:p>
      <w:pPr>
        <w:pStyle w:val="16"/>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(1）合同文件使用中文书写、解释和说明。</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 xml:space="preserve">(2）合同文件使用技术性条款约定的为国家标准和规范；国家没有相应标准、规范时，可使用行业标准、规范。非标货物应按约定的技术性条款的标准和规范。 </w:t>
      </w:r>
    </w:p>
    <w:p>
      <w:pPr>
        <w:spacing w:line="440" w:lineRule="exact"/>
        <w:ind w:firstLine="422" w:firstLineChars="200"/>
        <w:jc w:val="left"/>
        <w:rPr>
          <w:rFonts w:ascii="宋体" w:hAnsi="宋体" w:cs="宋体"/>
          <w:b/>
          <w:color w:val="auto"/>
        </w:rPr>
      </w:pPr>
      <w:r>
        <w:rPr>
          <w:rFonts w:hint="eastAsia" w:ascii="宋体" w:hAnsi="宋体" w:cs="宋体"/>
          <w:b/>
          <w:color w:val="auto"/>
        </w:rPr>
        <w:t>二.  标的物的一般条款</w:t>
      </w:r>
    </w:p>
    <w:p>
      <w:pPr>
        <w:spacing w:line="440" w:lineRule="exact"/>
        <w:ind w:firstLine="420" w:firstLineChars="200"/>
        <w:jc w:val="left"/>
        <w:rPr>
          <w:rFonts w:ascii="宋体" w:hAnsi="宋体" w:cs="宋体"/>
          <w:color w:val="auto"/>
        </w:rPr>
      </w:pPr>
      <w:r>
        <w:rPr>
          <w:rFonts w:hint="eastAsia" w:ascii="宋体" w:hAnsi="宋体" w:cs="宋体"/>
          <w:color w:val="auto"/>
        </w:rPr>
        <w:t>4.完整物权</w:t>
      </w:r>
    </w:p>
    <w:p>
      <w:pPr>
        <w:tabs>
          <w:tab w:val="left" w:pos="660"/>
        </w:tabs>
        <w:spacing w:line="440" w:lineRule="exact"/>
        <w:ind w:firstLine="420" w:firstLineChars="200"/>
        <w:jc w:val="left"/>
        <w:rPr>
          <w:rFonts w:ascii="宋体" w:hAnsi="宋体" w:cs="宋体"/>
          <w:color w:val="auto"/>
        </w:rPr>
      </w:pPr>
      <w:r>
        <w:rPr>
          <w:rFonts w:hint="eastAsia" w:ascii="宋体" w:hAnsi="宋体" w:cs="宋体"/>
          <w:color w:val="auto"/>
        </w:rPr>
        <w:t>对于出卖的标的物，卖方应当拥有完整物权，并且卖方负有保证第三人不得向买方主张任何权利（包括知识产权）的义务。</w:t>
      </w:r>
    </w:p>
    <w:p>
      <w:pPr>
        <w:spacing w:line="440" w:lineRule="exact"/>
        <w:ind w:firstLine="420" w:firstLineChars="200"/>
        <w:jc w:val="left"/>
        <w:rPr>
          <w:rFonts w:ascii="宋体" w:hAnsi="宋体" w:cs="宋体"/>
          <w:color w:val="auto"/>
        </w:rPr>
      </w:pPr>
      <w:r>
        <w:rPr>
          <w:rFonts w:hint="eastAsia" w:ascii="宋体" w:hAnsi="宋体" w:cs="宋体"/>
          <w:color w:val="auto"/>
        </w:rPr>
        <w:t>5.质量保证</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16"/>
        <w:tabs>
          <w:tab w:val="left" w:pos="900"/>
        </w:tabs>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(3）除合同主要条款规定外，合同条款中标的物的质量保证期均自标的物通过最终验收之日起计算，且质量保证期按不低于国家标准和卖方承诺的高于国家标准的质保期（卖方有特殊要求的除外）。</w:t>
      </w:r>
    </w:p>
    <w:p>
      <w:pPr>
        <w:spacing w:line="440" w:lineRule="exact"/>
        <w:ind w:firstLine="420" w:firstLineChars="200"/>
        <w:jc w:val="left"/>
        <w:rPr>
          <w:rFonts w:ascii="宋体" w:hAnsi="宋体" w:cs="宋体"/>
          <w:color w:val="auto"/>
        </w:rPr>
      </w:pPr>
      <w:r>
        <w:rPr>
          <w:rFonts w:hint="eastAsia" w:ascii="宋体" w:hAnsi="宋体" w:cs="宋体"/>
          <w:color w:val="auto"/>
        </w:rPr>
        <w:t>6.包装</w:t>
      </w:r>
    </w:p>
    <w:p>
      <w:pPr>
        <w:pStyle w:val="16"/>
        <w:tabs>
          <w:tab w:val="left" w:pos="900"/>
        </w:tabs>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pacing w:line="440" w:lineRule="exact"/>
        <w:ind w:firstLine="420" w:firstLineChars="200"/>
        <w:jc w:val="left"/>
        <w:rPr>
          <w:rFonts w:ascii="宋体" w:hAnsi="宋体" w:cs="宋体"/>
          <w:color w:val="auto"/>
        </w:rPr>
      </w:pPr>
      <w:r>
        <w:rPr>
          <w:rFonts w:hint="eastAsia" w:ascii="宋体" w:hAnsi="宋体" w:cs="宋体"/>
          <w:color w:val="auto"/>
        </w:rPr>
        <w:t>7.伴随服务</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(1）卖方除应履行按期按量交付合格标的物的义务之外，还应提供下列服务：</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&lt;1〉标的物的现场安装或指导安装、启动、调试、监督（如果必须安装、调试的话）；</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&lt;2〉提供标的物组装和一般维修所必需的工具；</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&lt;3〉在合同规定的期限内对所提供标的物实行运行监督、维修服务的前提条件是该服务并不能免除卖方在质量保证期内所承担的义务；</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&lt;4〉对买方技术人员的技术指导或培训。</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(2）除合同另有规定之外，伴随服务的费用均包含在合同价款中，买方不再另行进行支付。</w:t>
      </w:r>
    </w:p>
    <w:p>
      <w:pPr>
        <w:spacing w:line="440" w:lineRule="exact"/>
        <w:ind w:firstLine="422" w:firstLineChars="200"/>
        <w:jc w:val="left"/>
        <w:rPr>
          <w:rFonts w:ascii="宋体" w:hAnsi="宋体" w:cs="宋体"/>
          <w:b/>
          <w:color w:val="auto"/>
        </w:rPr>
      </w:pPr>
      <w:r>
        <w:rPr>
          <w:rFonts w:hint="eastAsia" w:ascii="宋体" w:hAnsi="宋体" w:cs="宋体"/>
          <w:b/>
          <w:color w:val="auto"/>
        </w:rPr>
        <w:t>三.  标的物的交付、检验和验收</w:t>
      </w:r>
    </w:p>
    <w:p>
      <w:pPr>
        <w:spacing w:line="440" w:lineRule="exact"/>
        <w:ind w:firstLine="420" w:firstLineChars="200"/>
        <w:jc w:val="left"/>
        <w:rPr>
          <w:rFonts w:ascii="宋体" w:hAnsi="宋体" w:cs="宋体"/>
          <w:color w:val="auto"/>
        </w:rPr>
      </w:pPr>
      <w:r>
        <w:rPr>
          <w:rFonts w:hint="eastAsia" w:ascii="宋体" w:hAnsi="宋体" w:cs="宋体"/>
          <w:color w:val="auto"/>
        </w:rPr>
        <w:t>8.标的物的交付</w:t>
      </w:r>
    </w:p>
    <w:p>
      <w:pPr>
        <w:pStyle w:val="16"/>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(1）标的物的所有权自标的物交付时转移。</w:t>
      </w:r>
    </w:p>
    <w:p>
      <w:pPr>
        <w:pStyle w:val="16"/>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(2）卖方应当按照约定的期限和约定的地点交付符合招标文件要求的标的物。</w:t>
      </w:r>
    </w:p>
    <w:p>
      <w:pPr>
        <w:pStyle w:val="16"/>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(3）卖方应当按照约定或者交易习惯向采购人交付提取标的物单证以外的有关单证和资料。</w:t>
      </w:r>
    </w:p>
    <w:p>
      <w:pPr>
        <w:spacing w:line="440" w:lineRule="exact"/>
        <w:ind w:firstLine="420" w:firstLineChars="200"/>
        <w:jc w:val="left"/>
        <w:rPr>
          <w:rFonts w:ascii="宋体" w:hAnsi="宋体" w:cs="宋体"/>
          <w:color w:val="auto"/>
        </w:rPr>
      </w:pPr>
      <w:r>
        <w:rPr>
          <w:rFonts w:hint="eastAsia" w:ascii="宋体" w:hAnsi="宋体" w:cs="宋体"/>
          <w:color w:val="auto"/>
        </w:rPr>
        <w:t>9.检验和验收</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(2）买方根据合同规定的内容和验收标准进行验收，经检验无误后出具验收合格证明，该证明作为最终付款所需文件的组成部分。</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(3）验收期限自标的物交付之日起三十天内。特殊情况需延长的，双方应在合同条款中约定。</w:t>
      </w:r>
    </w:p>
    <w:p>
      <w:pPr>
        <w:spacing w:line="440" w:lineRule="exact"/>
        <w:ind w:firstLine="422" w:firstLineChars="200"/>
        <w:jc w:val="left"/>
        <w:rPr>
          <w:rFonts w:ascii="宋体" w:hAnsi="宋体" w:cs="宋体"/>
          <w:b/>
          <w:color w:val="auto"/>
        </w:rPr>
      </w:pPr>
      <w:r>
        <w:rPr>
          <w:rFonts w:hint="eastAsia" w:ascii="宋体" w:hAnsi="宋体" w:cs="宋体"/>
          <w:b/>
          <w:color w:val="auto"/>
        </w:rPr>
        <w:t>四. 对标的物提出异议的时间和办法</w:t>
      </w:r>
    </w:p>
    <w:p>
      <w:pPr>
        <w:spacing w:line="440" w:lineRule="exact"/>
        <w:ind w:firstLine="420" w:firstLineChars="200"/>
        <w:jc w:val="left"/>
        <w:rPr>
          <w:rFonts w:ascii="宋体" w:hAnsi="宋体" w:cs="宋体"/>
          <w:color w:val="auto"/>
        </w:rPr>
      </w:pPr>
      <w:r>
        <w:rPr>
          <w:rFonts w:hint="eastAsia" w:ascii="宋体" w:hAnsi="宋体" w:cs="宋体"/>
          <w:color w:val="auto"/>
        </w:rPr>
        <w:t xml:space="preserve">10.对标的物提出异议的时间和办法 </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(1）买方在验收过程中，应当于双方约定的检验期间内将标的物的数量或质量不符合约定的情形及处理方式以书面形式通知卖方。</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(2）如买方在验收期满后既不出具验收合格证明又未提出书面异议的视为卖方所交标的物符合合同规定。</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(3）卖方应在收到买方书面异议后七天内负责处理问题，否则将视为默认买方提出的异议和处理意见。</w:t>
      </w:r>
    </w:p>
    <w:p>
      <w:pPr>
        <w:spacing w:line="440" w:lineRule="exact"/>
        <w:ind w:firstLine="422" w:firstLineChars="200"/>
        <w:jc w:val="left"/>
        <w:rPr>
          <w:rFonts w:ascii="宋体" w:hAnsi="宋体" w:cs="宋体"/>
          <w:b/>
          <w:color w:val="auto"/>
        </w:rPr>
      </w:pPr>
      <w:r>
        <w:rPr>
          <w:rFonts w:hint="eastAsia" w:ascii="宋体" w:hAnsi="宋体" w:cs="宋体"/>
          <w:b/>
          <w:color w:val="auto"/>
        </w:rPr>
        <w:t>五. 合同价款和支付</w:t>
      </w:r>
    </w:p>
    <w:p>
      <w:pPr>
        <w:spacing w:line="440" w:lineRule="exact"/>
        <w:ind w:firstLine="420" w:firstLineChars="200"/>
        <w:jc w:val="left"/>
        <w:rPr>
          <w:rFonts w:ascii="宋体" w:hAnsi="宋体" w:cs="宋体"/>
          <w:color w:val="auto"/>
        </w:rPr>
      </w:pPr>
      <w:r>
        <w:rPr>
          <w:rFonts w:hint="eastAsia" w:ascii="宋体" w:hAnsi="宋体" w:cs="宋体"/>
          <w:color w:val="auto"/>
        </w:rPr>
        <w:t>11.合同价款和支付</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(1）本合同的结算货币为人民币，单位元。</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(2）卖方应按照双方签订的合同规定交货并在合同主要条款规定的期限内持下列单据结算货款：</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&lt;1〉合格的销售发票；</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&lt;2〉买方盖章签收后的送货回单和验收合格证明。</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(3）买方应按合同主要条款规定的期限和方式付款。</w:t>
      </w:r>
    </w:p>
    <w:p>
      <w:pPr>
        <w:pStyle w:val="16"/>
        <w:tabs>
          <w:tab w:val="left" w:pos="540"/>
        </w:tabs>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(4）根据现行税法对买方征收的与本合同有关的一切税费均由买方承担；根据现行税法对卖方征收的与本合同有关的一切税费均由卖方承担。</w:t>
      </w:r>
    </w:p>
    <w:p>
      <w:pPr>
        <w:spacing w:line="440" w:lineRule="exact"/>
        <w:ind w:firstLine="422" w:firstLineChars="200"/>
        <w:jc w:val="left"/>
        <w:rPr>
          <w:rFonts w:ascii="宋体" w:hAnsi="宋体" w:cs="宋体"/>
          <w:b/>
          <w:color w:val="auto"/>
        </w:rPr>
      </w:pPr>
      <w:r>
        <w:rPr>
          <w:rFonts w:hint="eastAsia" w:ascii="宋体" w:hAnsi="宋体" w:cs="宋体"/>
          <w:b/>
          <w:color w:val="auto"/>
        </w:rPr>
        <w:t>六. 违约责任</w:t>
      </w:r>
    </w:p>
    <w:p>
      <w:pPr>
        <w:spacing w:line="440" w:lineRule="exact"/>
        <w:ind w:firstLine="420" w:firstLineChars="200"/>
        <w:jc w:val="left"/>
        <w:rPr>
          <w:rFonts w:ascii="宋体" w:hAnsi="宋体" w:cs="宋体"/>
          <w:color w:val="auto"/>
        </w:rPr>
      </w:pPr>
      <w:r>
        <w:rPr>
          <w:rFonts w:hint="eastAsia" w:ascii="宋体" w:hAnsi="宋体" w:cs="宋体"/>
          <w:color w:val="auto"/>
        </w:rPr>
        <w:t>12.违约责任</w:t>
      </w:r>
    </w:p>
    <w:p>
      <w:pPr>
        <w:pStyle w:val="16"/>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合同一方不履行合同义务或者履行合同义务不符合约定的，应当承担继续履行、采取补救措施或者赔偿损失等违约责任。</w:t>
      </w:r>
    </w:p>
    <w:p>
      <w:pPr>
        <w:spacing w:line="440" w:lineRule="exact"/>
        <w:ind w:firstLine="420" w:firstLineChars="200"/>
        <w:jc w:val="left"/>
        <w:rPr>
          <w:rFonts w:ascii="宋体" w:hAnsi="宋体" w:cs="宋体"/>
          <w:color w:val="auto"/>
        </w:rPr>
      </w:pPr>
      <w:r>
        <w:rPr>
          <w:rFonts w:hint="eastAsia" w:ascii="宋体" w:hAnsi="宋体" w:cs="宋体"/>
          <w:color w:val="auto"/>
        </w:rPr>
        <w:t>13.买方违约责任</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(1）在合同生效后，买方要求退货的，应向卖方偿付合同总价款的5%，作为违约金，违约金不足以补偿损失的，卖方有权要求甲方补足。</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(2）买方逾期付款的应按照逾期付款金额的每天万分之四支付逾期付款违约金。</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(3）买方违反合同规定，拒绝接收卖方交付的符合招标文件要求的合格标的物，应当承担卖方由此造成的损失。</w:t>
      </w:r>
    </w:p>
    <w:p>
      <w:pPr>
        <w:spacing w:line="440" w:lineRule="exact"/>
        <w:ind w:firstLine="420" w:firstLineChars="200"/>
        <w:jc w:val="left"/>
        <w:rPr>
          <w:rFonts w:ascii="宋体" w:hAnsi="宋体" w:cs="宋体"/>
          <w:color w:val="auto"/>
        </w:rPr>
      </w:pPr>
      <w:r>
        <w:rPr>
          <w:rFonts w:hint="eastAsia" w:ascii="宋体" w:hAnsi="宋体" w:cs="宋体"/>
          <w:color w:val="auto"/>
        </w:rPr>
        <w:t>14.卖方违约责任</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(1）卖方不能交货（逾期超过五天视为不能交货），或交货不合格从而影响买方按期正常使用的，应向买方偿付合同总价款5%的违约金，违约金不足以补偿损失的，买方有权要求卖方补足。</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(2）卖方逾期交货的，应在发货前与买方和采购管理部门协商，买方仍需求的，卖方应立即发货并应按照逾期交货部分货款的每天万分之四支付逾期交货违约金，同时承担买方因此遭致的损失费用。</w:t>
      </w:r>
    </w:p>
    <w:p>
      <w:pPr>
        <w:spacing w:line="440" w:lineRule="exact"/>
        <w:ind w:firstLine="420" w:firstLineChars="200"/>
        <w:jc w:val="left"/>
        <w:rPr>
          <w:rFonts w:ascii="宋体" w:hAnsi="宋体" w:cs="宋体"/>
          <w:color w:val="auto"/>
        </w:rPr>
      </w:pPr>
      <w:r>
        <w:rPr>
          <w:rFonts w:hint="eastAsia" w:ascii="宋体" w:hAnsi="宋体" w:cs="宋体"/>
          <w:color w:val="auto"/>
        </w:rPr>
        <w:t>15.不可抗力</w:t>
      </w:r>
    </w:p>
    <w:p>
      <w:pPr>
        <w:pStyle w:val="16"/>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(1）因水灾、火灾、地震、战争等不可抗力不能履行合同的，根据不可抗力的影响，部分或者全部免除责任。但合同一方迟延履行后发生不可抗力的，不能免除责任。</w:t>
      </w:r>
    </w:p>
    <w:p>
      <w:pPr>
        <w:pStyle w:val="16"/>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(2）合同一方因不可抗力不能履行合同的，应当及时通知对方，以减轻可能给对方造成的损失，并应当在合理期限内提供证明。</w:t>
      </w:r>
    </w:p>
    <w:p>
      <w:pPr>
        <w:spacing w:line="440" w:lineRule="exact"/>
        <w:ind w:firstLine="422" w:firstLineChars="200"/>
        <w:jc w:val="left"/>
        <w:rPr>
          <w:rFonts w:ascii="宋体" w:hAnsi="宋体" w:cs="宋体"/>
          <w:b/>
          <w:color w:val="auto"/>
        </w:rPr>
      </w:pPr>
      <w:r>
        <w:rPr>
          <w:rFonts w:hint="eastAsia" w:ascii="宋体" w:hAnsi="宋体" w:cs="宋体"/>
          <w:b/>
          <w:color w:val="auto"/>
        </w:rPr>
        <w:t>七. 索赔</w:t>
      </w:r>
    </w:p>
    <w:p>
      <w:pPr>
        <w:spacing w:line="440" w:lineRule="exact"/>
        <w:ind w:firstLine="420" w:firstLineChars="200"/>
        <w:jc w:val="left"/>
        <w:rPr>
          <w:rFonts w:ascii="宋体" w:hAnsi="宋体" w:cs="宋体"/>
          <w:color w:val="auto"/>
        </w:rPr>
      </w:pPr>
      <w:r>
        <w:rPr>
          <w:rFonts w:hint="eastAsia" w:ascii="宋体" w:hAnsi="宋体" w:cs="宋体"/>
          <w:color w:val="auto"/>
        </w:rPr>
        <w:t>16.索赔</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(1）买方有权根据当地产品质量检验机构或其他有权威部门出具的检验证书向卖方提出索赔。</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(2）在本合同规定的检验期和质量保证期内，如果卖方对买方提出的索赔或差异有责任，则卖方应按买方同意的下列一种或多种方式解决索赔事宜：</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&lt;1〉卖方同意退货，并按合同规定的货币将货款退还给买方，并承担由此发生的一切损失和费用，包括利息、银行手续费、运费、保险费、检验费、仓储费、装卸费以及为保护退回标的物所需的其他必要费用；</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&lt;2〉根据标的物的低劣程度、损坏程度以及甲方遭受损失的数额，经双方协商确定降低标的物的价格；</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3〉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(4）买方提出索赔的书面材料应报当地采购管理部门备案。卖方同意的索赔方案应报当地采购管理部门审核。</w:t>
      </w:r>
    </w:p>
    <w:p>
      <w:pPr>
        <w:spacing w:line="440" w:lineRule="exact"/>
        <w:ind w:firstLine="422" w:firstLineChars="200"/>
        <w:jc w:val="left"/>
        <w:rPr>
          <w:rFonts w:ascii="宋体" w:hAnsi="宋体" w:cs="宋体"/>
          <w:b/>
          <w:color w:val="auto"/>
        </w:rPr>
      </w:pPr>
      <w:r>
        <w:rPr>
          <w:rFonts w:hint="eastAsia" w:ascii="宋体" w:hAnsi="宋体" w:cs="宋体"/>
          <w:b/>
          <w:color w:val="auto"/>
        </w:rPr>
        <w:t>八. 履约保证金（详见前附表）</w:t>
      </w:r>
    </w:p>
    <w:p>
      <w:pPr>
        <w:spacing w:line="440" w:lineRule="exact"/>
        <w:ind w:firstLine="420" w:firstLineChars="200"/>
        <w:jc w:val="left"/>
        <w:rPr>
          <w:rFonts w:ascii="宋体" w:hAnsi="宋体" w:cs="宋体"/>
          <w:color w:val="auto"/>
        </w:rPr>
      </w:pPr>
      <w:r>
        <w:rPr>
          <w:rFonts w:hint="eastAsia" w:ascii="宋体" w:hAnsi="宋体" w:cs="宋体"/>
          <w:color w:val="auto"/>
        </w:rPr>
        <w:t>17.履约保证金</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(1）卖方应在本合同签订时，按谈判文件的约定提供相应的履约保证金。</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(2）如果卖方未能履行合同规定的任何义务，买方有权从履约保证金中取得补偿。</w:t>
      </w:r>
    </w:p>
    <w:p>
      <w:pPr>
        <w:pStyle w:val="16"/>
        <w:overflowPunct w:val="0"/>
        <w:spacing w:line="440" w:lineRule="exact"/>
        <w:ind w:firstLine="422" w:firstLineChars="200"/>
        <w:jc w:val="left"/>
        <w:rPr>
          <w:rFonts w:ascii="宋体" w:hAnsi="宋体" w:cs="宋体"/>
          <w:b/>
          <w:color w:val="auto"/>
          <w:kern w:val="2"/>
          <w:sz w:val="21"/>
          <w:szCs w:val="21"/>
        </w:rPr>
      </w:pPr>
      <w:r>
        <w:rPr>
          <w:rFonts w:hint="eastAsia" w:ascii="宋体" w:hAnsi="宋体" w:cs="宋体"/>
          <w:b/>
          <w:color w:val="auto"/>
          <w:kern w:val="2"/>
          <w:sz w:val="21"/>
          <w:szCs w:val="21"/>
        </w:rPr>
        <w:t>九. 合同的解除和转让</w:t>
      </w:r>
    </w:p>
    <w:p>
      <w:pPr>
        <w:spacing w:line="440" w:lineRule="exact"/>
        <w:ind w:firstLine="420" w:firstLineChars="200"/>
        <w:jc w:val="left"/>
        <w:rPr>
          <w:rFonts w:ascii="宋体" w:hAnsi="宋体" w:cs="宋体"/>
          <w:color w:val="auto"/>
        </w:rPr>
      </w:pPr>
      <w:r>
        <w:rPr>
          <w:rFonts w:hint="eastAsia" w:ascii="宋体" w:hAnsi="宋体" w:cs="宋体"/>
          <w:color w:val="auto"/>
        </w:rPr>
        <w:t>18.合同的解除</w:t>
      </w:r>
    </w:p>
    <w:p>
      <w:pPr>
        <w:pStyle w:val="16"/>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(1）买方和卖方协商一致，可以解除合同。</w:t>
      </w:r>
    </w:p>
    <w:p>
      <w:pPr>
        <w:pStyle w:val="16"/>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(2）有下列情形之一，合同一方可以解除合同：</w:t>
      </w:r>
    </w:p>
    <w:p>
      <w:pPr>
        <w:pStyle w:val="16"/>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&lt;1〉因不可抗力致使不能实现合同目的，未受不可抗力影响的一方有权解除合同；</w:t>
      </w:r>
    </w:p>
    <w:p>
      <w:pPr>
        <w:pStyle w:val="16"/>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&lt;2〉因合同一方违约导致合同不能履行，另一方有权解除合同。</w:t>
      </w:r>
    </w:p>
    <w:p>
      <w:pPr>
        <w:pStyle w:val="16"/>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(3）有权解除合同的一方，应当在违约事实或不可抗力发生之后三十天内书面通知对方以主张解除合同，合同在书面通知到达对方时解除。</w:t>
      </w:r>
    </w:p>
    <w:p>
      <w:pPr>
        <w:spacing w:line="440" w:lineRule="exact"/>
        <w:ind w:firstLine="420" w:firstLineChars="200"/>
        <w:jc w:val="left"/>
        <w:rPr>
          <w:rFonts w:ascii="宋体" w:hAnsi="宋体" w:cs="宋体"/>
          <w:color w:val="auto"/>
        </w:rPr>
      </w:pPr>
      <w:r>
        <w:rPr>
          <w:rFonts w:hint="eastAsia" w:ascii="宋体" w:hAnsi="宋体" w:cs="宋体"/>
          <w:color w:val="auto"/>
        </w:rPr>
        <w:t>19.合同的转让</w:t>
      </w:r>
    </w:p>
    <w:p>
      <w:pPr>
        <w:spacing w:line="440" w:lineRule="exact"/>
        <w:ind w:firstLine="420" w:firstLineChars="200"/>
        <w:jc w:val="left"/>
        <w:rPr>
          <w:rFonts w:ascii="宋体" w:hAnsi="宋体" w:cs="宋体"/>
          <w:color w:val="auto"/>
        </w:rPr>
      </w:pPr>
      <w:r>
        <w:rPr>
          <w:rFonts w:hint="eastAsia" w:ascii="宋体" w:hAnsi="宋体" w:cs="宋体"/>
          <w:color w:val="auto"/>
        </w:rPr>
        <w:t>合同的部分和全部都不得转让。</w:t>
      </w:r>
    </w:p>
    <w:p>
      <w:pPr>
        <w:spacing w:line="440" w:lineRule="exact"/>
        <w:ind w:firstLine="422" w:firstLineChars="200"/>
        <w:jc w:val="left"/>
        <w:rPr>
          <w:rFonts w:ascii="宋体" w:hAnsi="宋体" w:cs="宋体"/>
          <w:b/>
          <w:color w:val="auto"/>
        </w:rPr>
      </w:pPr>
      <w:r>
        <w:rPr>
          <w:rFonts w:hint="eastAsia" w:ascii="宋体" w:hAnsi="宋体" w:cs="宋体"/>
          <w:b/>
          <w:color w:val="auto"/>
        </w:rPr>
        <w:t>十. 合同的生效</w:t>
      </w:r>
    </w:p>
    <w:p>
      <w:pPr>
        <w:spacing w:line="440" w:lineRule="exact"/>
        <w:ind w:firstLine="420" w:firstLineChars="200"/>
        <w:jc w:val="left"/>
        <w:rPr>
          <w:rFonts w:ascii="宋体" w:hAnsi="宋体" w:cs="宋体"/>
          <w:color w:val="auto"/>
        </w:rPr>
      </w:pPr>
      <w:r>
        <w:rPr>
          <w:rFonts w:hint="eastAsia" w:ascii="宋体" w:hAnsi="宋体" w:cs="宋体"/>
          <w:color w:val="auto"/>
        </w:rPr>
        <w:t>20.合同的生效</w:t>
      </w:r>
    </w:p>
    <w:p>
      <w:pPr>
        <w:spacing w:line="440" w:lineRule="exact"/>
        <w:ind w:firstLine="420" w:firstLineChars="200"/>
        <w:jc w:val="left"/>
        <w:rPr>
          <w:rFonts w:ascii="宋体" w:hAnsi="宋体" w:cs="宋体"/>
          <w:color w:val="auto"/>
        </w:rPr>
      </w:pPr>
      <w:r>
        <w:rPr>
          <w:rFonts w:hint="eastAsia" w:ascii="宋体" w:hAnsi="宋体" w:cs="宋体"/>
          <w:color w:val="auto"/>
        </w:rPr>
        <w:t>本合同在双方签字盖章后生效。</w:t>
      </w:r>
    </w:p>
    <w:p>
      <w:pPr>
        <w:spacing w:line="440" w:lineRule="exact"/>
        <w:ind w:firstLine="422" w:firstLineChars="200"/>
        <w:jc w:val="left"/>
        <w:rPr>
          <w:rFonts w:ascii="宋体" w:hAnsi="宋体" w:cs="宋体"/>
          <w:b/>
          <w:color w:val="auto"/>
        </w:rPr>
      </w:pPr>
      <w:r>
        <w:rPr>
          <w:rFonts w:hint="eastAsia" w:ascii="宋体" w:hAnsi="宋体" w:cs="宋体"/>
          <w:b/>
          <w:color w:val="auto"/>
        </w:rPr>
        <w:t>十一. 争议解决</w:t>
      </w:r>
    </w:p>
    <w:p>
      <w:pPr>
        <w:spacing w:line="440" w:lineRule="exact"/>
        <w:ind w:firstLine="420" w:firstLineChars="200"/>
        <w:jc w:val="left"/>
        <w:rPr>
          <w:rFonts w:ascii="宋体" w:hAnsi="宋体" w:cs="宋体"/>
          <w:color w:val="auto"/>
        </w:rPr>
      </w:pPr>
      <w:r>
        <w:rPr>
          <w:rFonts w:hint="eastAsia" w:ascii="宋体" w:hAnsi="宋体" w:cs="宋体"/>
          <w:color w:val="auto"/>
        </w:rPr>
        <w:t>21.争议解决</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买卖双方因合同发生争议，进行调解，协商不成，可选择：</w:t>
      </w:r>
    </w:p>
    <w:p>
      <w:pPr>
        <w:pStyle w:val="16"/>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(1）双方同时</w:t>
      </w:r>
      <w:r>
        <w:rPr>
          <w:rFonts w:hint="eastAsia" w:ascii="宋体" w:hAnsi="宋体" w:cs="宋体"/>
          <w:color w:val="auto"/>
          <w:sz w:val="21"/>
          <w:szCs w:val="21"/>
        </w:rPr>
        <w:t>将争议提交滁州仲裁委员会</w:t>
      </w:r>
      <w:r>
        <w:rPr>
          <w:rFonts w:hint="eastAsia" w:ascii="宋体" w:hAnsi="宋体" w:cs="宋体"/>
          <w:color w:val="auto"/>
          <w:sz w:val="21"/>
          <w:szCs w:val="21"/>
          <w:u w:color="000000"/>
        </w:rPr>
        <w:t>进行仲裁；</w:t>
      </w:r>
    </w:p>
    <w:p>
      <w:pPr>
        <w:pStyle w:val="16"/>
        <w:tabs>
          <w:tab w:val="left" w:pos="900"/>
        </w:tabs>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(2）向买方所在地人民法院提起诉讼。</w:t>
      </w:r>
    </w:p>
    <w:p>
      <w:pPr>
        <w:spacing w:line="440" w:lineRule="exact"/>
        <w:ind w:firstLine="422" w:firstLineChars="200"/>
        <w:jc w:val="left"/>
        <w:rPr>
          <w:rFonts w:ascii="宋体" w:hAnsi="宋体" w:cs="宋体"/>
          <w:b/>
          <w:color w:val="auto"/>
        </w:rPr>
      </w:pPr>
      <w:r>
        <w:rPr>
          <w:rFonts w:hint="eastAsia" w:ascii="宋体" w:hAnsi="宋体" w:cs="宋体"/>
          <w:b/>
          <w:color w:val="auto"/>
        </w:rPr>
        <w:t>十二 .附则</w:t>
      </w:r>
    </w:p>
    <w:p>
      <w:pPr>
        <w:spacing w:line="440" w:lineRule="exact"/>
        <w:ind w:firstLine="420" w:firstLineChars="200"/>
        <w:jc w:val="left"/>
        <w:rPr>
          <w:rFonts w:ascii="宋体" w:hAnsi="宋体" w:cs="宋体"/>
          <w:color w:val="auto"/>
        </w:rPr>
      </w:pPr>
      <w:r>
        <w:rPr>
          <w:rFonts w:hint="eastAsia" w:ascii="宋体" w:hAnsi="宋体" w:cs="宋体"/>
          <w:color w:val="auto"/>
        </w:rPr>
        <w:t>22.合同份数。</w:t>
      </w:r>
    </w:p>
    <w:p>
      <w:pPr>
        <w:spacing w:line="440" w:lineRule="exact"/>
        <w:ind w:firstLine="420" w:firstLineChars="200"/>
        <w:jc w:val="left"/>
        <w:rPr>
          <w:rFonts w:ascii="宋体" w:hAnsi="宋体" w:cs="宋体"/>
          <w:color w:val="auto"/>
        </w:rPr>
      </w:pPr>
      <w:r>
        <w:rPr>
          <w:rFonts w:hint="eastAsia" w:ascii="宋体" w:hAnsi="宋体" w:cs="宋体"/>
          <w:color w:val="auto"/>
        </w:rPr>
        <w:t>本合同一式陆份，买卖双方各执二份，代理机构一份。</w:t>
      </w:r>
    </w:p>
    <w:p>
      <w:pPr>
        <w:spacing w:line="440" w:lineRule="exact"/>
        <w:ind w:firstLine="420" w:firstLineChars="200"/>
        <w:jc w:val="left"/>
        <w:rPr>
          <w:rFonts w:ascii="宋体" w:hAnsi="宋体" w:cs="宋体"/>
          <w:color w:val="auto"/>
        </w:rPr>
      </w:pPr>
      <w:r>
        <w:rPr>
          <w:rFonts w:hint="eastAsia" w:ascii="宋体" w:hAnsi="宋体" w:cs="宋体"/>
          <w:color w:val="auto"/>
        </w:rPr>
        <w:t>23.未尽事宜</w:t>
      </w:r>
    </w:p>
    <w:p>
      <w:pPr>
        <w:spacing w:line="440" w:lineRule="exact"/>
        <w:ind w:firstLine="420" w:firstLineChars="200"/>
        <w:jc w:val="left"/>
        <w:rPr>
          <w:rFonts w:ascii="宋体" w:hAnsi="宋体" w:cs="宋体"/>
          <w:color w:val="auto"/>
        </w:rPr>
      </w:pPr>
      <w:r>
        <w:rPr>
          <w:rFonts w:hint="eastAsia" w:ascii="宋体" w:hAnsi="宋体" w:cs="宋体"/>
          <w:color w:val="auto"/>
        </w:rPr>
        <w:t>本合同未尽事宜应按《中华人民共和国民法典》、《中华人民共和国产品质量法》之规定解释。</w:t>
      </w:r>
    </w:p>
    <w:p>
      <w:pPr>
        <w:rPr>
          <w:color w:val="auto"/>
        </w:rPr>
      </w:pPr>
    </w:p>
    <w:p>
      <w:pPr>
        <w:pStyle w:val="2"/>
        <w:ind w:firstLine="400"/>
        <w:rPr>
          <w:color w:val="auto"/>
        </w:rPr>
      </w:pPr>
    </w:p>
    <w:p>
      <w:pPr>
        <w:rPr>
          <w:color w:val="auto"/>
        </w:rPr>
      </w:pPr>
    </w:p>
    <w:p>
      <w:pPr>
        <w:pStyle w:val="2"/>
        <w:ind w:firstLine="400"/>
        <w:rPr>
          <w:color w:val="auto"/>
        </w:rPr>
      </w:pPr>
    </w:p>
    <w:p>
      <w:pPr>
        <w:rPr>
          <w:color w:val="auto"/>
        </w:rPr>
      </w:pPr>
    </w:p>
    <w:p>
      <w:pPr>
        <w:pStyle w:val="2"/>
        <w:ind w:firstLine="400"/>
        <w:rPr>
          <w:color w:val="auto"/>
        </w:rPr>
      </w:pPr>
    </w:p>
    <w:p>
      <w:pPr>
        <w:rPr>
          <w:color w:val="auto"/>
        </w:rPr>
      </w:pPr>
    </w:p>
    <w:p>
      <w:pPr>
        <w:pStyle w:val="2"/>
        <w:ind w:firstLine="400"/>
        <w:rPr>
          <w:color w:val="auto"/>
        </w:rPr>
      </w:pPr>
    </w:p>
    <w:p>
      <w:pPr>
        <w:rPr>
          <w:color w:val="auto"/>
        </w:rPr>
      </w:pPr>
    </w:p>
    <w:p>
      <w:pPr>
        <w:pStyle w:val="2"/>
        <w:ind w:firstLine="400"/>
        <w:rPr>
          <w:color w:val="auto"/>
        </w:rPr>
      </w:pPr>
    </w:p>
    <w:p>
      <w:pPr>
        <w:rPr>
          <w:color w:val="auto"/>
        </w:rPr>
      </w:pPr>
    </w:p>
    <w:p>
      <w:pPr>
        <w:pStyle w:val="2"/>
        <w:ind w:firstLine="400"/>
        <w:rPr>
          <w:color w:val="auto"/>
        </w:rPr>
      </w:pPr>
    </w:p>
    <w:p>
      <w:pPr>
        <w:rPr>
          <w:color w:val="auto"/>
        </w:rPr>
      </w:pPr>
    </w:p>
    <w:p>
      <w:pPr>
        <w:pStyle w:val="2"/>
        <w:ind w:firstLine="400"/>
        <w:rPr>
          <w:color w:val="auto"/>
        </w:rPr>
      </w:pPr>
    </w:p>
    <w:p>
      <w:pPr>
        <w:rPr>
          <w:color w:val="auto"/>
        </w:rPr>
      </w:pPr>
    </w:p>
    <w:p>
      <w:pPr>
        <w:pStyle w:val="2"/>
        <w:ind w:firstLine="400"/>
        <w:rPr>
          <w:color w:val="auto"/>
        </w:rPr>
      </w:pPr>
    </w:p>
    <w:p>
      <w:pPr>
        <w:rPr>
          <w:color w:val="auto"/>
        </w:rPr>
      </w:pPr>
    </w:p>
    <w:p>
      <w:pPr>
        <w:pStyle w:val="2"/>
        <w:ind w:firstLine="400"/>
        <w:rPr>
          <w:color w:val="auto"/>
        </w:rPr>
      </w:pPr>
    </w:p>
    <w:p>
      <w:pPr>
        <w:rPr>
          <w:color w:val="auto"/>
        </w:rPr>
      </w:pPr>
    </w:p>
    <w:p>
      <w:pPr>
        <w:pStyle w:val="2"/>
        <w:ind w:firstLine="400"/>
        <w:rPr>
          <w:color w:val="auto"/>
        </w:rPr>
      </w:pPr>
    </w:p>
    <w:p>
      <w:pPr>
        <w:rPr>
          <w:color w:val="auto"/>
        </w:rPr>
      </w:pPr>
    </w:p>
    <w:p>
      <w:pPr>
        <w:pStyle w:val="2"/>
        <w:ind w:firstLine="400"/>
        <w:rPr>
          <w:color w:val="auto"/>
        </w:rPr>
      </w:pPr>
    </w:p>
    <w:p>
      <w:pPr>
        <w:rPr>
          <w:color w:val="auto"/>
        </w:rPr>
      </w:pPr>
    </w:p>
    <w:p>
      <w:pPr>
        <w:pStyle w:val="2"/>
        <w:ind w:firstLine="400"/>
        <w:rPr>
          <w:color w:val="auto"/>
        </w:rPr>
      </w:pPr>
    </w:p>
    <w:p>
      <w:pPr>
        <w:rPr>
          <w:color w:val="auto"/>
        </w:rPr>
      </w:pPr>
    </w:p>
    <w:p>
      <w:pPr>
        <w:pStyle w:val="7"/>
        <w:spacing w:line="360" w:lineRule="auto"/>
        <w:jc w:val="center"/>
        <w:rPr>
          <w:rFonts w:ascii="宋体" w:hAnsi="宋体" w:cs="Arial"/>
          <w:color w:val="auto"/>
          <w:kern w:val="2"/>
          <w:sz w:val="28"/>
          <w:szCs w:val="28"/>
        </w:rPr>
      </w:pPr>
      <w:r>
        <w:rPr>
          <w:rFonts w:hint="eastAsia" w:ascii="宋体" w:hAnsi="宋体" w:cs="Arial"/>
          <w:color w:val="auto"/>
          <w:kern w:val="2"/>
          <w:sz w:val="28"/>
          <w:szCs w:val="28"/>
        </w:rPr>
        <w:t>第六部分  附件--响应文件格式</w:t>
      </w:r>
      <w:bookmarkEnd w:id="184"/>
      <w:bookmarkEnd w:id="185"/>
    </w:p>
    <w:p>
      <w:pPr>
        <w:jc w:val="center"/>
        <w:rPr>
          <w:b/>
          <w:color w:val="auto"/>
          <w:sz w:val="44"/>
          <w:szCs w:val="44"/>
        </w:rPr>
      </w:pPr>
      <w:bookmarkStart w:id="188" w:name="_Toc30434"/>
      <w:bookmarkStart w:id="189" w:name="_Toc246928961"/>
      <w:bookmarkStart w:id="190" w:name="_Toc128557264"/>
      <w:bookmarkStart w:id="191" w:name="_Toc246928962"/>
      <w:r>
        <w:rPr>
          <w:rFonts w:hint="eastAsia"/>
          <w:b/>
          <w:color w:val="auto"/>
          <w:sz w:val="44"/>
          <w:szCs w:val="44"/>
        </w:rPr>
        <w:t>（封面</w:t>
      </w:r>
      <w:bookmarkEnd w:id="188"/>
      <w:r>
        <w:rPr>
          <w:rFonts w:hint="eastAsia"/>
          <w:b/>
          <w:color w:val="auto"/>
          <w:sz w:val="44"/>
          <w:szCs w:val="44"/>
        </w:rPr>
        <w:t>）</w:t>
      </w:r>
    </w:p>
    <w:p>
      <w:pPr>
        <w:jc w:val="center"/>
        <w:rPr>
          <w:b/>
          <w:color w:val="auto"/>
          <w:sz w:val="44"/>
          <w:szCs w:val="44"/>
        </w:rPr>
      </w:pPr>
    </w:p>
    <w:p>
      <w:pPr>
        <w:jc w:val="center"/>
        <w:rPr>
          <w:b/>
          <w:color w:val="auto"/>
          <w:sz w:val="44"/>
          <w:szCs w:val="44"/>
        </w:rPr>
      </w:pPr>
      <w:r>
        <w:rPr>
          <w:rFonts w:hint="eastAsia"/>
          <w:b/>
          <w:color w:val="auto"/>
          <w:sz w:val="44"/>
          <w:szCs w:val="44"/>
        </w:rPr>
        <w:t>项目名称</w:t>
      </w:r>
    </w:p>
    <w:p>
      <w:pPr>
        <w:rPr>
          <w:b/>
          <w:color w:val="auto"/>
          <w:sz w:val="48"/>
        </w:rPr>
      </w:pPr>
    </w:p>
    <w:p>
      <w:pPr>
        <w:rPr>
          <w:b/>
          <w:color w:val="auto"/>
          <w:sz w:val="48"/>
        </w:rPr>
      </w:pPr>
    </w:p>
    <w:p>
      <w:pPr>
        <w:rPr>
          <w:b/>
          <w:color w:val="auto"/>
          <w:sz w:val="48"/>
        </w:rPr>
      </w:pPr>
    </w:p>
    <w:p>
      <w:pPr>
        <w:jc w:val="center"/>
        <w:rPr>
          <w:b/>
          <w:color w:val="auto"/>
          <w:sz w:val="72"/>
          <w:szCs w:val="72"/>
        </w:rPr>
      </w:pPr>
      <w:r>
        <w:rPr>
          <w:rFonts w:hint="eastAsia"/>
          <w:b/>
          <w:color w:val="auto"/>
          <w:sz w:val="72"/>
          <w:szCs w:val="72"/>
        </w:rPr>
        <w:t>谈判响应文件</w:t>
      </w:r>
      <w:r>
        <w:rPr>
          <w:b/>
          <w:color w:val="auto"/>
          <w:sz w:val="72"/>
          <w:szCs w:val="72"/>
        </w:rPr>
        <w:t xml:space="preserve"> </w:t>
      </w:r>
    </w:p>
    <w:p>
      <w:pPr>
        <w:rPr>
          <w:b/>
          <w:color w:val="auto"/>
          <w:sz w:val="32"/>
        </w:rPr>
      </w:pPr>
    </w:p>
    <w:p>
      <w:pPr>
        <w:widowControl/>
        <w:spacing w:line="360" w:lineRule="auto"/>
        <w:jc w:val="center"/>
        <w:rPr>
          <w:color w:val="auto"/>
          <w:kern w:val="0"/>
          <w:sz w:val="24"/>
          <w:szCs w:val="24"/>
        </w:rPr>
      </w:pPr>
      <w:r>
        <w:rPr>
          <w:b/>
          <w:color w:val="auto"/>
          <w:sz w:val="32"/>
        </w:rPr>
        <w:t xml:space="preserve"> </w:t>
      </w:r>
    </w:p>
    <w:p>
      <w:pPr>
        <w:spacing w:line="360" w:lineRule="auto"/>
        <w:jc w:val="center"/>
        <w:rPr>
          <w:b/>
          <w:color w:val="auto"/>
          <w:sz w:val="32"/>
        </w:rPr>
      </w:pPr>
    </w:p>
    <w:p>
      <w:pPr>
        <w:spacing w:line="360" w:lineRule="auto"/>
        <w:jc w:val="center"/>
        <w:rPr>
          <w:b/>
          <w:color w:val="auto"/>
          <w:sz w:val="32"/>
        </w:rPr>
      </w:pPr>
    </w:p>
    <w:p>
      <w:pPr>
        <w:spacing w:line="360" w:lineRule="auto"/>
        <w:jc w:val="center"/>
        <w:rPr>
          <w:b/>
          <w:color w:val="auto"/>
          <w:sz w:val="32"/>
          <w:szCs w:val="32"/>
        </w:rPr>
      </w:pPr>
      <w:r>
        <w:rPr>
          <w:rFonts w:hint="eastAsia"/>
          <w:b/>
          <w:bCs/>
          <w:color w:val="auto"/>
          <w:sz w:val="32"/>
          <w:szCs w:val="32"/>
        </w:rPr>
        <w:t>（</w:t>
      </w:r>
      <w:r>
        <w:rPr>
          <w:rFonts w:hint="eastAsia"/>
          <w:b/>
          <w:bCs/>
          <w:color w:val="auto"/>
          <w:sz w:val="30"/>
          <w:szCs w:val="30"/>
        </w:rPr>
        <w:t>正本</w:t>
      </w:r>
      <w:r>
        <w:rPr>
          <w:b/>
          <w:bCs/>
          <w:color w:val="auto"/>
          <w:sz w:val="30"/>
          <w:szCs w:val="30"/>
        </w:rPr>
        <w:t>/</w:t>
      </w:r>
      <w:r>
        <w:rPr>
          <w:rFonts w:hint="eastAsia"/>
          <w:b/>
          <w:bCs/>
          <w:color w:val="auto"/>
          <w:sz w:val="30"/>
          <w:szCs w:val="30"/>
        </w:rPr>
        <w:t>副本</w:t>
      </w:r>
      <w:r>
        <w:rPr>
          <w:rFonts w:hint="eastAsia"/>
          <w:b/>
          <w:bCs/>
          <w:color w:val="auto"/>
          <w:sz w:val="32"/>
          <w:szCs w:val="32"/>
        </w:rPr>
        <w:t>）</w:t>
      </w:r>
    </w:p>
    <w:p>
      <w:pPr>
        <w:jc w:val="center"/>
        <w:rPr>
          <w:b/>
          <w:color w:val="auto"/>
          <w:sz w:val="52"/>
        </w:rPr>
      </w:pPr>
    </w:p>
    <w:p>
      <w:pPr>
        <w:rPr>
          <w:b/>
          <w:color w:val="auto"/>
          <w:sz w:val="32"/>
        </w:rPr>
      </w:pPr>
    </w:p>
    <w:p>
      <w:pPr>
        <w:rPr>
          <w:b/>
          <w:color w:val="auto"/>
          <w:sz w:val="32"/>
        </w:rPr>
      </w:pPr>
    </w:p>
    <w:p>
      <w:pPr>
        <w:spacing w:line="360" w:lineRule="auto"/>
        <w:ind w:firstLine="3514" w:firstLineChars="1250"/>
        <w:rPr>
          <w:b/>
          <w:color w:val="auto"/>
          <w:sz w:val="28"/>
        </w:rPr>
      </w:pPr>
      <w:r>
        <w:rPr>
          <w:rFonts w:hint="eastAsia"/>
          <w:b/>
          <w:color w:val="auto"/>
          <w:sz w:val="28"/>
        </w:rPr>
        <w:t>供应商名称：（公章）</w:t>
      </w:r>
    </w:p>
    <w:p>
      <w:pPr>
        <w:jc w:val="center"/>
        <w:rPr>
          <w:b/>
          <w:color w:val="auto"/>
          <w:sz w:val="28"/>
        </w:rPr>
      </w:pPr>
    </w:p>
    <w:p>
      <w:pPr>
        <w:jc w:val="center"/>
        <w:rPr>
          <w:b/>
          <w:color w:val="auto"/>
          <w:sz w:val="28"/>
        </w:rPr>
      </w:pPr>
      <w:r>
        <w:rPr>
          <w:rFonts w:hint="eastAsia"/>
          <w:b/>
          <w:color w:val="auto"/>
          <w:sz w:val="28"/>
        </w:rPr>
        <w:t xml:space="preserve">  年  月  日</w:t>
      </w:r>
    </w:p>
    <w:p>
      <w:pPr>
        <w:jc w:val="left"/>
        <w:rPr>
          <w:color w:val="auto"/>
        </w:rPr>
      </w:pPr>
    </w:p>
    <w:p>
      <w:pPr>
        <w:pStyle w:val="6"/>
        <w:ind w:left="0" w:firstLine="0"/>
        <w:rPr>
          <w:rFonts w:ascii="Times New Roman" w:hAnsi="Times New Roman" w:eastAsia="宋体"/>
          <w:color w:val="auto"/>
        </w:rPr>
      </w:pPr>
      <w:bookmarkStart w:id="192" w:name="_Toc21305"/>
      <w:bookmarkStart w:id="193" w:name="_Toc357087380"/>
    </w:p>
    <w:p>
      <w:pPr>
        <w:rPr>
          <w:color w:val="auto"/>
        </w:rPr>
      </w:pPr>
    </w:p>
    <w:p>
      <w:pPr>
        <w:overflowPunct w:val="0"/>
        <w:adjustRightInd w:val="0"/>
        <w:snapToGrid w:val="0"/>
        <w:spacing w:line="440" w:lineRule="exact"/>
        <w:jc w:val="center"/>
        <w:rPr>
          <w:rFonts w:ascii="宋体" w:hAnsi="宋体"/>
          <w:b/>
          <w:bCs/>
          <w:color w:val="auto"/>
          <w:sz w:val="28"/>
          <w:szCs w:val="28"/>
        </w:rPr>
      </w:pPr>
    </w:p>
    <w:p>
      <w:pPr>
        <w:overflowPunct w:val="0"/>
        <w:adjustRightInd w:val="0"/>
        <w:snapToGrid w:val="0"/>
        <w:spacing w:line="440" w:lineRule="exact"/>
        <w:jc w:val="center"/>
        <w:rPr>
          <w:rFonts w:ascii="宋体" w:hAnsi="宋体"/>
          <w:b/>
          <w:bCs/>
          <w:color w:val="auto"/>
          <w:sz w:val="28"/>
          <w:szCs w:val="28"/>
        </w:rPr>
      </w:pPr>
    </w:p>
    <w:p>
      <w:pPr>
        <w:overflowPunct w:val="0"/>
        <w:adjustRightInd w:val="0"/>
        <w:snapToGrid w:val="0"/>
        <w:spacing w:line="440" w:lineRule="exact"/>
        <w:jc w:val="center"/>
        <w:rPr>
          <w:rFonts w:ascii="宋体" w:hAnsi="宋体"/>
          <w:b/>
          <w:bCs/>
          <w:color w:val="auto"/>
          <w:sz w:val="28"/>
          <w:szCs w:val="28"/>
        </w:rPr>
      </w:pPr>
    </w:p>
    <w:p>
      <w:pPr>
        <w:overflowPunct w:val="0"/>
        <w:adjustRightInd w:val="0"/>
        <w:snapToGrid w:val="0"/>
        <w:spacing w:line="440" w:lineRule="exact"/>
        <w:jc w:val="center"/>
        <w:rPr>
          <w:rFonts w:ascii="宋体" w:hAnsi="宋体"/>
          <w:b/>
          <w:bCs/>
          <w:color w:val="auto"/>
          <w:sz w:val="28"/>
          <w:szCs w:val="28"/>
        </w:rPr>
      </w:pPr>
    </w:p>
    <w:p>
      <w:pPr>
        <w:overflowPunct w:val="0"/>
        <w:adjustRightInd w:val="0"/>
        <w:snapToGrid w:val="0"/>
        <w:spacing w:line="440" w:lineRule="exact"/>
        <w:jc w:val="center"/>
        <w:rPr>
          <w:rFonts w:ascii="宋体" w:hAnsi="宋体"/>
          <w:b/>
          <w:bCs/>
          <w:color w:val="auto"/>
          <w:sz w:val="28"/>
          <w:szCs w:val="28"/>
        </w:rPr>
      </w:pPr>
      <w:r>
        <w:rPr>
          <w:rFonts w:hint="eastAsia" w:ascii="宋体" w:hAnsi="宋体"/>
          <w:b/>
          <w:bCs/>
          <w:color w:val="auto"/>
          <w:sz w:val="28"/>
          <w:szCs w:val="28"/>
        </w:rPr>
        <w:t>供应商编写的响应资信文件应包括下列部分：</w:t>
      </w:r>
    </w:p>
    <w:p>
      <w:pPr>
        <w:pStyle w:val="2"/>
        <w:ind w:firstLine="400"/>
        <w:rPr>
          <w:color w:val="auto"/>
        </w:rPr>
      </w:pPr>
    </w:p>
    <w:p>
      <w:pPr>
        <w:overflowPunct w:val="0"/>
        <w:adjustRightInd w:val="0"/>
        <w:snapToGrid w:val="0"/>
        <w:spacing w:line="440" w:lineRule="exact"/>
        <w:jc w:val="left"/>
        <w:rPr>
          <w:rFonts w:ascii="宋体" w:hAnsi="宋体"/>
          <w:color w:val="auto"/>
        </w:rPr>
      </w:pPr>
      <w:r>
        <w:rPr>
          <w:rFonts w:hint="eastAsia" w:ascii="宋体" w:hAnsi="宋体"/>
          <w:color w:val="auto"/>
        </w:rPr>
        <w:t>（1）法定代表人身份证明和本人有效身份证(或法定代表人授权委托书和委托代理人有效身份证)（格式见附件）；</w:t>
      </w:r>
    </w:p>
    <w:p>
      <w:pPr>
        <w:overflowPunct w:val="0"/>
        <w:adjustRightInd w:val="0"/>
        <w:snapToGrid w:val="0"/>
        <w:spacing w:line="440" w:lineRule="exact"/>
        <w:jc w:val="left"/>
        <w:rPr>
          <w:rFonts w:ascii="宋体" w:hAnsi="宋体"/>
          <w:color w:val="auto"/>
        </w:rPr>
      </w:pPr>
      <w:r>
        <w:rPr>
          <w:rFonts w:hint="eastAsia" w:ascii="宋体" w:hAnsi="宋体"/>
          <w:color w:val="auto"/>
        </w:rPr>
        <w:t>（2）供应商具有合法有效的营业执照、组织机构代码证、税务登记证（或三证合一的营业执照 ）；</w:t>
      </w:r>
    </w:p>
    <w:p>
      <w:pPr>
        <w:overflowPunct w:val="0"/>
        <w:adjustRightInd w:val="0"/>
        <w:snapToGrid w:val="0"/>
        <w:spacing w:line="440" w:lineRule="exact"/>
        <w:jc w:val="left"/>
        <w:rPr>
          <w:rFonts w:ascii="宋体" w:hAnsi="宋体"/>
          <w:color w:val="auto"/>
        </w:rPr>
      </w:pPr>
      <w:r>
        <w:rPr>
          <w:rFonts w:hint="eastAsia" w:hAnsi="宋体"/>
          <w:color w:val="auto"/>
        </w:rPr>
        <w:t>（3）</w:t>
      </w:r>
      <w:r>
        <w:rPr>
          <w:rFonts w:hint="eastAsia" w:ascii="宋体" w:hAnsi="宋体"/>
          <w:color w:val="auto"/>
        </w:rPr>
        <w:t>诚信谈判承诺书（格式见附件）；</w:t>
      </w:r>
    </w:p>
    <w:p>
      <w:pPr>
        <w:overflowPunct w:val="0"/>
        <w:adjustRightInd w:val="0"/>
        <w:snapToGrid w:val="0"/>
        <w:spacing w:line="440" w:lineRule="exact"/>
        <w:jc w:val="left"/>
        <w:rPr>
          <w:color w:val="auto"/>
        </w:rPr>
      </w:pPr>
      <w:r>
        <w:rPr>
          <w:rFonts w:hint="eastAsia" w:ascii="宋体" w:hAnsi="宋体"/>
          <w:color w:val="auto"/>
        </w:rPr>
        <w:t>（4）参加采购活动近三年内，在经营活动中没有重大违法记录的声明（格式见附件）；</w:t>
      </w:r>
    </w:p>
    <w:p>
      <w:pPr>
        <w:overflowPunct w:val="0"/>
        <w:adjustRightInd w:val="0"/>
        <w:snapToGrid w:val="0"/>
        <w:spacing w:line="440" w:lineRule="exact"/>
        <w:jc w:val="left"/>
        <w:rPr>
          <w:rFonts w:ascii="宋体" w:hAnsi="宋体"/>
          <w:color w:val="auto"/>
        </w:rPr>
      </w:pPr>
      <w:r>
        <w:rPr>
          <w:rFonts w:hint="eastAsia" w:ascii="宋体" w:hAnsi="宋体"/>
          <w:color w:val="auto"/>
        </w:rPr>
        <w:t>（5）谈判报价函（格式见附件）；</w:t>
      </w:r>
    </w:p>
    <w:p>
      <w:pPr>
        <w:pStyle w:val="2"/>
        <w:spacing w:line="440" w:lineRule="exact"/>
        <w:ind w:firstLine="0" w:firstLineChars="0"/>
        <w:jc w:val="left"/>
        <w:rPr>
          <w:color w:val="auto"/>
        </w:rPr>
      </w:pPr>
      <w:r>
        <w:rPr>
          <w:rFonts w:hint="eastAsia" w:hAnsi="宋体" w:cs="宋体"/>
          <w:b/>
          <w:color w:val="auto"/>
          <w:kern w:val="2"/>
          <w:sz w:val="21"/>
          <w:szCs w:val="21"/>
        </w:rPr>
        <w:t>以上证明材料须按顺序装订，每页均须加盖投标单位公章。供应商所提交的响应文件资料的完整与否，直接影响供应商的响应文件评审。</w:t>
      </w:r>
    </w:p>
    <w:p>
      <w:pPr>
        <w:pStyle w:val="2"/>
        <w:spacing w:line="440" w:lineRule="exact"/>
        <w:ind w:firstLine="422"/>
        <w:jc w:val="left"/>
        <w:rPr>
          <w:rFonts w:hAnsi="宋体" w:cs="宋体"/>
          <w:b/>
          <w:color w:val="auto"/>
          <w:kern w:val="2"/>
          <w:sz w:val="21"/>
          <w:szCs w:val="21"/>
        </w:rPr>
      </w:pPr>
    </w:p>
    <w:p>
      <w:pPr>
        <w:pStyle w:val="2"/>
        <w:ind w:firstLine="400"/>
        <w:rPr>
          <w:rFonts w:hAnsi="宋体"/>
          <w:color w:val="auto"/>
        </w:rPr>
      </w:pPr>
    </w:p>
    <w:p>
      <w:pPr>
        <w:rPr>
          <w:rFonts w:ascii="宋体" w:hAnsi="宋体"/>
          <w:color w:val="auto"/>
        </w:rPr>
      </w:pPr>
    </w:p>
    <w:p>
      <w:pPr>
        <w:pStyle w:val="2"/>
        <w:ind w:firstLine="400"/>
        <w:rPr>
          <w:rFonts w:hAnsi="宋体"/>
          <w:color w:val="auto"/>
        </w:rPr>
      </w:pPr>
    </w:p>
    <w:p>
      <w:pPr>
        <w:rPr>
          <w:rFonts w:ascii="宋体" w:hAnsi="宋体"/>
          <w:color w:val="auto"/>
        </w:rPr>
      </w:pPr>
    </w:p>
    <w:p>
      <w:pPr>
        <w:pStyle w:val="2"/>
        <w:ind w:firstLine="400"/>
        <w:rPr>
          <w:rFonts w:hAnsi="宋体"/>
          <w:color w:val="auto"/>
        </w:rPr>
      </w:pPr>
    </w:p>
    <w:p>
      <w:pPr>
        <w:rPr>
          <w:rFonts w:ascii="宋体" w:hAnsi="宋体"/>
          <w:color w:val="auto"/>
        </w:rPr>
      </w:pPr>
    </w:p>
    <w:p>
      <w:pPr>
        <w:pStyle w:val="2"/>
        <w:ind w:firstLine="400"/>
        <w:rPr>
          <w:rFonts w:hAnsi="宋体"/>
          <w:color w:val="auto"/>
        </w:rPr>
      </w:pPr>
    </w:p>
    <w:p>
      <w:pPr>
        <w:rPr>
          <w:rFonts w:ascii="宋体" w:hAnsi="宋体"/>
          <w:color w:val="auto"/>
        </w:rPr>
      </w:pPr>
    </w:p>
    <w:p>
      <w:pPr>
        <w:pStyle w:val="2"/>
        <w:ind w:firstLine="400"/>
        <w:rPr>
          <w:rFonts w:hAnsi="宋体"/>
          <w:color w:val="auto"/>
        </w:rPr>
      </w:pPr>
    </w:p>
    <w:p>
      <w:pPr>
        <w:rPr>
          <w:rFonts w:ascii="宋体" w:hAnsi="宋体"/>
          <w:color w:val="auto"/>
        </w:rPr>
      </w:pPr>
    </w:p>
    <w:p>
      <w:pPr>
        <w:pStyle w:val="2"/>
        <w:ind w:firstLine="400"/>
        <w:rPr>
          <w:rFonts w:hAnsi="宋体"/>
          <w:color w:val="auto"/>
        </w:rPr>
      </w:pPr>
    </w:p>
    <w:p>
      <w:pPr>
        <w:rPr>
          <w:rFonts w:ascii="宋体" w:hAnsi="宋体"/>
          <w:color w:val="auto"/>
        </w:rPr>
      </w:pPr>
    </w:p>
    <w:p>
      <w:pPr>
        <w:pStyle w:val="2"/>
        <w:ind w:firstLine="0" w:firstLineChars="0"/>
        <w:rPr>
          <w:color w:val="auto"/>
        </w:rPr>
      </w:pPr>
    </w:p>
    <w:p>
      <w:pPr>
        <w:pStyle w:val="6"/>
        <w:rPr>
          <w:color w:val="auto"/>
        </w:rPr>
      </w:pPr>
    </w:p>
    <w:p>
      <w:pPr>
        <w:rPr>
          <w:color w:val="auto"/>
        </w:rPr>
      </w:pPr>
    </w:p>
    <w:p>
      <w:pPr>
        <w:pStyle w:val="2"/>
        <w:ind w:firstLine="400"/>
        <w:rPr>
          <w:color w:val="auto"/>
        </w:rPr>
      </w:pPr>
    </w:p>
    <w:p>
      <w:pPr>
        <w:rPr>
          <w:color w:val="auto"/>
        </w:rPr>
      </w:pPr>
    </w:p>
    <w:p>
      <w:pPr>
        <w:pStyle w:val="2"/>
        <w:ind w:firstLine="400"/>
        <w:rPr>
          <w:color w:val="auto"/>
        </w:rPr>
      </w:pPr>
    </w:p>
    <w:p>
      <w:pPr>
        <w:pStyle w:val="9"/>
        <w:jc w:val="center"/>
        <w:rPr>
          <w:rFonts w:ascii="宋体" w:hAnsi="宋体" w:cs="宋体"/>
          <w:color w:val="auto"/>
          <w:sz w:val="28"/>
          <w:szCs w:val="28"/>
        </w:rPr>
      </w:pPr>
      <w:r>
        <w:rPr>
          <w:rFonts w:hint="eastAsia" w:ascii="宋体" w:hAnsi="宋体" w:cs="宋体"/>
          <w:color w:val="auto"/>
          <w:sz w:val="28"/>
          <w:szCs w:val="28"/>
        </w:rPr>
        <w:t>（1）法定代表人身份证明</w:t>
      </w:r>
    </w:p>
    <w:p>
      <w:pPr>
        <w:spacing w:line="440" w:lineRule="exact"/>
        <w:rPr>
          <w:color w:val="auto"/>
        </w:rPr>
      </w:pPr>
      <w:r>
        <w:rPr>
          <w:rFonts w:hint="eastAsia"/>
          <w:color w:val="auto"/>
        </w:rPr>
        <w:t>供应商</w:t>
      </w:r>
      <w:r>
        <w:rPr>
          <w:color w:val="auto"/>
        </w:rPr>
        <w:t>名称：</w:t>
      </w:r>
      <w:r>
        <w:rPr>
          <w:color w:val="auto"/>
          <w:u w:val="single"/>
        </w:rPr>
        <w:t xml:space="preserve">                            </w:t>
      </w:r>
      <w:r>
        <w:rPr>
          <w:color w:val="auto"/>
        </w:rPr>
        <w:t xml:space="preserve"> </w:t>
      </w:r>
    </w:p>
    <w:p>
      <w:pPr>
        <w:spacing w:line="440" w:lineRule="exact"/>
        <w:rPr>
          <w:color w:val="auto"/>
        </w:rPr>
      </w:pPr>
      <w:r>
        <w:rPr>
          <w:color w:val="auto"/>
        </w:rPr>
        <w:t>单位性质：</w:t>
      </w:r>
      <w:r>
        <w:rPr>
          <w:color w:val="auto"/>
          <w:u w:val="single"/>
        </w:rPr>
        <w:t xml:space="preserve">                               </w:t>
      </w:r>
      <w:r>
        <w:rPr>
          <w:color w:val="auto"/>
        </w:rPr>
        <w:t xml:space="preserve"> </w:t>
      </w:r>
    </w:p>
    <w:p>
      <w:pPr>
        <w:spacing w:line="440" w:lineRule="exact"/>
        <w:rPr>
          <w:color w:val="auto"/>
        </w:rPr>
      </w:pPr>
      <w:r>
        <w:rPr>
          <w:color w:val="auto"/>
        </w:rPr>
        <w:t>地址：</w:t>
      </w:r>
      <w:r>
        <w:rPr>
          <w:color w:val="auto"/>
          <w:u w:val="single"/>
        </w:rPr>
        <w:t xml:space="preserve">                                   </w:t>
      </w:r>
    </w:p>
    <w:p>
      <w:pPr>
        <w:spacing w:line="440" w:lineRule="exact"/>
        <w:rPr>
          <w:color w:val="auto"/>
        </w:rPr>
      </w:pPr>
      <w:r>
        <w:rPr>
          <w:color w:val="auto"/>
        </w:rPr>
        <w:t>成立时间：</w:t>
      </w: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日</w:t>
      </w:r>
    </w:p>
    <w:p>
      <w:pPr>
        <w:spacing w:line="440" w:lineRule="exact"/>
        <w:rPr>
          <w:color w:val="auto"/>
        </w:rPr>
      </w:pPr>
      <w:r>
        <w:rPr>
          <w:color w:val="auto"/>
        </w:rPr>
        <w:t>经营期限：</w:t>
      </w:r>
      <w:r>
        <w:rPr>
          <w:color w:val="auto"/>
          <w:u w:val="single"/>
        </w:rPr>
        <w:t xml:space="preserve">                               </w:t>
      </w:r>
    </w:p>
    <w:p>
      <w:pPr>
        <w:spacing w:line="440" w:lineRule="exact"/>
        <w:rPr>
          <w:color w:val="auto"/>
        </w:rPr>
      </w:pPr>
      <w:r>
        <w:rPr>
          <w:color w:val="auto"/>
        </w:rPr>
        <w:t>姓名：</w:t>
      </w:r>
      <w:r>
        <w:rPr>
          <w:color w:val="auto"/>
          <w:u w:val="single"/>
        </w:rPr>
        <w:t xml:space="preserve">        </w:t>
      </w:r>
      <w:r>
        <w:rPr>
          <w:rFonts w:hint="eastAsia"/>
          <w:color w:val="auto"/>
          <w:u w:val="single"/>
        </w:rPr>
        <w:t xml:space="preserve"> </w:t>
      </w:r>
      <w:r>
        <w:rPr>
          <w:color w:val="auto"/>
        </w:rPr>
        <w:t xml:space="preserve"> 性别：</w:t>
      </w:r>
      <w:r>
        <w:rPr>
          <w:color w:val="auto"/>
          <w:u w:val="single"/>
        </w:rPr>
        <w:t xml:space="preserve">         </w:t>
      </w:r>
      <w:r>
        <w:rPr>
          <w:color w:val="auto"/>
        </w:rPr>
        <w:t>年龄：</w:t>
      </w:r>
      <w:r>
        <w:rPr>
          <w:color w:val="auto"/>
          <w:u w:val="single"/>
        </w:rPr>
        <w:t xml:space="preserve">        </w:t>
      </w:r>
      <w:r>
        <w:rPr>
          <w:color w:val="auto"/>
        </w:rPr>
        <w:t>职务：</w:t>
      </w:r>
      <w:r>
        <w:rPr>
          <w:color w:val="auto"/>
          <w:u w:val="single"/>
        </w:rPr>
        <w:t xml:space="preserve">        </w:t>
      </w:r>
    </w:p>
    <w:p>
      <w:pPr>
        <w:spacing w:line="440" w:lineRule="exact"/>
        <w:rPr>
          <w:color w:val="auto"/>
        </w:rPr>
      </w:pPr>
      <w:r>
        <w:rPr>
          <w:color w:val="auto"/>
        </w:rPr>
        <w:t>系</w:t>
      </w:r>
      <w:r>
        <w:rPr>
          <w:color w:val="auto"/>
          <w:u w:val="single"/>
        </w:rPr>
        <w:t xml:space="preserve">                             </w:t>
      </w:r>
      <w:r>
        <w:rPr>
          <w:color w:val="auto"/>
        </w:rPr>
        <w:t xml:space="preserve"> </w:t>
      </w:r>
      <w:r>
        <w:rPr>
          <w:rFonts w:hint="eastAsia"/>
          <w:color w:val="auto"/>
        </w:rPr>
        <w:t>（供应商</w:t>
      </w:r>
      <w:r>
        <w:rPr>
          <w:color w:val="auto"/>
        </w:rPr>
        <w:t>名称</w:t>
      </w:r>
      <w:r>
        <w:rPr>
          <w:rFonts w:hint="eastAsia"/>
          <w:color w:val="auto"/>
        </w:rPr>
        <w:t>）</w:t>
      </w:r>
      <w:r>
        <w:rPr>
          <w:color w:val="auto"/>
        </w:rPr>
        <w:t>的法定代表人。</w:t>
      </w:r>
    </w:p>
    <w:p>
      <w:pPr>
        <w:spacing w:line="440" w:lineRule="exact"/>
        <w:ind w:firstLine="420" w:firstLineChars="200"/>
        <w:rPr>
          <w:color w:val="auto"/>
        </w:rPr>
      </w:pPr>
      <w:r>
        <w:rPr>
          <w:color w:val="auto"/>
        </w:rPr>
        <w:t>特此证明。</w:t>
      </w:r>
    </w:p>
    <w:p>
      <w:pPr>
        <w:spacing w:line="440" w:lineRule="exact"/>
        <w:rPr>
          <w:b/>
          <w:bCs/>
          <w:color w:val="auto"/>
        </w:rPr>
      </w:pPr>
      <w:r>
        <w:rPr>
          <w:rFonts w:hint="eastAsia"/>
          <w:b/>
          <w:bCs/>
          <w:color w:val="auto"/>
        </w:rPr>
        <w:t>附：法定代表人有效身份证</w:t>
      </w:r>
    </w:p>
    <w:p>
      <w:pPr>
        <w:spacing w:line="440" w:lineRule="exact"/>
        <w:rPr>
          <w:color w:val="auto"/>
        </w:rPr>
      </w:pPr>
      <w:r>
        <w:rPr>
          <w:color w:val="auto"/>
        </w:rPr>
        <w:t xml:space="preserve">                          </w:t>
      </w:r>
      <w:r>
        <w:rPr>
          <w:rFonts w:hint="eastAsia"/>
          <w:color w:val="auto"/>
        </w:rPr>
        <w:t xml:space="preserve">                      供应商</w:t>
      </w:r>
      <w:r>
        <w:rPr>
          <w:color w:val="auto"/>
        </w:rPr>
        <w:t>：</w:t>
      </w:r>
      <w:r>
        <w:rPr>
          <w:color w:val="auto"/>
          <w:u w:val="single"/>
        </w:rPr>
        <w:t xml:space="preserve">                 </w:t>
      </w:r>
      <w:r>
        <w:rPr>
          <w:color w:val="auto"/>
        </w:rPr>
        <w:t>（盖单位章）</w:t>
      </w:r>
    </w:p>
    <w:p>
      <w:pPr>
        <w:spacing w:line="440" w:lineRule="exact"/>
        <w:rPr>
          <w:color w:val="auto"/>
        </w:rPr>
      </w:pPr>
      <w:r>
        <w:rPr>
          <w:color w:val="auto"/>
        </w:rPr>
        <w:t xml:space="preserve">                                </w:t>
      </w:r>
      <w:r>
        <w:rPr>
          <w:rFonts w:hint="eastAsia"/>
          <w:color w:val="auto"/>
        </w:rPr>
        <w:t xml:space="preserve">                        </w:t>
      </w: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 xml:space="preserve">日           </w:t>
      </w:r>
    </w:p>
    <w:p>
      <w:pPr>
        <w:spacing w:line="540" w:lineRule="exact"/>
        <w:rPr>
          <w:color w:val="auto"/>
        </w:rPr>
      </w:pPr>
    </w:p>
    <w:p>
      <w:pPr>
        <w:pStyle w:val="9"/>
        <w:jc w:val="center"/>
        <w:rPr>
          <w:rFonts w:ascii="宋体" w:hAnsi="宋体" w:cs="宋体"/>
          <w:color w:val="auto"/>
          <w:sz w:val="28"/>
          <w:szCs w:val="28"/>
        </w:rPr>
      </w:pPr>
      <w:r>
        <w:rPr>
          <w:rFonts w:hint="eastAsia" w:ascii="宋体" w:hAnsi="宋体" w:cs="宋体"/>
          <w:color w:val="auto"/>
          <w:sz w:val="28"/>
          <w:szCs w:val="28"/>
        </w:rPr>
        <w:t>或（1）授权委托书</w:t>
      </w:r>
    </w:p>
    <w:p>
      <w:pPr>
        <w:spacing w:line="500" w:lineRule="exact"/>
        <w:ind w:firstLine="420" w:firstLineChars="200"/>
        <w:rPr>
          <w:color w:val="auto"/>
        </w:rPr>
      </w:pPr>
      <w:r>
        <w:rPr>
          <w:rFonts w:hint="eastAsia"/>
          <w:color w:val="auto"/>
        </w:rPr>
        <w:t>本授权委托书声明：我</w:t>
      </w:r>
      <w:r>
        <w:rPr>
          <w:rFonts w:hint="eastAsia"/>
          <w:color w:val="auto"/>
          <w:u w:val="single"/>
        </w:rPr>
        <w:t xml:space="preserve">         （姓名）</w:t>
      </w:r>
      <w:r>
        <w:rPr>
          <w:rFonts w:hint="eastAsia"/>
          <w:color w:val="auto"/>
        </w:rPr>
        <w:t>系</w:t>
      </w:r>
      <w:r>
        <w:rPr>
          <w:rFonts w:hint="eastAsia"/>
          <w:color w:val="auto"/>
          <w:u w:val="single"/>
        </w:rPr>
        <w:t xml:space="preserve">          （供应商名称）</w:t>
      </w:r>
      <w:r>
        <w:rPr>
          <w:rFonts w:hint="eastAsia"/>
          <w:color w:val="auto"/>
        </w:rPr>
        <w:t>的法定代表人，现授权委托</w:t>
      </w:r>
      <w:r>
        <w:rPr>
          <w:rFonts w:hint="eastAsia"/>
          <w:color w:val="auto"/>
          <w:u w:val="single"/>
        </w:rPr>
        <w:t xml:space="preserve">        （单位名称）   </w:t>
      </w:r>
      <w:r>
        <w:rPr>
          <w:rFonts w:hint="eastAsia"/>
          <w:color w:val="auto"/>
        </w:rPr>
        <w:t>的</w:t>
      </w:r>
      <w:r>
        <w:rPr>
          <w:rFonts w:hint="eastAsia"/>
          <w:color w:val="auto"/>
          <w:u w:val="single"/>
        </w:rPr>
        <w:t xml:space="preserve">     （姓名） </w:t>
      </w:r>
      <w:r>
        <w:rPr>
          <w:rFonts w:hint="eastAsia"/>
          <w:color w:val="auto"/>
        </w:rPr>
        <w:t>为我公司法定代表人授权委托代理人，参加</w:t>
      </w:r>
      <w:r>
        <w:rPr>
          <w:rFonts w:hint="eastAsia"/>
          <w:color w:val="auto"/>
          <w:u w:val="single"/>
        </w:rPr>
        <w:t xml:space="preserve">      采购人     </w:t>
      </w:r>
      <w:r>
        <w:rPr>
          <w:rFonts w:hint="eastAsia"/>
          <w:color w:val="auto"/>
        </w:rPr>
        <w:t>的</w:t>
      </w:r>
      <w:r>
        <w:rPr>
          <w:rFonts w:hint="eastAsia"/>
          <w:color w:val="auto"/>
          <w:u w:val="single"/>
        </w:rPr>
        <w:t xml:space="preserve">                    </w:t>
      </w:r>
      <w:r>
        <w:rPr>
          <w:rFonts w:hint="eastAsia"/>
          <w:color w:val="auto"/>
        </w:rPr>
        <w:t xml:space="preserve"> 的谈判项目。代理人在谈判、开标、评标、合同谈判过程中所签署的一切文件和处理与之有关的一切事务，我均予以承认。</w:t>
      </w:r>
    </w:p>
    <w:p>
      <w:pPr>
        <w:spacing w:line="500" w:lineRule="exact"/>
        <w:ind w:firstLine="420" w:firstLineChars="200"/>
        <w:rPr>
          <w:color w:val="auto"/>
        </w:rPr>
      </w:pPr>
      <w:r>
        <w:rPr>
          <w:rFonts w:hint="eastAsia"/>
          <w:color w:val="auto"/>
        </w:rPr>
        <w:t>代理人无转委托权，特此委托。</w:t>
      </w:r>
    </w:p>
    <w:p>
      <w:pPr>
        <w:spacing w:line="500" w:lineRule="exact"/>
        <w:ind w:right="24" w:firstLine="422" w:firstLineChars="200"/>
        <w:rPr>
          <w:color w:val="auto"/>
        </w:rPr>
      </w:pPr>
      <w:r>
        <w:rPr>
          <w:rFonts w:hint="eastAsia"/>
          <w:b/>
          <w:bCs/>
          <w:color w:val="auto"/>
        </w:rPr>
        <w:t xml:space="preserve">   附：授权代理人有效身份证  </w:t>
      </w:r>
      <w:r>
        <w:rPr>
          <w:rFonts w:hint="eastAsia"/>
          <w:color w:val="auto"/>
        </w:rPr>
        <w:t xml:space="preserve">        </w:t>
      </w:r>
    </w:p>
    <w:p>
      <w:pPr>
        <w:spacing w:line="500" w:lineRule="exact"/>
        <w:ind w:right="24" w:firstLine="420" w:firstLineChars="200"/>
        <w:rPr>
          <w:color w:val="auto"/>
        </w:rPr>
      </w:pPr>
      <w:r>
        <w:rPr>
          <w:rFonts w:hint="eastAsia"/>
          <w:color w:val="auto"/>
        </w:rPr>
        <w:t xml:space="preserve">                                      授权代理人：</w:t>
      </w:r>
      <w:r>
        <w:rPr>
          <w:rFonts w:hint="eastAsia"/>
          <w:color w:val="auto"/>
          <w:u w:val="single"/>
        </w:rPr>
        <w:t xml:space="preserve">        （签字或盖章）      </w:t>
      </w:r>
    </w:p>
    <w:p>
      <w:pPr>
        <w:spacing w:line="500" w:lineRule="exact"/>
        <w:ind w:firstLine="2205" w:firstLineChars="1050"/>
        <w:rPr>
          <w:color w:val="auto"/>
        </w:rPr>
      </w:pPr>
      <w:r>
        <w:rPr>
          <w:rFonts w:hint="eastAsia"/>
          <w:color w:val="auto"/>
        </w:rPr>
        <w:t xml:space="preserve">                     供应商：</w:t>
      </w:r>
      <w:r>
        <w:rPr>
          <w:rFonts w:hint="eastAsia"/>
          <w:color w:val="auto"/>
          <w:u w:val="single"/>
        </w:rPr>
        <w:t xml:space="preserve">           （盖章）         </w:t>
      </w:r>
    </w:p>
    <w:p>
      <w:pPr>
        <w:spacing w:line="500" w:lineRule="exact"/>
        <w:ind w:right="204" w:firstLine="2205" w:firstLineChars="1050"/>
        <w:rPr>
          <w:color w:val="auto"/>
        </w:rPr>
      </w:pPr>
      <w:r>
        <w:rPr>
          <w:rFonts w:hint="eastAsia"/>
          <w:color w:val="auto"/>
        </w:rPr>
        <w:t xml:space="preserve">                     法定代表人：</w:t>
      </w:r>
      <w:r>
        <w:rPr>
          <w:rFonts w:hint="eastAsia"/>
          <w:color w:val="auto"/>
          <w:u w:val="single"/>
        </w:rPr>
        <w:t xml:space="preserve">        （签字或盖章）      </w:t>
      </w:r>
    </w:p>
    <w:p>
      <w:pPr>
        <w:wordWrap w:val="0"/>
        <w:spacing w:line="500" w:lineRule="exact"/>
        <w:ind w:firstLine="420" w:firstLineChars="200"/>
        <w:jc w:val="center"/>
        <w:rPr>
          <w:color w:val="auto"/>
        </w:rPr>
      </w:pPr>
      <w:r>
        <w:rPr>
          <w:rFonts w:hint="eastAsia"/>
          <w:color w:val="auto"/>
        </w:rPr>
        <w:t xml:space="preserve">                          日    期：</w:t>
      </w:r>
      <w:r>
        <w:rPr>
          <w:rFonts w:hint="eastAsia"/>
          <w:color w:val="auto"/>
          <w:u w:val="single"/>
        </w:rPr>
        <w:t xml:space="preserve">           年    月    日 </w:t>
      </w:r>
    </w:p>
    <w:p>
      <w:pPr>
        <w:pStyle w:val="2"/>
        <w:ind w:firstLine="400"/>
        <w:rPr>
          <w:color w:val="auto"/>
        </w:rPr>
      </w:pPr>
    </w:p>
    <w:p>
      <w:pPr>
        <w:ind w:firstLine="3204" w:firstLineChars="1140"/>
        <w:rPr>
          <w:rFonts w:ascii="宋体" w:hAnsi="宋体" w:cs="宋体"/>
          <w:b/>
          <w:bCs/>
          <w:color w:val="auto"/>
          <w:sz w:val="28"/>
          <w:szCs w:val="28"/>
        </w:rPr>
      </w:pPr>
    </w:p>
    <w:p>
      <w:pPr>
        <w:ind w:firstLine="3204" w:firstLineChars="1140"/>
        <w:rPr>
          <w:rFonts w:ascii="宋体" w:hAnsi="宋体" w:cs="宋体"/>
          <w:b/>
          <w:bCs/>
          <w:color w:val="auto"/>
          <w:sz w:val="28"/>
          <w:szCs w:val="28"/>
        </w:rPr>
      </w:pPr>
    </w:p>
    <w:p>
      <w:pPr>
        <w:pStyle w:val="2"/>
        <w:ind w:firstLine="400"/>
        <w:rPr>
          <w:color w:val="auto"/>
        </w:rPr>
      </w:pPr>
    </w:p>
    <w:p>
      <w:pPr>
        <w:ind w:firstLine="3483" w:firstLineChars="1239"/>
        <w:rPr>
          <w:rFonts w:ascii="宋体" w:hAnsi="宋体" w:cs="宋体"/>
          <w:b/>
          <w:bCs/>
          <w:color w:val="auto"/>
          <w:sz w:val="28"/>
          <w:szCs w:val="28"/>
        </w:rPr>
      </w:pPr>
      <w:r>
        <w:rPr>
          <w:rFonts w:hint="eastAsia" w:ascii="宋体" w:hAnsi="宋体" w:cs="宋体"/>
          <w:b/>
          <w:bCs/>
          <w:color w:val="auto"/>
          <w:sz w:val="28"/>
          <w:szCs w:val="28"/>
        </w:rPr>
        <w:t>诚信谈判承诺书</w:t>
      </w:r>
    </w:p>
    <w:p>
      <w:pPr>
        <w:spacing w:line="440" w:lineRule="exact"/>
        <w:rPr>
          <w:rFonts w:ascii="宋体" w:hAnsi="宋体"/>
          <w:color w:val="auto"/>
        </w:rPr>
      </w:pPr>
      <w:r>
        <w:rPr>
          <w:rFonts w:hint="eastAsia" w:ascii="宋体" w:hAnsi="宋体"/>
          <w:color w:val="auto"/>
        </w:rPr>
        <w:t>本人以企业法定代表人的身份郑重承诺：</w:t>
      </w:r>
    </w:p>
    <w:p>
      <w:pPr>
        <w:spacing w:line="440" w:lineRule="exact"/>
        <w:rPr>
          <w:rFonts w:ascii="宋体" w:hAnsi="宋体"/>
          <w:color w:val="auto"/>
        </w:rPr>
      </w:pPr>
      <w:r>
        <w:rPr>
          <w:rFonts w:hint="eastAsia" w:ascii="宋体" w:hAnsi="宋体"/>
          <w:color w:val="auto"/>
        </w:rPr>
        <w:t>一、将遵循公开、公正和诚实信用的原则自愿参加</w:t>
      </w:r>
      <w:r>
        <w:rPr>
          <w:rFonts w:hint="eastAsia" w:ascii="宋体" w:hAnsi="宋体"/>
          <w:color w:val="auto"/>
          <w:u w:val="single"/>
        </w:rPr>
        <w:t xml:space="preserve">                   </w:t>
      </w:r>
      <w:r>
        <w:rPr>
          <w:rFonts w:hint="eastAsia" w:ascii="宋体" w:hAnsi="宋体"/>
          <w:color w:val="auto"/>
        </w:rPr>
        <w:t>项目的投标；</w:t>
      </w:r>
    </w:p>
    <w:p>
      <w:pPr>
        <w:spacing w:line="440" w:lineRule="exact"/>
        <w:rPr>
          <w:rFonts w:ascii="宋体" w:hAnsi="宋体"/>
          <w:color w:val="auto"/>
        </w:rPr>
      </w:pPr>
      <w:r>
        <w:rPr>
          <w:rFonts w:hint="eastAsia" w:ascii="宋体" w:hAnsi="宋体"/>
          <w:color w:val="auto"/>
        </w:rPr>
        <w:t>二、所提供的一切材料都是真实、有效、合法的；</w:t>
      </w:r>
    </w:p>
    <w:p>
      <w:pPr>
        <w:spacing w:line="440" w:lineRule="exact"/>
        <w:rPr>
          <w:rFonts w:ascii="宋体" w:hAnsi="宋体"/>
          <w:color w:val="auto"/>
        </w:rPr>
      </w:pPr>
      <w:r>
        <w:rPr>
          <w:rFonts w:hint="eastAsia" w:ascii="宋体" w:hAnsi="宋体"/>
          <w:color w:val="auto"/>
        </w:rPr>
        <w:t>三、不出借、转让资质证书，不让他人挂靠投标，不以他人名义投标或者以其他方式弄虚作假，骗取中标；</w:t>
      </w:r>
    </w:p>
    <w:p>
      <w:pPr>
        <w:spacing w:line="440" w:lineRule="exact"/>
        <w:rPr>
          <w:rFonts w:ascii="宋体" w:hAnsi="宋体"/>
          <w:color w:val="auto"/>
        </w:rPr>
      </w:pPr>
      <w:r>
        <w:rPr>
          <w:rFonts w:hint="eastAsia" w:ascii="宋体" w:hAnsi="宋体"/>
          <w:color w:val="auto"/>
        </w:rPr>
        <w:t>四、不与其他供应商相互串通投标报价，不排挤其他供应商的公平竞争、损害采购人的合法权益；</w:t>
      </w:r>
    </w:p>
    <w:p>
      <w:pPr>
        <w:spacing w:line="440" w:lineRule="exact"/>
        <w:rPr>
          <w:rFonts w:ascii="宋体" w:hAnsi="宋体"/>
          <w:color w:val="auto"/>
        </w:rPr>
      </w:pPr>
      <w:r>
        <w:rPr>
          <w:rFonts w:hint="eastAsia" w:ascii="宋体" w:hAnsi="宋体"/>
          <w:color w:val="auto"/>
        </w:rPr>
        <w:t>五、不与采购人、招标代理机构或其他供应商串通投标，损害国家利益、社会公共利益或者他人的合法权益；</w:t>
      </w:r>
    </w:p>
    <w:p>
      <w:pPr>
        <w:spacing w:line="440" w:lineRule="exact"/>
        <w:rPr>
          <w:rFonts w:ascii="宋体" w:hAnsi="宋体"/>
          <w:color w:val="auto"/>
        </w:rPr>
      </w:pPr>
      <w:r>
        <w:rPr>
          <w:rFonts w:hint="eastAsia" w:ascii="宋体" w:hAnsi="宋体"/>
          <w:color w:val="auto"/>
        </w:rPr>
        <w:t>六、我公司没有下列情形： 1、被人民法院列入失信被执行人的；2、我公司及其法定代表人、拟派项目经理（项目负责人）近三年被人民检察院列入行贿犯罪档案的；3、被市场监督管理部门列入经营异常名录或者严重违法企业名单的；4、被税收部门列入重大税收违法案件当事人的；5、被采购监管部门列入采购严重违法失信行为记录名单的；6、在“信用中国”网站上披露仍在公示期的严重失信行为的；7、被滁州市县两级行业主管部门及公管部门禁止在一定期限内参加采购活动且在禁止期限内的；8、被滁州市县两级公管部门记入不良行为记录或者信用信息记录，且在披露期内的；9、被人力资源社会保障行政部门列入拖欠农民工工资“黑名单”的；</w:t>
      </w:r>
    </w:p>
    <w:p>
      <w:pPr>
        <w:spacing w:line="440" w:lineRule="exact"/>
        <w:rPr>
          <w:rFonts w:ascii="宋体" w:hAnsi="宋体"/>
          <w:color w:val="auto"/>
        </w:rPr>
      </w:pPr>
      <w:r>
        <w:rPr>
          <w:rFonts w:hint="eastAsia" w:ascii="宋体" w:hAnsi="宋体"/>
          <w:color w:val="auto"/>
        </w:rPr>
        <w:t>七、严格遵守开标现场纪律，服从监管人员管理；</w:t>
      </w:r>
    </w:p>
    <w:p>
      <w:pPr>
        <w:spacing w:line="440" w:lineRule="exact"/>
        <w:rPr>
          <w:rFonts w:ascii="宋体" w:hAnsi="宋体"/>
          <w:color w:val="auto"/>
        </w:rPr>
      </w:pPr>
      <w:r>
        <w:rPr>
          <w:rFonts w:hint="eastAsia" w:ascii="宋体" w:hAnsi="宋体"/>
          <w:color w:val="auto"/>
        </w:rPr>
        <w:t>八、保证中标后不转包，若有分包征得采购人同意；</w:t>
      </w:r>
    </w:p>
    <w:p>
      <w:pPr>
        <w:spacing w:line="440" w:lineRule="exact"/>
        <w:rPr>
          <w:rFonts w:ascii="宋体" w:hAnsi="宋体"/>
          <w:color w:val="auto"/>
        </w:rPr>
      </w:pPr>
      <w:r>
        <w:rPr>
          <w:rFonts w:hint="eastAsia" w:ascii="宋体" w:hAnsi="宋体"/>
          <w:color w:val="auto"/>
        </w:rPr>
        <w:t>九、保证中标之后，按照谈判文件要求提供相关后续服务；</w:t>
      </w:r>
    </w:p>
    <w:p>
      <w:pPr>
        <w:spacing w:line="440" w:lineRule="exact"/>
        <w:rPr>
          <w:rFonts w:ascii="宋体" w:hAnsi="宋体"/>
          <w:color w:val="auto"/>
        </w:rPr>
      </w:pPr>
      <w:r>
        <w:rPr>
          <w:rFonts w:hint="eastAsia" w:ascii="宋体" w:hAnsi="宋体"/>
          <w:color w:val="auto"/>
        </w:rPr>
        <w:t>十、保证企业及所属相关人员在本次投标中无行贿等犯罪行为；</w:t>
      </w:r>
    </w:p>
    <w:p>
      <w:pPr>
        <w:spacing w:line="440" w:lineRule="exact"/>
        <w:rPr>
          <w:rFonts w:ascii="宋体" w:hAnsi="宋体"/>
          <w:color w:val="auto"/>
        </w:rPr>
      </w:pPr>
      <w:r>
        <w:rPr>
          <w:rFonts w:hint="eastAsia" w:ascii="宋体" w:hAnsi="宋体"/>
          <w:color w:val="auto"/>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pPr>
        <w:spacing w:line="440" w:lineRule="exact"/>
        <w:rPr>
          <w:rFonts w:ascii="宋体" w:hAnsi="宋体"/>
          <w:color w:val="auto"/>
        </w:rPr>
      </w:pPr>
      <w:r>
        <w:rPr>
          <w:rFonts w:hint="eastAsia" w:ascii="宋体" w:hAnsi="宋体"/>
          <w:color w:val="auto"/>
        </w:rPr>
        <w:t>以上内容我已仔细阅读，本公司若有违反承诺内容的行为，自愿接受取消投标或者中标资格、记入不良行为记录、投标保证金不予退还等有关处理，愿意承担法律责任，给采购人造成损失的，依法承担赔偿责任。</w:t>
      </w:r>
    </w:p>
    <w:p>
      <w:pPr>
        <w:spacing w:line="440" w:lineRule="exact"/>
        <w:rPr>
          <w:rFonts w:ascii="宋体" w:hAnsi="宋体"/>
          <w:color w:val="auto"/>
        </w:rPr>
      </w:pPr>
      <w:r>
        <w:rPr>
          <w:rFonts w:hint="eastAsia" w:ascii="宋体" w:hAnsi="宋体"/>
          <w:color w:val="auto"/>
        </w:rPr>
        <w:t> </w:t>
      </w:r>
    </w:p>
    <w:p>
      <w:pPr>
        <w:spacing w:line="440" w:lineRule="exact"/>
        <w:rPr>
          <w:rFonts w:ascii="宋体" w:hAnsi="宋体"/>
          <w:color w:val="auto"/>
        </w:rPr>
      </w:pPr>
      <w:r>
        <w:rPr>
          <w:rFonts w:hint="eastAsia" w:ascii="宋体" w:hAnsi="宋体"/>
          <w:color w:val="auto"/>
        </w:rPr>
        <w:t>开户银行：                   基本账户：</w:t>
      </w:r>
    </w:p>
    <w:p>
      <w:pPr>
        <w:spacing w:line="440" w:lineRule="exact"/>
        <w:rPr>
          <w:rFonts w:ascii="宋体" w:hAnsi="宋体"/>
          <w:color w:val="auto"/>
        </w:rPr>
      </w:pPr>
      <w:r>
        <w:rPr>
          <w:rFonts w:hint="eastAsia" w:ascii="宋体" w:hAnsi="宋体"/>
          <w:color w:val="auto"/>
        </w:rPr>
        <w:t>供应商（盖章）：          法定代表人（签字）：</w:t>
      </w:r>
    </w:p>
    <w:p>
      <w:pPr>
        <w:spacing w:line="440" w:lineRule="exact"/>
        <w:rPr>
          <w:rFonts w:ascii="宋体" w:hAnsi="宋体"/>
          <w:color w:val="auto"/>
        </w:rPr>
      </w:pPr>
    </w:p>
    <w:p>
      <w:pPr>
        <w:spacing w:line="440" w:lineRule="exact"/>
        <w:rPr>
          <w:rFonts w:ascii="仿宋_GB2312" w:eastAsia="仿宋_GB2312"/>
          <w:color w:val="auto"/>
          <w:sz w:val="32"/>
          <w:szCs w:val="32"/>
        </w:rPr>
      </w:pPr>
      <w:r>
        <w:rPr>
          <w:rFonts w:hint="eastAsia" w:ascii="宋体" w:hAnsi="宋体"/>
          <w:color w:val="auto"/>
        </w:rPr>
        <w:t>日期：</w:t>
      </w:r>
      <w:r>
        <w:rPr>
          <w:rFonts w:ascii="宋体" w:hAnsi="宋体"/>
          <w:color w:val="auto"/>
          <w:u w:val="single"/>
        </w:rPr>
        <w:t xml:space="preserve">           </w:t>
      </w:r>
      <w:r>
        <w:rPr>
          <w:rFonts w:hint="eastAsia" w:ascii="宋体" w:hAnsi="宋体"/>
          <w:color w:val="auto"/>
        </w:rPr>
        <w:t>年</w:t>
      </w:r>
      <w:r>
        <w:rPr>
          <w:rFonts w:ascii="宋体" w:hAnsi="宋体"/>
          <w:color w:val="auto"/>
        </w:rPr>
        <w:t xml:space="preserve"> </w:t>
      </w:r>
      <w:r>
        <w:rPr>
          <w:rFonts w:ascii="宋体" w:hAnsi="宋体"/>
          <w:color w:val="auto"/>
          <w:u w:val="single"/>
        </w:rPr>
        <w:t xml:space="preserve">           </w:t>
      </w:r>
      <w:r>
        <w:rPr>
          <w:rFonts w:hint="eastAsia" w:ascii="宋体" w:hAnsi="宋体"/>
          <w:color w:val="auto"/>
        </w:rPr>
        <w:t>月</w:t>
      </w:r>
      <w:r>
        <w:rPr>
          <w:rFonts w:ascii="宋体" w:hAnsi="宋体"/>
          <w:color w:val="auto"/>
        </w:rPr>
        <w:t xml:space="preserve"> </w:t>
      </w:r>
      <w:r>
        <w:rPr>
          <w:rFonts w:ascii="宋体" w:hAnsi="宋体"/>
          <w:color w:val="auto"/>
          <w:u w:val="single"/>
        </w:rPr>
        <w:t xml:space="preserve">            </w:t>
      </w:r>
      <w:r>
        <w:rPr>
          <w:rFonts w:hint="eastAsia" w:ascii="宋体" w:hAnsi="宋体"/>
          <w:color w:val="auto"/>
        </w:rPr>
        <w:t>日</w:t>
      </w:r>
    </w:p>
    <w:p>
      <w:pPr>
        <w:pStyle w:val="2"/>
        <w:spacing w:line="440" w:lineRule="exact"/>
        <w:ind w:firstLine="400"/>
        <w:jc w:val="left"/>
        <w:rPr>
          <w:color w:val="auto"/>
        </w:rPr>
      </w:pPr>
    </w:p>
    <w:p>
      <w:pPr>
        <w:pStyle w:val="2"/>
        <w:ind w:firstLine="400"/>
        <w:rPr>
          <w:color w:val="auto"/>
        </w:rPr>
      </w:pPr>
    </w:p>
    <w:p>
      <w:pPr>
        <w:pStyle w:val="8"/>
        <w:rPr>
          <w:color w:val="auto"/>
        </w:rPr>
      </w:pPr>
    </w:p>
    <w:p>
      <w:pPr>
        <w:rPr>
          <w:color w:val="auto"/>
        </w:rPr>
      </w:pPr>
    </w:p>
    <w:p>
      <w:pPr>
        <w:spacing w:line="360" w:lineRule="auto"/>
        <w:jc w:val="center"/>
        <w:rPr>
          <w:b/>
          <w:color w:val="auto"/>
          <w:sz w:val="28"/>
          <w:szCs w:val="28"/>
        </w:rPr>
      </w:pPr>
      <w:r>
        <w:rPr>
          <w:rFonts w:hint="eastAsia"/>
          <w:b/>
          <w:color w:val="auto"/>
          <w:sz w:val="28"/>
          <w:szCs w:val="28"/>
        </w:rPr>
        <w:t>采购活动近三年内、重大违法记录的声明</w:t>
      </w:r>
    </w:p>
    <w:p>
      <w:pPr>
        <w:widowControl/>
        <w:spacing w:line="357" w:lineRule="atLeast"/>
        <w:ind w:firstLine="480" w:firstLineChars="200"/>
        <w:textAlignment w:val="baseline"/>
        <w:rPr>
          <w:rFonts w:ascii="宋体"/>
          <w:color w:val="auto"/>
          <w:kern w:val="0"/>
          <w:sz w:val="24"/>
          <w:u w:color="000000"/>
        </w:rPr>
      </w:pPr>
    </w:p>
    <w:p>
      <w:pPr>
        <w:widowControl/>
        <w:spacing w:line="800" w:lineRule="exact"/>
        <w:ind w:firstLine="480" w:firstLineChars="200"/>
        <w:textAlignment w:val="baseline"/>
        <w:rPr>
          <w:rFonts w:ascii="宋体" w:cs="宋体"/>
          <w:color w:val="auto"/>
          <w:kern w:val="0"/>
          <w:sz w:val="24"/>
        </w:rPr>
      </w:pPr>
      <w:r>
        <w:rPr>
          <w:rFonts w:hint="eastAsia" w:ascii="宋体" w:cs="宋体"/>
          <w:color w:val="auto"/>
          <w:kern w:val="0"/>
          <w:sz w:val="24"/>
        </w:rPr>
        <w:t>本人以企业法定代表人的身份郑重承诺：</w:t>
      </w:r>
    </w:p>
    <w:p>
      <w:pPr>
        <w:widowControl/>
        <w:wordWrap w:val="0"/>
        <w:spacing w:before="100" w:beforeAutospacing="1" w:after="100" w:afterAutospacing="1" w:line="440" w:lineRule="exact"/>
        <w:ind w:firstLine="960" w:firstLineChars="400"/>
        <w:jc w:val="left"/>
        <w:rPr>
          <w:rFonts w:ascii="宋体" w:cs="宋体"/>
          <w:color w:val="auto"/>
          <w:kern w:val="0"/>
          <w:sz w:val="24"/>
        </w:rPr>
      </w:pPr>
      <w:r>
        <w:rPr>
          <w:rFonts w:hint="eastAsia" w:ascii="宋体" w:cs="宋体"/>
          <w:color w:val="auto"/>
          <w:kern w:val="0"/>
          <w:sz w:val="24"/>
        </w:rPr>
        <w:t>本公司、公司法定代表人参加采购活动近三年内，在经营活动中没有重大违法记录的声明，愿意接受社会各界监督。</w:t>
      </w:r>
    </w:p>
    <w:p>
      <w:pPr>
        <w:widowControl/>
        <w:spacing w:line="800" w:lineRule="exact"/>
        <w:ind w:firstLine="720" w:firstLineChars="300"/>
        <w:textAlignment w:val="baseline"/>
        <w:rPr>
          <w:rFonts w:ascii="宋体"/>
          <w:color w:val="auto"/>
          <w:kern w:val="0"/>
          <w:sz w:val="24"/>
          <w:u w:color="000000"/>
        </w:rPr>
      </w:pPr>
      <w:r>
        <w:rPr>
          <w:rFonts w:hint="eastAsia" w:ascii="宋体"/>
          <w:color w:val="auto"/>
          <w:kern w:val="0"/>
          <w:sz w:val="24"/>
          <w:u w:color="000000"/>
        </w:rPr>
        <w:t>本公司、法定代表人若有违反承诺内容的行为，自愿依法接受取消投标资格、记入信用档案、取消供应商中标资格等有关处理，愿意承担法律责任，给采购人造成损失的，依法承担赔偿责任。</w:t>
      </w:r>
    </w:p>
    <w:p>
      <w:pPr>
        <w:widowControl/>
        <w:spacing w:line="480" w:lineRule="auto"/>
        <w:textAlignment w:val="baseline"/>
        <w:rPr>
          <w:rFonts w:ascii="宋体"/>
          <w:color w:val="auto"/>
          <w:kern w:val="0"/>
          <w:sz w:val="24"/>
          <w:u w:color="000000"/>
        </w:rPr>
      </w:pPr>
    </w:p>
    <w:p>
      <w:pPr>
        <w:widowControl/>
        <w:spacing w:line="440" w:lineRule="exact"/>
        <w:textAlignment w:val="baseline"/>
        <w:rPr>
          <w:rFonts w:ascii="宋体"/>
          <w:color w:val="auto"/>
          <w:kern w:val="0"/>
          <w:sz w:val="24"/>
          <w:u w:color="000000"/>
        </w:rPr>
      </w:pPr>
      <w:r>
        <w:rPr>
          <w:rFonts w:hint="eastAsia" w:ascii="宋体"/>
          <w:color w:val="auto"/>
          <w:kern w:val="0"/>
          <w:sz w:val="24"/>
          <w:u w:color="000000"/>
        </w:rPr>
        <w:t>特此声明</w:t>
      </w:r>
    </w:p>
    <w:p>
      <w:pPr>
        <w:widowControl/>
        <w:spacing w:line="600" w:lineRule="exact"/>
        <w:textAlignment w:val="baseline"/>
        <w:rPr>
          <w:rFonts w:ascii="宋体"/>
          <w:color w:val="auto"/>
          <w:kern w:val="0"/>
          <w:sz w:val="24"/>
          <w:u w:color="000000"/>
        </w:rPr>
      </w:pPr>
      <w:r>
        <w:rPr>
          <w:rFonts w:hint="eastAsia" w:ascii="宋体"/>
          <w:color w:val="auto"/>
          <w:kern w:val="0"/>
          <w:sz w:val="24"/>
          <w:u w:color="000000"/>
        </w:rPr>
        <w:t> </w:t>
      </w:r>
    </w:p>
    <w:p>
      <w:pPr>
        <w:widowControl/>
        <w:spacing w:line="600" w:lineRule="exact"/>
        <w:textAlignment w:val="baseline"/>
        <w:rPr>
          <w:rFonts w:ascii="宋体"/>
          <w:color w:val="auto"/>
          <w:kern w:val="0"/>
          <w:sz w:val="24"/>
          <w:u w:color="000000"/>
        </w:rPr>
      </w:pPr>
    </w:p>
    <w:p>
      <w:pPr>
        <w:widowControl/>
        <w:spacing w:line="600" w:lineRule="exact"/>
        <w:textAlignment w:val="baseline"/>
        <w:rPr>
          <w:rFonts w:ascii="宋体"/>
          <w:color w:val="auto"/>
          <w:kern w:val="0"/>
          <w:sz w:val="24"/>
          <w:u w:color="000000"/>
        </w:rPr>
      </w:pPr>
    </w:p>
    <w:p>
      <w:pPr>
        <w:widowControl/>
        <w:spacing w:line="600" w:lineRule="exact"/>
        <w:textAlignment w:val="baseline"/>
        <w:rPr>
          <w:rFonts w:ascii="宋体"/>
          <w:color w:val="auto"/>
          <w:kern w:val="0"/>
          <w:sz w:val="24"/>
          <w:u w:color="000000"/>
        </w:rPr>
      </w:pPr>
    </w:p>
    <w:p>
      <w:pPr>
        <w:widowControl/>
        <w:spacing w:line="300" w:lineRule="exact"/>
        <w:textAlignment w:val="baseline"/>
        <w:rPr>
          <w:rFonts w:ascii="宋体"/>
          <w:color w:val="auto"/>
          <w:kern w:val="0"/>
          <w:sz w:val="24"/>
          <w:u w:color="000000"/>
        </w:rPr>
      </w:pPr>
      <w:r>
        <w:rPr>
          <w:rFonts w:hint="eastAsia" w:ascii="宋体"/>
          <w:color w:val="auto"/>
          <w:kern w:val="0"/>
          <w:sz w:val="24"/>
          <w:u w:color="000000"/>
        </w:rPr>
        <w:t xml:space="preserve">                                    法定代表人：</w:t>
      </w:r>
      <w:r>
        <w:rPr>
          <w:rFonts w:hint="eastAsia" w:ascii="宋体"/>
          <w:color w:val="auto"/>
          <w:kern w:val="0"/>
          <w:sz w:val="24"/>
          <w:u w:val="single" w:color="000000"/>
        </w:rPr>
        <w:t xml:space="preserve">         （签字或盖章）          </w:t>
      </w:r>
    </w:p>
    <w:p>
      <w:pPr>
        <w:widowControl/>
        <w:spacing w:line="300" w:lineRule="exact"/>
        <w:textAlignment w:val="baseline"/>
        <w:rPr>
          <w:rFonts w:ascii="宋体"/>
          <w:color w:val="auto"/>
          <w:kern w:val="0"/>
          <w:sz w:val="24"/>
          <w:u w:color="000000"/>
        </w:rPr>
      </w:pPr>
    </w:p>
    <w:p>
      <w:pPr>
        <w:widowControl/>
        <w:spacing w:line="300" w:lineRule="exact"/>
        <w:textAlignment w:val="baseline"/>
        <w:rPr>
          <w:rFonts w:ascii="宋体"/>
          <w:color w:val="auto"/>
          <w:kern w:val="0"/>
          <w:sz w:val="24"/>
          <w:u w:val="single" w:color="000000"/>
        </w:rPr>
      </w:pPr>
      <w:r>
        <w:rPr>
          <w:rFonts w:hint="eastAsia" w:ascii="宋体"/>
          <w:color w:val="auto"/>
          <w:kern w:val="0"/>
          <w:sz w:val="24"/>
          <w:u w:color="000000"/>
        </w:rPr>
        <w:t xml:space="preserve">                                     </w:t>
      </w:r>
    </w:p>
    <w:p>
      <w:pPr>
        <w:widowControl/>
        <w:spacing w:line="300" w:lineRule="exact"/>
        <w:textAlignment w:val="baseline"/>
        <w:rPr>
          <w:rFonts w:ascii="宋体"/>
          <w:color w:val="auto"/>
          <w:kern w:val="0"/>
          <w:sz w:val="24"/>
          <w:u w:val="single" w:color="000000"/>
        </w:rPr>
      </w:pPr>
      <w:r>
        <w:rPr>
          <w:rFonts w:hint="eastAsia" w:ascii="宋体"/>
          <w:color w:val="auto"/>
          <w:kern w:val="0"/>
          <w:sz w:val="24"/>
          <w:u w:color="000000"/>
        </w:rPr>
        <w:t xml:space="preserve">                                    供应商名称：</w:t>
      </w:r>
      <w:r>
        <w:rPr>
          <w:rFonts w:hint="eastAsia" w:ascii="宋体"/>
          <w:color w:val="auto"/>
          <w:kern w:val="0"/>
          <w:sz w:val="24"/>
          <w:u w:val="single" w:color="000000"/>
        </w:rPr>
        <w:t xml:space="preserve">           （盖章）</w:t>
      </w:r>
    </w:p>
    <w:p>
      <w:pPr>
        <w:widowControl/>
        <w:spacing w:line="300" w:lineRule="exact"/>
        <w:textAlignment w:val="baseline"/>
        <w:rPr>
          <w:rFonts w:ascii="宋体"/>
          <w:color w:val="auto"/>
          <w:kern w:val="0"/>
          <w:sz w:val="24"/>
          <w:u w:val="single" w:color="000000"/>
        </w:rPr>
      </w:pPr>
      <w:r>
        <w:rPr>
          <w:rFonts w:hint="eastAsia" w:ascii="宋体"/>
          <w:color w:val="auto"/>
          <w:kern w:val="0"/>
          <w:sz w:val="24"/>
          <w:u w:val="single" w:color="000000"/>
        </w:rPr>
        <w:t xml:space="preserve"> </w:t>
      </w:r>
    </w:p>
    <w:p>
      <w:pPr>
        <w:widowControl/>
        <w:spacing w:line="300" w:lineRule="exact"/>
        <w:ind w:firstLine="5520" w:firstLineChars="2300"/>
        <w:textAlignment w:val="baseline"/>
        <w:rPr>
          <w:rFonts w:ascii="宋体"/>
          <w:color w:val="auto"/>
          <w:kern w:val="0"/>
          <w:sz w:val="24"/>
          <w:u w:val="single" w:color="000000"/>
        </w:rPr>
      </w:pPr>
      <w:r>
        <w:rPr>
          <w:rFonts w:hint="eastAsia" w:ascii="宋体"/>
          <w:color w:val="auto"/>
          <w:kern w:val="0"/>
          <w:sz w:val="24"/>
        </w:rPr>
        <w:t xml:space="preserve">日 期：  </w:t>
      </w:r>
      <w:r>
        <w:rPr>
          <w:rFonts w:hint="eastAsia" w:ascii="宋体"/>
          <w:color w:val="auto"/>
          <w:kern w:val="0"/>
          <w:sz w:val="24"/>
          <w:u w:val="single" w:color="000000"/>
        </w:rPr>
        <w:t xml:space="preserve">          </w:t>
      </w:r>
    </w:p>
    <w:p>
      <w:pPr>
        <w:widowControl/>
        <w:spacing w:line="300" w:lineRule="exact"/>
        <w:textAlignment w:val="baseline"/>
        <w:rPr>
          <w:rFonts w:ascii="宋体"/>
          <w:color w:val="auto"/>
          <w:kern w:val="0"/>
          <w:sz w:val="24"/>
          <w:u w:val="single" w:color="000000"/>
        </w:rPr>
      </w:pPr>
    </w:p>
    <w:p>
      <w:pPr>
        <w:widowControl/>
        <w:spacing w:line="300" w:lineRule="exact"/>
        <w:textAlignment w:val="baseline"/>
        <w:rPr>
          <w:rFonts w:ascii="宋体"/>
          <w:color w:val="auto"/>
          <w:kern w:val="0"/>
          <w:sz w:val="24"/>
          <w:u w:val="single" w:color="000000"/>
        </w:rPr>
      </w:pPr>
    </w:p>
    <w:p>
      <w:pPr>
        <w:widowControl/>
        <w:spacing w:line="300" w:lineRule="exact"/>
        <w:textAlignment w:val="baseline"/>
        <w:rPr>
          <w:rFonts w:ascii="宋体"/>
          <w:color w:val="auto"/>
          <w:kern w:val="0"/>
          <w:sz w:val="24"/>
          <w:u w:val="single" w:color="000000"/>
        </w:rPr>
      </w:pPr>
      <w:r>
        <w:rPr>
          <w:rFonts w:hint="eastAsia" w:ascii="宋体"/>
          <w:color w:val="auto"/>
          <w:kern w:val="0"/>
          <w:sz w:val="24"/>
          <w:u w:val="single" w:color="000000"/>
        </w:rPr>
        <w:t xml:space="preserve">   </w:t>
      </w:r>
    </w:p>
    <w:p>
      <w:pPr>
        <w:pStyle w:val="2"/>
        <w:ind w:firstLine="480"/>
        <w:rPr>
          <w:color w:val="auto"/>
          <w:sz w:val="24"/>
          <w:u w:val="single" w:color="000000"/>
        </w:rPr>
      </w:pPr>
    </w:p>
    <w:p>
      <w:pPr>
        <w:pStyle w:val="6"/>
        <w:rPr>
          <w:rFonts w:ascii="宋体"/>
          <w:color w:val="auto"/>
          <w:kern w:val="0"/>
          <w:sz w:val="24"/>
          <w:u w:val="single" w:color="000000"/>
        </w:rPr>
      </w:pPr>
    </w:p>
    <w:p>
      <w:pPr>
        <w:rPr>
          <w:rFonts w:ascii="宋体"/>
          <w:color w:val="auto"/>
          <w:kern w:val="0"/>
          <w:sz w:val="24"/>
          <w:u w:val="single" w:color="000000"/>
        </w:rPr>
      </w:pPr>
    </w:p>
    <w:p>
      <w:pPr>
        <w:pStyle w:val="2"/>
        <w:ind w:firstLine="480"/>
        <w:rPr>
          <w:color w:val="auto"/>
          <w:sz w:val="24"/>
          <w:u w:val="single" w:color="000000"/>
        </w:rPr>
      </w:pPr>
    </w:p>
    <w:p>
      <w:pPr>
        <w:overflowPunct w:val="0"/>
        <w:adjustRightInd w:val="0"/>
        <w:snapToGrid w:val="0"/>
        <w:spacing w:line="440" w:lineRule="exact"/>
        <w:jc w:val="center"/>
        <w:rPr>
          <w:rFonts w:ascii="宋体" w:hAnsi="宋体"/>
          <w:b/>
          <w:bCs/>
          <w:color w:val="auto"/>
          <w:sz w:val="28"/>
          <w:szCs w:val="28"/>
        </w:rPr>
      </w:pPr>
    </w:p>
    <w:p>
      <w:pPr>
        <w:overflowPunct w:val="0"/>
        <w:adjustRightInd w:val="0"/>
        <w:snapToGrid w:val="0"/>
        <w:spacing w:line="440" w:lineRule="exact"/>
        <w:jc w:val="center"/>
        <w:rPr>
          <w:rFonts w:ascii="宋体" w:hAnsi="宋体"/>
          <w:b/>
          <w:bCs/>
          <w:color w:val="auto"/>
          <w:sz w:val="28"/>
          <w:szCs w:val="28"/>
        </w:rPr>
      </w:pPr>
    </w:p>
    <w:p>
      <w:pPr>
        <w:overflowPunct w:val="0"/>
        <w:adjustRightInd w:val="0"/>
        <w:snapToGrid w:val="0"/>
        <w:spacing w:line="440" w:lineRule="exact"/>
        <w:jc w:val="center"/>
        <w:rPr>
          <w:rFonts w:ascii="宋体" w:hAnsi="宋体"/>
          <w:b/>
          <w:bCs/>
          <w:color w:val="auto"/>
          <w:sz w:val="28"/>
          <w:szCs w:val="28"/>
        </w:rPr>
      </w:pPr>
      <w:r>
        <w:rPr>
          <w:rFonts w:hint="eastAsia" w:ascii="宋体" w:hAnsi="宋体"/>
          <w:b/>
          <w:bCs/>
          <w:color w:val="auto"/>
          <w:sz w:val="28"/>
          <w:szCs w:val="28"/>
        </w:rPr>
        <w:t>供应商编写的响应技术文件应包括下列部分：</w:t>
      </w:r>
    </w:p>
    <w:p>
      <w:pPr>
        <w:pStyle w:val="6"/>
        <w:rPr>
          <w:color w:val="auto"/>
        </w:rPr>
      </w:pPr>
    </w:p>
    <w:p>
      <w:pPr>
        <w:spacing w:line="440" w:lineRule="exact"/>
        <w:rPr>
          <w:rFonts w:ascii="宋体" w:hAnsi="宋体" w:cs="宋体"/>
          <w:bCs/>
          <w:color w:val="auto"/>
        </w:rPr>
      </w:pPr>
      <w:bookmarkStart w:id="194" w:name="_Toc489284252"/>
      <w:bookmarkStart w:id="195" w:name="_Toc46309852"/>
      <w:r>
        <w:rPr>
          <w:rFonts w:hint="eastAsia" w:ascii="黑体" w:hAnsi="黑体" w:eastAsia="黑体" w:cs="黑体"/>
          <w:bCs/>
          <w:color w:val="auto"/>
        </w:rPr>
        <w:t>（</w:t>
      </w:r>
      <w:r>
        <w:rPr>
          <w:rFonts w:hint="eastAsia" w:ascii="宋体" w:hAnsi="宋体" w:cs="宋体"/>
          <w:bCs/>
          <w:color w:val="auto"/>
        </w:rPr>
        <w:t>1）详细的货物名称、规格、技术参数等【附技术参数响应表、货物的详细配置清单，格式见附件】；</w:t>
      </w:r>
    </w:p>
    <w:p>
      <w:pPr>
        <w:spacing w:line="440" w:lineRule="exact"/>
        <w:jc w:val="left"/>
        <w:rPr>
          <w:rFonts w:ascii="宋体" w:hAnsi="宋体" w:cs="宋体"/>
          <w:color w:val="auto"/>
          <w:kern w:val="0"/>
          <w:u w:color="000000"/>
        </w:rPr>
      </w:pPr>
      <w:r>
        <w:rPr>
          <w:rFonts w:hint="eastAsia" w:ascii="宋体" w:hAnsi="宋体" w:cs="宋体"/>
          <w:color w:val="auto"/>
          <w:kern w:val="0"/>
          <w:u w:color="000000"/>
        </w:rPr>
        <w:t>（2）技术方案：为本项目实施所采用的技术措施和实施方案等；</w:t>
      </w:r>
    </w:p>
    <w:p>
      <w:pPr>
        <w:spacing w:line="440" w:lineRule="exact"/>
        <w:jc w:val="left"/>
        <w:rPr>
          <w:rFonts w:ascii="宋体" w:hAnsi="宋体" w:cs="宋体"/>
          <w:color w:val="auto"/>
          <w:kern w:val="0"/>
          <w:u w:color="000000"/>
        </w:rPr>
      </w:pPr>
      <w:r>
        <w:rPr>
          <w:rFonts w:hint="eastAsia" w:ascii="宋体" w:hAnsi="宋体" w:cs="宋体"/>
          <w:color w:val="auto"/>
          <w:kern w:val="0"/>
          <w:u w:color="000000"/>
        </w:rPr>
        <w:t>（3）服务承诺：是否响应招标文件要求的书面说明和服务承诺书（格式见附件）；</w:t>
      </w:r>
    </w:p>
    <w:p>
      <w:pPr>
        <w:spacing w:line="440" w:lineRule="exact"/>
        <w:jc w:val="left"/>
        <w:rPr>
          <w:rFonts w:ascii="宋体" w:hAnsi="宋体" w:cs="宋体"/>
          <w:color w:val="auto"/>
          <w:kern w:val="0"/>
          <w:u w:color="000000"/>
        </w:rPr>
      </w:pPr>
      <w:r>
        <w:rPr>
          <w:rFonts w:hint="eastAsia" w:ascii="宋体" w:hAnsi="宋体" w:cs="宋体"/>
          <w:color w:val="auto"/>
          <w:kern w:val="0"/>
          <w:u w:color="000000"/>
        </w:rPr>
        <w:t>（4）投标人对招标文件的其他相关技术要求的书面承诺；</w:t>
      </w:r>
    </w:p>
    <w:p>
      <w:pPr>
        <w:pStyle w:val="2"/>
        <w:ind w:firstLine="0" w:firstLineChars="0"/>
        <w:rPr>
          <w:color w:val="auto"/>
        </w:rPr>
      </w:pPr>
    </w:p>
    <w:p>
      <w:pPr>
        <w:pStyle w:val="2"/>
        <w:ind w:firstLine="0" w:firstLineChars="0"/>
        <w:rPr>
          <w:color w:val="auto"/>
        </w:rPr>
      </w:pPr>
      <w:r>
        <w:rPr>
          <w:rFonts w:hint="eastAsia" w:hAnsi="宋体" w:cs="宋体"/>
          <w:b/>
          <w:color w:val="auto"/>
          <w:sz w:val="21"/>
          <w:szCs w:val="21"/>
        </w:rPr>
        <w:t>以上材料须按顺序装订，均须加盖供应商公章。要求提供原件的证明材料带至开标现场查验，供应商所提交的投标文件的完整与否，直接影响供应商的投标文件评审。</w:t>
      </w:r>
    </w:p>
    <w:p>
      <w:pPr>
        <w:rPr>
          <w:rFonts w:ascii="宋体" w:hAnsi="宋体" w:cs="Arial"/>
          <w:color w:val="auto"/>
          <w:sz w:val="28"/>
          <w:szCs w:val="28"/>
        </w:rPr>
      </w:pPr>
    </w:p>
    <w:p>
      <w:pPr>
        <w:pStyle w:val="2"/>
        <w:ind w:firstLine="560"/>
        <w:rPr>
          <w:rFonts w:hAnsi="宋体" w:cs="Arial"/>
          <w:color w:val="auto"/>
          <w:sz w:val="28"/>
          <w:szCs w:val="28"/>
        </w:rPr>
      </w:pPr>
    </w:p>
    <w:p>
      <w:pPr>
        <w:pStyle w:val="6"/>
        <w:rPr>
          <w:rFonts w:ascii="宋体" w:hAnsi="宋体" w:eastAsia="宋体"/>
          <w:color w:val="auto"/>
        </w:rPr>
      </w:pPr>
    </w:p>
    <w:p>
      <w:pPr>
        <w:rPr>
          <w:rFonts w:ascii="宋体" w:hAnsi="宋体" w:cs="Arial"/>
          <w:color w:val="auto"/>
          <w:sz w:val="28"/>
          <w:szCs w:val="28"/>
        </w:rPr>
      </w:pPr>
    </w:p>
    <w:p>
      <w:pPr>
        <w:pStyle w:val="2"/>
        <w:ind w:firstLine="560"/>
        <w:rPr>
          <w:rFonts w:hAnsi="宋体" w:cs="Arial"/>
          <w:color w:val="auto"/>
          <w:sz w:val="28"/>
          <w:szCs w:val="28"/>
        </w:rPr>
      </w:pPr>
    </w:p>
    <w:p>
      <w:pPr>
        <w:pStyle w:val="6"/>
        <w:rPr>
          <w:rFonts w:ascii="宋体" w:hAnsi="宋体" w:eastAsia="宋体"/>
          <w:color w:val="auto"/>
        </w:rPr>
      </w:pPr>
    </w:p>
    <w:p>
      <w:pPr>
        <w:rPr>
          <w:rFonts w:ascii="宋体" w:hAnsi="宋体" w:cs="Arial"/>
          <w:color w:val="auto"/>
          <w:sz w:val="28"/>
          <w:szCs w:val="28"/>
        </w:rPr>
      </w:pPr>
    </w:p>
    <w:p>
      <w:pPr>
        <w:pStyle w:val="2"/>
        <w:ind w:firstLine="560"/>
        <w:rPr>
          <w:rFonts w:hAnsi="宋体" w:cs="Arial"/>
          <w:color w:val="auto"/>
          <w:sz w:val="28"/>
          <w:szCs w:val="28"/>
        </w:rPr>
      </w:pPr>
    </w:p>
    <w:p>
      <w:pPr>
        <w:pStyle w:val="6"/>
        <w:rPr>
          <w:rFonts w:ascii="宋体" w:hAnsi="宋体" w:eastAsia="宋体"/>
          <w:color w:val="auto"/>
        </w:rPr>
      </w:pPr>
    </w:p>
    <w:p>
      <w:pPr>
        <w:rPr>
          <w:rFonts w:ascii="宋体" w:hAnsi="宋体" w:cs="Arial"/>
          <w:color w:val="auto"/>
          <w:sz w:val="28"/>
          <w:szCs w:val="28"/>
        </w:rPr>
      </w:pPr>
    </w:p>
    <w:p>
      <w:pPr>
        <w:pStyle w:val="2"/>
        <w:ind w:firstLine="560"/>
        <w:rPr>
          <w:rFonts w:hAnsi="宋体" w:cs="Arial"/>
          <w:color w:val="auto"/>
          <w:sz w:val="28"/>
          <w:szCs w:val="28"/>
        </w:rPr>
      </w:pPr>
    </w:p>
    <w:p>
      <w:pPr>
        <w:pStyle w:val="6"/>
        <w:rPr>
          <w:rFonts w:ascii="宋体" w:hAnsi="宋体" w:eastAsia="宋体"/>
          <w:color w:val="auto"/>
        </w:rPr>
      </w:pPr>
    </w:p>
    <w:p>
      <w:pPr>
        <w:rPr>
          <w:rFonts w:ascii="宋体" w:hAnsi="宋体" w:cs="Arial"/>
          <w:color w:val="auto"/>
          <w:sz w:val="28"/>
          <w:szCs w:val="28"/>
        </w:rPr>
      </w:pPr>
    </w:p>
    <w:p>
      <w:pPr>
        <w:pStyle w:val="2"/>
        <w:ind w:firstLine="560"/>
        <w:rPr>
          <w:rFonts w:hAnsi="宋体" w:cs="Arial"/>
          <w:color w:val="auto"/>
          <w:sz w:val="28"/>
          <w:szCs w:val="28"/>
        </w:rPr>
      </w:pPr>
    </w:p>
    <w:p>
      <w:pPr>
        <w:pStyle w:val="6"/>
        <w:rPr>
          <w:rFonts w:ascii="宋体" w:hAnsi="宋体" w:eastAsia="宋体"/>
          <w:color w:val="auto"/>
        </w:rPr>
      </w:pPr>
    </w:p>
    <w:p>
      <w:pPr>
        <w:rPr>
          <w:color w:val="auto"/>
        </w:rPr>
      </w:pPr>
    </w:p>
    <w:p>
      <w:pPr>
        <w:spacing w:before="156" w:beforeLines="50" w:after="156" w:afterLines="50"/>
        <w:jc w:val="center"/>
        <w:rPr>
          <w:rFonts w:ascii="宋体" w:hAnsi="宋体"/>
          <w:color w:val="auto"/>
          <w:sz w:val="24"/>
        </w:rPr>
      </w:pPr>
      <w:r>
        <w:rPr>
          <w:rFonts w:hint="eastAsia" w:ascii="宋体" w:cs="宋体"/>
          <w:b/>
          <w:bCs/>
          <w:color w:val="auto"/>
          <w:sz w:val="28"/>
          <w:szCs w:val="28"/>
        </w:rPr>
        <w:t>1、技术参数响应表（格式）</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189"/>
        <w:gridCol w:w="1288"/>
        <w:gridCol w:w="1302"/>
        <w:gridCol w:w="1668"/>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91" w:type="dxa"/>
            <w:vMerge w:val="restart"/>
            <w:vAlign w:val="center"/>
          </w:tcPr>
          <w:p>
            <w:pPr>
              <w:spacing w:line="240" w:lineRule="atLeast"/>
              <w:jc w:val="center"/>
              <w:rPr>
                <w:rFonts w:ascii="宋体" w:hAnsi="宋体" w:cs="宋体"/>
                <w:color w:val="auto"/>
              </w:rPr>
            </w:pPr>
            <w:r>
              <w:rPr>
                <w:rFonts w:hint="eastAsia" w:ascii="宋体" w:hAnsi="宋体" w:cs="宋体"/>
                <w:color w:val="auto"/>
              </w:rPr>
              <w:t>序号</w:t>
            </w:r>
          </w:p>
        </w:tc>
        <w:tc>
          <w:tcPr>
            <w:tcW w:w="1189" w:type="dxa"/>
            <w:vMerge w:val="restart"/>
            <w:vAlign w:val="center"/>
          </w:tcPr>
          <w:p>
            <w:pPr>
              <w:spacing w:line="240" w:lineRule="atLeast"/>
              <w:jc w:val="center"/>
              <w:rPr>
                <w:rFonts w:ascii="宋体" w:hAnsi="宋体" w:cs="宋体"/>
                <w:color w:val="auto"/>
              </w:rPr>
            </w:pPr>
            <w:r>
              <w:rPr>
                <w:rFonts w:hint="eastAsia" w:ascii="宋体" w:hAnsi="宋体" w:cs="宋体"/>
                <w:color w:val="auto"/>
              </w:rPr>
              <w:t>品目名称</w:t>
            </w:r>
          </w:p>
        </w:tc>
        <w:tc>
          <w:tcPr>
            <w:tcW w:w="2590" w:type="dxa"/>
            <w:gridSpan w:val="2"/>
            <w:vAlign w:val="center"/>
          </w:tcPr>
          <w:p>
            <w:pPr>
              <w:spacing w:line="240" w:lineRule="atLeast"/>
              <w:jc w:val="center"/>
              <w:rPr>
                <w:rFonts w:ascii="宋体" w:hAnsi="宋体" w:cs="宋体"/>
                <w:color w:val="auto"/>
              </w:rPr>
            </w:pPr>
            <w:r>
              <w:rPr>
                <w:rFonts w:hint="eastAsia" w:ascii="宋体" w:hAnsi="宋体" w:cs="宋体"/>
                <w:color w:val="auto"/>
              </w:rPr>
              <w:t>规格型号及参数</w:t>
            </w:r>
          </w:p>
        </w:tc>
        <w:tc>
          <w:tcPr>
            <w:tcW w:w="1668" w:type="dxa"/>
            <w:vMerge w:val="restart"/>
            <w:vAlign w:val="center"/>
          </w:tcPr>
          <w:p>
            <w:pPr>
              <w:spacing w:line="240" w:lineRule="atLeast"/>
              <w:jc w:val="center"/>
              <w:rPr>
                <w:rFonts w:ascii="宋体" w:hAnsi="宋体" w:cs="宋体"/>
                <w:color w:val="auto"/>
              </w:rPr>
            </w:pPr>
            <w:r>
              <w:rPr>
                <w:rFonts w:hint="eastAsia" w:ascii="宋体" w:hAnsi="宋体" w:cs="宋体"/>
                <w:color w:val="auto"/>
              </w:rPr>
              <w:t>是否响应</w:t>
            </w:r>
          </w:p>
        </w:tc>
        <w:tc>
          <w:tcPr>
            <w:tcW w:w="2287" w:type="dxa"/>
            <w:vMerge w:val="restart"/>
            <w:vAlign w:val="center"/>
          </w:tcPr>
          <w:p>
            <w:pPr>
              <w:spacing w:line="240" w:lineRule="atLeast"/>
              <w:jc w:val="center"/>
              <w:rPr>
                <w:rFonts w:ascii="宋体" w:hAnsi="宋体" w:cs="宋体"/>
                <w:color w:val="auto"/>
              </w:rPr>
            </w:pPr>
            <w:r>
              <w:rPr>
                <w:rFonts w:hint="eastAsia" w:ascii="宋体" w:hAnsi="宋体" w:cs="宋体"/>
                <w:color w:val="auto"/>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91" w:type="dxa"/>
            <w:vMerge w:val="continue"/>
          </w:tcPr>
          <w:p>
            <w:pPr>
              <w:spacing w:line="240" w:lineRule="atLeast"/>
              <w:ind w:firstLine="105" w:firstLineChars="50"/>
              <w:rPr>
                <w:rFonts w:ascii="宋体" w:hAnsi="宋体" w:cs="宋体"/>
                <w:color w:val="auto"/>
              </w:rPr>
            </w:pPr>
          </w:p>
        </w:tc>
        <w:tc>
          <w:tcPr>
            <w:tcW w:w="1189" w:type="dxa"/>
            <w:vMerge w:val="continue"/>
          </w:tcPr>
          <w:p>
            <w:pPr>
              <w:spacing w:line="240" w:lineRule="atLeast"/>
              <w:jc w:val="center"/>
              <w:rPr>
                <w:rFonts w:ascii="宋体" w:hAnsi="宋体" w:cs="宋体"/>
                <w:color w:val="auto"/>
              </w:rPr>
            </w:pPr>
          </w:p>
        </w:tc>
        <w:tc>
          <w:tcPr>
            <w:tcW w:w="1288" w:type="dxa"/>
          </w:tcPr>
          <w:p>
            <w:pPr>
              <w:spacing w:line="240" w:lineRule="atLeast"/>
              <w:jc w:val="center"/>
              <w:rPr>
                <w:rFonts w:ascii="宋体" w:hAnsi="宋体" w:cs="宋体"/>
                <w:color w:val="auto"/>
              </w:rPr>
            </w:pPr>
            <w:r>
              <w:rPr>
                <w:rFonts w:hint="eastAsia" w:ascii="宋体" w:hAnsi="宋体" w:cs="宋体"/>
                <w:color w:val="auto"/>
              </w:rPr>
              <w:t>招标要求规格型号技术参数</w:t>
            </w:r>
          </w:p>
        </w:tc>
        <w:tc>
          <w:tcPr>
            <w:tcW w:w="1302" w:type="dxa"/>
          </w:tcPr>
          <w:p>
            <w:pPr>
              <w:spacing w:line="240" w:lineRule="atLeast"/>
              <w:jc w:val="center"/>
              <w:rPr>
                <w:rFonts w:ascii="宋体" w:hAnsi="宋体" w:cs="宋体"/>
                <w:color w:val="auto"/>
              </w:rPr>
            </w:pPr>
            <w:r>
              <w:rPr>
                <w:rFonts w:hint="eastAsia" w:ascii="宋体" w:hAnsi="宋体" w:cs="宋体"/>
                <w:color w:val="auto"/>
              </w:rPr>
              <w:t>投标货物规格型号技术参数</w:t>
            </w:r>
          </w:p>
        </w:tc>
        <w:tc>
          <w:tcPr>
            <w:tcW w:w="1668" w:type="dxa"/>
            <w:vMerge w:val="continue"/>
          </w:tcPr>
          <w:p>
            <w:pPr>
              <w:spacing w:line="240" w:lineRule="atLeast"/>
              <w:jc w:val="center"/>
              <w:rPr>
                <w:rFonts w:ascii="宋体" w:hAnsi="宋体" w:cs="宋体"/>
                <w:color w:val="auto"/>
              </w:rPr>
            </w:pPr>
          </w:p>
        </w:tc>
        <w:tc>
          <w:tcPr>
            <w:tcW w:w="2287" w:type="dxa"/>
            <w:vMerge w:val="continue"/>
          </w:tcPr>
          <w:p>
            <w:pPr>
              <w:spacing w:line="240" w:lineRule="atLeast"/>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91" w:type="dxa"/>
            <w:vAlign w:val="center"/>
          </w:tcPr>
          <w:p>
            <w:pPr>
              <w:ind w:firstLine="315" w:firstLineChars="150"/>
              <w:jc w:val="center"/>
              <w:rPr>
                <w:rFonts w:ascii="宋体" w:hAnsi="宋体"/>
                <w:color w:val="auto"/>
              </w:rPr>
            </w:pPr>
            <w:r>
              <w:rPr>
                <w:rFonts w:hint="eastAsia" w:ascii="宋体" w:hAnsi="宋体"/>
                <w:color w:val="auto"/>
              </w:rPr>
              <w:t>1</w:t>
            </w:r>
          </w:p>
        </w:tc>
        <w:tc>
          <w:tcPr>
            <w:tcW w:w="1189" w:type="dxa"/>
          </w:tcPr>
          <w:p>
            <w:pPr>
              <w:rPr>
                <w:rFonts w:ascii="宋体" w:hAnsi="宋体"/>
                <w:color w:val="auto"/>
              </w:rPr>
            </w:pPr>
          </w:p>
        </w:tc>
        <w:tc>
          <w:tcPr>
            <w:tcW w:w="1288" w:type="dxa"/>
          </w:tcPr>
          <w:p>
            <w:pPr>
              <w:ind w:firstLine="630" w:firstLineChars="300"/>
              <w:rPr>
                <w:rFonts w:ascii="宋体" w:hAnsi="宋体"/>
                <w:color w:val="auto"/>
              </w:rPr>
            </w:pPr>
          </w:p>
        </w:tc>
        <w:tc>
          <w:tcPr>
            <w:tcW w:w="1302" w:type="dxa"/>
          </w:tcPr>
          <w:p>
            <w:pPr>
              <w:ind w:firstLine="630" w:firstLineChars="300"/>
              <w:rPr>
                <w:rFonts w:ascii="宋体" w:hAnsi="宋体"/>
                <w:color w:val="auto"/>
              </w:rPr>
            </w:pPr>
          </w:p>
        </w:tc>
        <w:tc>
          <w:tcPr>
            <w:tcW w:w="1668" w:type="dxa"/>
            <w:vAlign w:val="center"/>
          </w:tcPr>
          <w:p>
            <w:pPr>
              <w:ind w:firstLine="210" w:firstLineChars="100"/>
              <w:jc w:val="center"/>
              <w:rPr>
                <w:rFonts w:ascii="宋体" w:hAnsi="宋体"/>
                <w:color w:val="auto"/>
              </w:rPr>
            </w:pPr>
            <w:r>
              <w:rPr>
                <w:rFonts w:hint="eastAsia" w:ascii="宋体" w:hAnsi="宋体" w:cs="宋体"/>
                <w:color w:val="auto"/>
              </w:rPr>
              <w:t>是/否</w:t>
            </w:r>
          </w:p>
        </w:tc>
        <w:tc>
          <w:tcPr>
            <w:tcW w:w="2287" w:type="dxa"/>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91" w:type="dxa"/>
            <w:vAlign w:val="center"/>
          </w:tcPr>
          <w:p>
            <w:pPr>
              <w:ind w:firstLine="315" w:firstLineChars="150"/>
              <w:jc w:val="center"/>
              <w:rPr>
                <w:rFonts w:ascii="宋体" w:hAnsi="宋体"/>
                <w:color w:val="auto"/>
              </w:rPr>
            </w:pPr>
            <w:r>
              <w:rPr>
                <w:rFonts w:hint="eastAsia" w:ascii="宋体" w:hAnsi="宋体"/>
                <w:color w:val="auto"/>
              </w:rPr>
              <w:t>2</w:t>
            </w:r>
          </w:p>
        </w:tc>
        <w:tc>
          <w:tcPr>
            <w:tcW w:w="1189" w:type="dxa"/>
          </w:tcPr>
          <w:p>
            <w:pPr>
              <w:rPr>
                <w:rFonts w:ascii="宋体" w:hAnsi="宋体"/>
                <w:color w:val="auto"/>
              </w:rPr>
            </w:pPr>
          </w:p>
        </w:tc>
        <w:tc>
          <w:tcPr>
            <w:tcW w:w="1288" w:type="dxa"/>
          </w:tcPr>
          <w:p>
            <w:pPr>
              <w:ind w:firstLine="630" w:firstLineChars="300"/>
              <w:rPr>
                <w:rFonts w:ascii="宋体" w:hAnsi="宋体"/>
                <w:color w:val="auto"/>
              </w:rPr>
            </w:pPr>
          </w:p>
        </w:tc>
        <w:tc>
          <w:tcPr>
            <w:tcW w:w="1302" w:type="dxa"/>
          </w:tcPr>
          <w:p>
            <w:pPr>
              <w:ind w:firstLine="630" w:firstLineChars="300"/>
              <w:rPr>
                <w:rFonts w:ascii="宋体" w:hAnsi="宋体"/>
                <w:color w:val="auto"/>
              </w:rPr>
            </w:pPr>
          </w:p>
        </w:tc>
        <w:tc>
          <w:tcPr>
            <w:tcW w:w="1668" w:type="dxa"/>
            <w:vAlign w:val="center"/>
          </w:tcPr>
          <w:p>
            <w:pPr>
              <w:ind w:firstLine="210" w:firstLineChars="100"/>
              <w:jc w:val="center"/>
              <w:rPr>
                <w:rFonts w:ascii="宋体" w:hAnsi="宋体" w:cs="宋体"/>
                <w:color w:val="auto"/>
              </w:rPr>
            </w:pPr>
            <w:r>
              <w:rPr>
                <w:rFonts w:hint="eastAsia" w:ascii="宋体" w:hAnsi="宋体" w:cs="宋体"/>
                <w:color w:val="auto"/>
              </w:rPr>
              <w:t>是/否</w:t>
            </w:r>
          </w:p>
        </w:tc>
        <w:tc>
          <w:tcPr>
            <w:tcW w:w="2287" w:type="dxa"/>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91" w:type="dxa"/>
            <w:vAlign w:val="center"/>
          </w:tcPr>
          <w:p>
            <w:pPr>
              <w:ind w:firstLine="315" w:firstLineChars="150"/>
              <w:jc w:val="center"/>
              <w:rPr>
                <w:rFonts w:ascii="宋体" w:hAnsi="宋体"/>
                <w:color w:val="auto"/>
              </w:rPr>
            </w:pPr>
            <w:r>
              <w:rPr>
                <w:rFonts w:ascii="宋体" w:hAnsi="宋体"/>
                <w:color w:val="auto"/>
              </w:rPr>
              <w:t>…</w:t>
            </w:r>
          </w:p>
        </w:tc>
        <w:tc>
          <w:tcPr>
            <w:tcW w:w="1189" w:type="dxa"/>
          </w:tcPr>
          <w:p>
            <w:pPr>
              <w:rPr>
                <w:rFonts w:ascii="宋体" w:hAnsi="宋体"/>
                <w:color w:val="auto"/>
              </w:rPr>
            </w:pPr>
          </w:p>
        </w:tc>
        <w:tc>
          <w:tcPr>
            <w:tcW w:w="1288" w:type="dxa"/>
          </w:tcPr>
          <w:p>
            <w:pPr>
              <w:ind w:firstLine="630" w:firstLineChars="300"/>
              <w:rPr>
                <w:rFonts w:ascii="宋体" w:hAnsi="宋体"/>
                <w:color w:val="auto"/>
              </w:rPr>
            </w:pPr>
          </w:p>
        </w:tc>
        <w:tc>
          <w:tcPr>
            <w:tcW w:w="1302" w:type="dxa"/>
          </w:tcPr>
          <w:p>
            <w:pPr>
              <w:ind w:firstLine="630" w:firstLineChars="300"/>
              <w:rPr>
                <w:rFonts w:ascii="宋体" w:hAnsi="宋体"/>
                <w:color w:val="auto"/>
              </w:rPr>
            </w:pPr>
          </w:p>
        </w:tc>
        <w:tc>
          <w:tcPr>
            <w:tcW w:w="1668" w:type="dxa"/>
            <w:vAlign w:val="center"/>
          </w:tcPr>
          <w:p>
            <w:pPr>
              <w:ind w:firstLine="420" w:firstLineChars="200"/>
              <w:jc w:val="center"/>
              <w:rPr>
                <w:rFonts w:ascii="宋体" w:hAnsi="宋体" w:cs="宋体"/>
                <w:color w:val="auto"/>
              </w:rPr>
            </w:pPr>
            <w:r>
              <w:rPr>
                <w:rFonts w:ascii="宋体" w:hAnsi="宋体" w:cs="宋体"/>
                <w:color w:val="auto"/>
              </w:rPr>
              <w:t>…</w:t>
            </w:r>
          </w:p>
        </w:tc>
        <w:tc>
          <w:tcPr>
            <w:tcW w:w="2287" w:type="dxa"/>
          </w:tcPr>
          <w:p>
            <w:pPr>
              <w:rPr>
                <w:rFonts w:ascii="宋体" w:hAnsi="宋体"/>
                <w:color w:val="auto"/>
              </w:rPr>
            </w:pPr>
          </w:p>
        </w:tc>
      </w:tr>
    </w:tbl>
    <w:p>
      <w:pPr>
        <w:spacing w:line="480" w:lineRule="auto"/>
        <w:ind w:firstLine="480" w:firstLineChars="200"/>
        <w:rPr>
          <w:rFonts w:ascii="宋体" w:hAnsi="宋体"/>
          <w:color w:val="auto"/>
          <w:sz w:val="24"/>
        </w:rPr>
      </w:pPr>
    </w:p>
    <w:p>
      <w:pPr>
        <w:spacing w:line="480" w:lineRule="auto"/>
        <w:ind w:firstLine="4080" w:firstLineChars="1700"/>
        <w:rPr>
          <w:rFonts w:ascii="宋体" w:hAnsi="宋体"/>
          <w:color w:val="auto"/>
          <w:sz w:val="24"/>
        </w:rPr>
      </w:pPr>
      <w:r>
        <w:rPr>
          <w:rFonts w:hint="eastAsia" w:ascii="宋体" w:hAnsi="宋体"/>
          <w:color w:val="auto"/>
          <w:sz w:val="24"/>
        </w:rPr>
        <w:t>投标人名称（盖章）：</w:t>
      </w:r>
      <w:r>
        <w:rPr>
          <w:rFonts w:hint="eastAsia" w:ascii="宋体" w:hAnsi="宋体"/>
          <w:color w:val="auto"/>
          <w:sz w:val="24"/>
          <w:u w:val="single"/>
        </w:rPr>
        <w:t xml:space="preserve">                   </w:t>
      </w:r>
    </w:p>
    <w:p>
      <w:pPr>
        <w:spacing w:line="480" w:lineRule="auto"/>
        <w:ind w:firstLine="4080" w:firstLineChars="1700"/>
        <w:rPr>
          <w:rFonts w:ascii="宋体" w:hAnsi="宋体"/>
          <w:color w:val="auto"/>
          <w:sz w:val="24"/>
        </w:rPr>
      </w:pPr>
      <w:r>
        <w:rPr>
          <w:rFonts w:hint="eastAsia" w:ascii="宋体" w:hAnsi="宋体"/>
          <w:color w:val="auto"/>
          <w:sz w:val="24"/>
        </w:rPr>
        <w:t>法定代表人 (签字或盖章)：</w:t>
      </w:r>
      <w:r>
        <w:rPr>
          <w:rFonts w:hint="eastAsia" w:ascii="宋体" w:hAnsi="宋体"/>
          <w:color w:val="auto"/>
          <w:sz w:val="24"/>
          <w:u w:val="single"/>
        </w:rPr>
        <w:t xml:space="preserve">                      </w:t>
      </w:r>
    </w:p>
    <w:p>
      <w:pPr>
        <w:spacing w:line="480" w:lineRule="auto"/>
        <w:rPr>
          <w:color w:val="auto"/>
        </w:rPr>
      </w:pPr>
      <w:r>
        <w:rPr>
          <w:rFonts w:hint="eastAsia" w:ascii="宋体" w:hAnsi="宋体"/>
          <w:color w:val="auto"/>
          <w:sz w:val="24"/>
        </w:rPr>
        <w:t xml:space="preserve">                                  日    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pStyle w:val="2"/>
        <w:ind w:firstLine="0" w:firstLineChars="0"/>
        <w:rPr>
          <w:color w:val="auto"/>
        </w:rPr>
      </w:pPr>
    </w:p>
    <w:p>
      <w:pPr>
        <w:spacing w:before="156" w:beforeLines="50" w:after="156" w:afterLines="50"/>
        <w:jc w:val="center"/>
        <w:rPr>
          <w:rFonts w:ascii="宋体" w:cs="宋体"/>
          <w:b/>
          <w:bCs/>
          <w:color w:val="auto"/>
          <w:sz w:val="28"/>
          <w:szCs w:val="28"/>
        </w:rPr>
      </w:pPr>
      <w:r>
        <w:rPr>
          <w:rFonts w:hint="eastAsia" w:ascii="宋体" w:cs="宋体"/>
          <w:b/>
          <w:bCs/>
          <w:color w:val="auto"/>
          <w:sz w:val="28"/>
          <w:szCs w:val="28"/>
        </w:rPr>
        <w:t>2、货物的详细配置清单</w:t>
      </w:r>
    </w:p>
    <w:tbl>
      <w:tblPr>
        <w:tblStyle w:val="47"/>
        <w:tblpPr w:leftFromText="180" w:rightFromText="180" w:vertAnchor="text" w:horzAnchor="margin" w:tblpY="1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427"/>
        <w:gridCol w:w="2140"/>
        <w:gridCol w:w="1163"/>
        <w:gridCol w:w="2166"/>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22" w:type="dxa"/>
            <w:vAlign w:val="center"/>
          </w:tcPr>
          <w:p>
            <w:pPr>
              <w:spacing w:line="360" w:lineRule="auto"/>
              <w:jc w:val="center"/>
              <w:rPr>
                <w:rFonts w:ascii="宋体" w:hAnsi="宋体"/>
                <w:color w:val="auto"/>
              </w:rPr>
            </w:pPr>
            <w:r>
              <w:rPr>
                <w:rFonts w:hint="eastAsia" w:ascii="宋体" w:hAnsi="宋体"/>
                <w:color w:val="auto"/>
              </w:rPr>
              <w:t>序号</w:t>
            </w:r>
          </w:p>
        </w:tc>
        <w:tc>
          <w:tcPr>
            <w:tcW w:w="1427" w:type="dxa"/>
            <w:vAlign w:val="center"/>
          </w:tcPr>
          <w:p>
            <w:pPr>
              <w:spacing w:line="360" w:lineRule="auto"/>
              <w:jc w:val="center"/>
              <w:rPr>
                <w:rFonts w:ascii="宋体" w:hAnsi="宋体"/>
                <w:color w:val="auto"/>
              </w:rPr>
            </w:pPr>
            <w:r>
              <w:rPr>
                <w:rFonts w:hint="eastAsia" w:ascii="宋体" w:hAnsi="宋体"/>
                <w:color w:val="auto"/>
              </w:rPr>
              <w:t>货物名称</w:t>
            </w:r>
          </w:p>
        </w:tc>
        <w:tc>
          <w:tcPr>
            <w:tcW w:w="2140" w:type="dxa"/>
            <w:vAlign w:val="center"/>
          </w:tcPr>
          <w:p>
            <w:pPr>
              <w:spacing w:line="360" w:lineRule="auto"/>
              <w:jc w:val="center"/>
              <w:rPr>
                <w:rFonts w:ascii="宋体" w:hAnsi="宋体"/>
                <w:color w:val="auto"/>
              </w:rPr>
            </w:pPr>
            <w:r>
              <w:rPr>
                <w:rFonts w:hint="eastAsia" w:ascii="宋体" w:hAnsi="宋体"/>
                <w:color w:val="auto"/>
              </w:rPr>
              <w:t>品牌、规格型号</w:t>
            </w:r>
          </w:p>
        </w:tc>
        <w:tc>
          <w:tcPr>
            <w:tcW w:w="1163" w:type="dxa"/>
            <w:vAlign w:val="center"/>
          </w:tcPr>
          <w:p>
            <w:pPr>
              <w:spacing w:line="360" w:lineRule="auto"/>
              <w:jc w:val="center"/>
              <w:rPr>
                <w:rFonts w:ascii="宋体" w:hAnsi="宋体"/>
                <w:color w:val="auto"/>
              </w:rPr>
            </w:pPr>
            <w:r>
              <w:rPr>
                <w:rFonts w:hint="eastAsia" w:ascii="宋体" w:hAnsi="宋体"/>
                <w:color w:val="auto"/>
              </w:rPr>
              <w:t>产地</w:t>
            </w:r>
          </w:p>
        </w:tc>
        <w:tc>
          <w:tcPr>
            <w:tcW w:w="2166" w:type="dxa"/>
            <w:vAlign w:val="center"/>
          </w:tcPr>
          <w:p>
            <w:pPr>
              <w:spacing w:line="360" w:lineRule="auto"/>
              <w:ind w:left="261"/>
              <w:jc w:val="center"/>
              <w:rPr>
                <w:rFonts w:ascii="宋体" w:hAnsi="宋体"/>
                <w:color w:val="auto"/>
              </w:rPr>
            </w:pPr>
            <w:r>
              <w:rPr>
                <w:rFonts w:hint="eastAsia" w:ascii="宋体" w:hAnsi="宋体"/>
                <w:color w:val="auto"/>
              </w:rPr>
              <w:t>生产厂家</w:t>
            </w:r>
          </w:p>
        </w:tc>
        <w:tc>
          <w:tcPr>
            <w:tcW w:w="1522" w:type="dxa"/>
            <w:vAlign w:val="center"/>
          </w:tcPr>
          <w:p>
            <w:pPr>
              <w:spacing w:line="360" w:lineRule="auto"/>
              <w:jc w:val="center"/>
              <w:rPr>
                <w:rFonts w:ascii="宋体" w:hAnsi="宋体"/>
                <w:color w:val="auto"/>
              </w:rPr>
            </w:pPr>
            <w:r>
              <w:rPr>
                <w:rFonts w:hint="eastAsia" w:ascii="宋体" w:hAnsi="宋体"/>
                <w:color w:val="auto"/>
              </w:rPr>
              <w:t>详细配置清单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22" w:type="dxa"/>
          </w:tcPr>
          <w:p>
            <w:pPr>
              <w:spacing w:line="360" w:lineRule="auto"/>
              <w:rPr>
                <w:rFonts w:ascii="宋体" w:hAnsi="宋体"/>
                <w:color w:val="auto"/>
              </w:rPr>
            </w:pPr>
            <w:r>
              <w:rPr>
                <w:rFonts w:hint="eastAsia" w:ascii="宋体" w:hAnsi="宋体"/>
                <w:color w:val="auto"/>
              </w:rPr>
              <w:t>1</w:t>
            </w:r>
          </w:p>
        </w:tc>
        <w:tc>
          <w:tcPr>
            <w:tcW w:w="1427" w:type="dxa"/>
          </w:tcPr>
          <w:p>
            <w:pPr>
              <w:spacing w:line="360" w:lineRule="auto"/>
              <w:rPr>
                <w:rFonts w:ascii="宋体" w:hAnsi="宋体"/>
                <w:color w:val="auto"/>
              </w:rPr>
            </w:pPr>
          </w:p>
        </w:tc>
        <w:tc>
          <w:tcPr>
            <w:tcW w:w="2140" w:type="dxa"/>
          </w:tcPr>
          <w:p>
            <w:pPr>
              <w:spacing w:line="360" w:lineRule="auto"/>
              <w:rPr>
                <w:rFonts w:ascii="宋体" w:hAnsi="宋体"/>
                <w:color w:val="auto"/>
              </w:rPr>
            </w:pPr>
          </w:p>
        </w:tc>
        <w:tc>
          <w:tcPr>
            <w:tcW w:w="1163" w:type="dxa"/>
          </w:tcPr>
          <w:p>
            <w:pPr>
              <w:spacing w:line="360" w:lineRule="auto"/>
              <w:rPr>
                <w:rFonts w:ascii="宋体" w:hAnsi="宋体"/>
                <w:color w:val="auto"/>
              </w:rPr>
            </w:pPr>
          </w:p>
        </w:tc>
        <w:tc>
          <w:tcPr>
            <w:tcW w:w="2166" w:type="dxa"/>
          </w:tcPr>
          <w:p>
            <w:pPr>
              <w:spacing w:line="360" w:lineRule="auto"/>
              <w:rPr>
                <w:rFonts w:ascii="宋体" w:hAnsi="宋体"/>
                <w:color w:val="auto"/>
              </w:rPr>
            </w:pPr>
          </w:p>
        </w:tc>
        <w:tc>
          <w:tcPr>
            <w:tcW w:w="1522" w:type="dxa"/>
          </w:tcPr>
          <w:p>
            <w:pPr>
              <w:spacing w:line="360" w:lineRule="auto"/>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22" w:type="dxa"/>
          </w:tcPr>
          <w:p>
            <w:pPr>
              <w:spacing w:line="360" w:lineRule="auto"/>
              <w:rPr>
                <w:rFonts w:ascii="宋体" w:hAnsi="宋体"/>
                <w:color w:val="auto"/>
              </w:rPr>
            </w:pPr>
            <w:r>
              <w:rPr>
                <w:rFonts w:hint="eastAsia" w:ascii="宋体" w:hAnsi="宋体"/>
                <w:color w:val="auto"/>
              </w:rPr>
              <w:t>2</w:t>
            </w:r>
          </w:p>
        </w:tc>
        <w:tc>
          <w:tcPr>
            <w:tcW w:w="1427" w:type="dxa"/>
          </w:tcPr>
          <w:p>
            <w:pPr>
              <w:spacing w:line="360" w:lineRule="auto"/>
              <w:rPr>
                <w:rFonts w:ascii="宋体" w:hAnsi="宋体"/>
                <w:color w:val="auto"/>
              </w:rPr>
            </w:pPr>
          </w:p>
        </w:tc>
        <w:tc>
          <w:tcPr>
            <w:tcW w:w="2140" w:type="dxa"/>
          </w:tcPr>
          <w:p>
            <w:pPr>
              <w:spacing w:line="360" w:lineRule="auto"/>
              <w:rPr>
                <w:rFonts w:ascii="宋体" w:hAnsi="宋体"/>
                <w:color w:val="auto"/>
              </w:rPr>
            </w:pPr>
          </w:p>
        </w:tc>
        <w:tc>
          <w:tcPr>
            <w:tcW w:w="1163" w:type="dxa"/>
          </w:tcPr>
          <w:p>
            <w:pPr>
              <w:spacing w:line="360" w:lineRule="auto"/>
              <w:rPr>
                <w:rFonts w:ascii="宋体" w:hAnsi="宋体"/>
                <w:color w:val="auto"/>
              </w:rPr>
            </w:pPr>
          </w:p>
        </w:tc>
        <w:tc>
          <w:tcPr>
            <w:tcW w:w="2166" w:type="dxa"/>
          </w:tcPr>
          <w:p>
            <w:pPr>
              <w:spacing w:line="360" w:lineRule="auto"/>
              <w:rPr>
                <w:rFonts w:ascii="宋体" w:hAnsi="宋体"/>
                <w:color w:val="auto"/>
              </w:rPr>
            </w:pPr>
          </w:p>
        </w:tc>
        <w:tc>
          <w:tcPr>
            <w:tcW w:w="1522" w:type="dxa"/>
          </w:tcPr>
          <w:p>
            <w:pPr>
              <w:spacing w:line="360" w:lineRule="auto"/>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22" w:type="dxa"/>
          </w:tcPr>
          <w:p>
            <w:pPr>
              <w:spacing w:line="360" w:lineRule="auto"/>
              <w:rPr>
                <w:rFonts w:ascii="宋体" w:hAnsi="宋体"/>
                <w:color w:val="auto"/>
              </w:rPr>
            </w:pPr>
            <w:r>
              <w:rPr>
                <w:rFonts w:hint="eastAsia" w:ascii="宋体" w:hAnsi="宋体"/>
                <w:color w:val="auto"/>
              </w:rPr>
              <w:t>3</w:t>
            </w:r>
          </w:p>
        </w:tc>
        <w:tc>
          <w:tcPr>
            <w:tcW w:w="1427" w:type="dxa"/>
          </w:tcPr>
          <w:p>
            <w:pPr>
              <w:spacing w:line="360" w:lineRule="auto"/>
              <w:rPr>
                <w:rFonts w:ascii="宋体" w:hAnsi="宋体"/>
                <w:color w:val="auto"/>
              </w:rPr>
            </w:pPr>
          </w:p>
        </w:tc>
        <w:tc>
          <w:tcPr>
            <w:tcW w:w="2140" w:type="dxa"/>
          </w:tcPr>
          <w:p>
            <w:pPr>
              <w:spacing w:line="360" w:lineRule="auto"/>
              <w:rPr>
                <w:rFonts w:ascii="宋体" w:hAnsi="宋体"/>
                <w:color w:val="auto"/>
              </w:rPr>
            </w:pPr>
          </w:p>
        </w:tc>
        <w:tc>
          <w:tcPr>
            <w:tcW w:w="1163" w:type="dxa"/>
          </w:tcPr>
          <w:p>
            <w:pPr>
              <w:spacing w:line="360" w:lineRule="auto"/>
              <w:rPr>
                <w:rFonts w:ascii="宋体" w:hAnsi="宋体"/>
                <w:color w:val="auto"/>
              </w:rPr>
            </w:pPr>
          </w:p>
        </w:tc>
        <w:tc>
          <w:tcPr>
            <w:tcW w:w="2166" w:type="dxa"/>
          </w:tcPr>
          <w:p>
            <w:pPr>
              <w:spacing w:line="360" w:lineRule="auto"/>
              <w:rPr>
                <w:rFonts w:ascii="宋体" w:hAnsi="宋体"/>
                <w:color w:val="auto"/>
              </w:rPr>
            </w:pPr>
          </w:p>
        </w:tc>
        <w:tc>
          <w:tcPr>
            <w:tcW w:w="1522" w:type="dxa"/>
          </w:tcPr>
          <w:p>
            <w:pPr>
              <w:spacing w:line="360" w:lineRule="auto"/>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22" w:type="dxa"/>
          </w:tcPr>
          <w:p>
            <w:pPr>
              <w:spacing w:line="360" w:lineRule="auto"/>
              <w:rPr>
                <w:rFonts w:ascii="宋体" w:hAnsi="宋体"/>
                <w:color w:val="auto"/>
              </w:rPr>
            </w:pPr>
            <w:r>
              <w:rPr>
                <w:rFonts w:ascii="宋体" w:hAnsi="宋体"/>
                <w:color w:val="auto"/>
              </w:rPr>
              <w:t>……</w:t>
            </w:r>
          </w:p>
        </w:tc>
        <w:tc>
          <w:tcPr>
            <w:tcW w:w="1427" w:type="dxa"/>
          </w:tcPr>
          <w:p>
            <w:pPr>
              <w:spacing w:line="360" w:lineRule="auto"/>
              <w:rPr>
                <w:rFonts w:ascii="宋体" w:hAnsi="宋体"/>
                <w:color w:val="auto"/>
              </w:rPr>
            </w:pPr>
            <w:r>
              <w:rPr>
                <w:rFonts w:ascii="宋体" w:hAnsi="宋体"/>
                <w:color w:val="auto"/>
              </w:rPr>
              <w:t>……</w:t>
            </w:r>
          </w:p>
        </w:tc>
        <w:tc>
          <w:tcPr>
            <w:tcW w:w="2140" w:type="dxa"/>
          </w:tcPr>
          <w:p>
            <w:pPr>
              <w:spacing w:line="360" w:lineRule="auto"/>
              <w:rPr>
                <w:rFonts w:ascii="宋体" w:hAnsi="宋体"/>
                <w:color w:val="auto"/>
              </w:rPr>
            </w:pPr>
          </w:p>
        </w:tc>
        <w:tc>
          <w:tcPr>
            <w:tcW w:w="1163" w:type="dxa"/>
          </w:tcPr>
          <w:p>
            <w:pPr>
              <w:spacing w:line="360" w:lineRule="auto"/>
              <w:rPr>
                <w:rFonts w:ascii="宋体" w:hAnsi="宋体"/>
                <w:color w:val="auto"/>
              </w:rPr>
            </w:pPr>
          </w:p>
        </w:tc>
        <w:tc>
          <w:tcPr>
            <w:tcW w:w="2166" w:type="dxa"/>
          </w:tcPr>
          <w:p>
            <w:pPr>
              <w:spacing w:line="360" w:lineRule="auto"/>
              <w:rPr>
                <w:rFonts w:ascii="宋体" w:hAnsi="宋体"/>
                <w:color w:val="auto"/>
              </w:rPr>
            </w:pPr>
          </w:p>
        </w:tc>
        <w:tc>
          <w:tcPr>
            <w:tcW w:w="1522" w:type="dxa"/>
          </w:tcPr>
          <w:p>
            <w:pPr>
              <w:spacing w:line="360" w:lineRule="auto"/>
              <w:rPr>
                <w:rFonts w:ascii="宋体" w:hAnsi="宋体"/>
                <w:color w:val="auto"/>
              </w:rPr>
            </w:pPr>
          </w:p>
        </w:tc>
      </w:tr>
    </w:tbl>
    <w:p>
      <w:pPr>
        <w:spacing w:line="460" w:lineRule="exact"/>
        <w:rPr>
          <w:rFonts w:ascii="宋体" w:hAnsi="宋体"/>
          <w:color w:val="auto"/>
        </w:rPr>
      </w:pPr>
    </w:p>
    <w:p>
      <w:pPr>
        <w:pStyle w:val="2"/>
        <w:ind w:firstLine="400"/>
        <w:rPr>
          <w:color w:val="auto"/>
        </w:rPr>
      </w:pPr>
    </w:p>
    <w:p>
      <w:pPr>
        <w:spacing w:line="460" w:lineRule="exact"/>
        <w:rPr>
          <w:rFonts w:ascii="宋体" w:hAnsi="宋体"/>
          <w:color w:val="auto"/>
        </w:rPr>
      </w:pPr>
      <w:r>
        <w:rPr>
          <w:rFonts w:hint="eastAsia" w:ascii="宋体" w:hAnsi="宋体"/>
          <w:color w:val="auto"/>
        </w:rPr>
        <w:t>法定代表人签字或盖章：                            投标人（盖章）：</w:t>
      </w:r>
    </w:p>
    <w:p>
      <w:pPr>
        <w:spacing w:line="460" w:lineRule="exact"/>
        <w:ind w:firstLine="420" w:firstLineChars="200"/>
        <w:jc w:val="right"/>
        <w:rPr>
          <w:rFonts w:ascii="宋体" w:hAnsi="宋体" w:cs="Arial"/>
          <w:color w:val="auto"/>
          <w:sz w:val="28"/>
          <w:szCs w:val="28"/>
        </w:rPr>
      </w:pPr>
      <w:r>
        <w:rPr>
          <w:rFonts w:hint="eastAsia" w:ascii="宋体" w:hAnsi="宋体"/>
          <w:bCs/>
          <w:color w:val="auto"/>
        </w:rPr>
        <w:t>年   月   日</w:t>
      </w:r>
    </w:p>
    <w:p>
      <w:pPr>
        <w:overflowPunct w:val="0"/>
        <w:adjustRightInd w:val="0"/>
        <w:snapToGrid w:val="0"/>
        <w:spacing w:line="440" w:lineRule="exact"/>
        <w:jc w:val="center"/>
        <w:rPr>
          <w:rFonts w:ascii="宋体" w:hAnsi="宋体"/>
          <w:b/>
          <w:bCs/>
          <w:color w:val="auto"/>
          <w:sz w:val="28"/>
          <w:szCs w:val="28"/>
        </w:rPr>
      </w:pPr>
    </w:p>
    <w:p>
      <w:pPr>
        <w:overflowPunct w:val="0"/>
        <w:adjustRightInd w:val="0"/>
        <w:snapToGrid w:val="0"/>
        <w:spacing w:line="440" w:lineRule="exact"/>
        <w:jc w:val="center"/>
        <w:rPr>
          <w:rFonts w:ascii="宋体" w:hAnsi="宋体"/>
          <w:b/>
          <w:bCs/>
          <w:color w:val="auto"/>
          <w:sz w:val="28"/>
          <w:szCs w:val="28"/>
        </w:rPr>
      </w:pPr>
    </w:p>
    <w:p>
      <w:pPr>
        <w:overflowPunct w:val="0"/>
        <w:adjustRightInd w:val="0"/>
        <w:snapToGrid w:val="0"/>
        <w:spacing w:line="440" w:lineRule="exact"/>
        <w:jc w:val="center"/>
        <w:rPr>
          <w:rFonts w:ascii="宋体" w:hAnsi="宋体"/>
          <w:b/>
          <w:bCs/>
          <w:color w:val="auto"/>
          <w:sz w:val="28"/>
          <w:szCs w:val="28"/>
        </w:rPr>
      </w:pPr>
    </w:p>
    <w:p>
      <w:pPr>
        <w:pStyle w:val="6"/>
        <w:rPr>
          <w:color w:val="auto"/>
        </w:rPr>
      </w:pPr>
    </w:p>
    <w:p>
      <w:pPr>
        <w:spacing w:line="300" w:lineRule="exact"/>
        <w:ind w:firstLine="602" w:firstLineChars="200"/>
        <w:jc w:val="center"/>
        <w:rPr>
          <w:rFonts w:ascii="宋体"/>
          <w:b/>
          <w:color w:val="auto"/>
          <w:sz w:val="30"/>
          <w:szCs w:val="30"/>
        </w:rPr>
      </w:pPr>
    </w:p>
    <w:p>
      <w:pPr>
        <w:spacing w:line="300" w:lineRule="exact"/>
        <w:ind w:firstLine="602" w:firstLineChars="200"/>
        <w:jc w:val="center"/>
        <w:rPr>
          <w:rFonts w:ascii="宋体"/>
          <w:b/>
          <w:color w:val="auto"/>
          <w:sz w:val="30"/>
          <w:szCs w:val="30"/>
        </w:rPr>
      </w:pPr>
      <w:r>
        <w:rPr>
          <w:rFonts w:hint="eastAsia" w:ascii="宋体"/>
          <w:b/>
          <w:color w:val="auto"/>
          <w:sz w:val="30"/>
          <w:szCs w:val="30"/>
        </w:rPr>
        <w:t>服务承诺书</w:t>
      </w:r>
    </w:p>
    <w:p>
      <w:pPr>
        <w:ind w:firstLine="480" w:firstLineChars="200"/>
        <w:rPr>
          <w:rFonts w:ascii="宋体"/>
          <w:color w:val="auto"/>
          <w:sz w:val="24"/>
        </w:rPr>
      </w:pPr>
    </w:p>
    <w:p>
      <w:pPr>
        <w:spacing w:line="600" w:lineRule="exact"/>
        <w:ind w:firstLine="480" w:firstLineChars="200"/>
        <w:rPr>
          <w:rFonts w:ascii="宋体"/>
          <w:color w:val="auto"/>
          <w:sz w:val="24"/>
        </w:rPr>
      </w:pPr>
    </w:p>
    <w:p>
      <w:pPr>
        <w:spacing w:line="600" w:lineRule="exact"/>
        <w:ind w:firstLine="480" w:firstLineChars="200"/>
        <w:rPr>
          <w:rFonts w:ascii="宋体"/>
          <w:b/>
          <w:color w:val="auto"/>
          <w:sz w:val="24"/>
        </w:rPr>
      </w:pPr>
      <w:r>
        <w:rPr>
          <w:rFonts w:hint="eastAsia" w:ascii="宋体"/>
          <w:color w:val="auto"/>
          <w:sz w:val="24"/>
        </w:rPr>
        <w:t>致：</w:t>
      </w:r>
      <w:r>
        <w:rPr>
          <w:rFonts w:hint="eastAsia" w:ascii="宋体"/>
          <w:color w:val="auto"/>
          <w:sz w:val="24"/>
          <w:u w:val="single"/>
        </w:rPr>
        <w:t xml:space="preserve">          （采购人）     ：</w:t>
      </w:r>
    </w:p>
    <w:p>
      <w:pPr>
        <w:spacing w:line="560" w:lineRule="exact"/>
        <w:ind w:firstLine="480" w:firstLineChars="200"/>
        <w:rPr>
          <w:rFonts w:ascii="宋体"/>
          <w:color w:val="auto"/>
          <w:sz w:val="24"/>
        </w:rPr>
      </w:pPr>
      <w:r>
        <w:rPr>
          <w:rFonts w:hint="eastAsia" w:ascii="宋体"/>
          <w:color w:val="auto"/>
          <w:sz w:val="24"/>
        </w:rPr>
        <w:t>1、 本承诺声明：</w:t>
      </w:r>
      <w:r>
        <w:rPr>
          <w:rFonts w:hint="eastAsia" w:ascii="宋体"/>
          <w:color w:val="auto"/>
          <w:sz w:val="24"/>
          <w:u w:val="single"/>
        </w:rPr>
        <w:t xml:space="preserve">      （供应商名称）     </w:t>
      </w:r>
      <w:r>
        <w:rPr>
          <w:rFonts w:hint="eastAsia" w:ascii="宋体"/>
          <w:color w:val="auto"/>
          <w:sz w:val="24"/>
        </w:rPr>
        <w:t>对本谈判文件的相关要求</w:t>
      </w:r>
      <w:r>
        <w:rPr>
          <w:rFonts w:hint="eastAsia" w:ascii="宋体"/>
          <w:color w:val="auto"/>
          <w:sz w:val="24"/>
          <w:u w:val="single"/>
        </w:rPr>
        <w:t xml:space="preserve"> （完全响应或优于）</w:t>
      </w:r>
      <w:r>
        <w:rPr>
          <w:rFonts w:hint="eastAsia" w:ascii="宋体"/>
          <w:color w:val="auto"/>
          <w:sz w:val="24"/>
        </w:rPr>
        <w:t>。服务质量均符合采购人实际策划需求，并承担</w:t>
      </w:r>
      <w:r>
        <w:rPr>
          <w:rFonts w:hint="eastAsia" w:ascii="宋体" w:hAnsi="宋体" w:cs="宋体"/>
          <w:color w:val="auto"/>
          <w:sz w:val="24"/>
        </w:rPr>
        <w:t>滁州学院磁盘阵列和移动固态硬盘采购项目</w:t>
      </w:r>
      <w:r>
        <w:rPr>
          <w:rFonts w:hint="eastAsia" w:ascii="宋体"/>
          <w:color w:val="auto"/>
          <w:sz w:val="24"/>
        </w:rPr>
        <w:t>的所有服务内容。若有幸成交将严格按照以上承诺进行服务。</w:t>
      </w:r>
    </w:p>
    <w:p>
      <w:pPr>
        <w:spacing w:line="600" w:lineRule="exact"/>
        <w:ind w:firstLine="720" w:firstLineChars="300"/>
        <w:rPr>
          <w:rFonts w:ascii="宋体"/>
          <w:color w:val="auto"/>
          <w:sz w:val="24"/>
        </w:rPr>
      </w:pPr>
      <w:r>
        <w:rPr>
          <w:rFonts w:hint="eastAsia" w:ascii="宋体"/>
          <w:color w:val="auto"/>
          <w:sz w:val="24"/>
        </w:rPr>
        <w:t>特此声明</w:t>
      </w:r>
    </w:p>
    <w:p>
      <w:pPr>
        <w:spacing w:line="600" w:lineRule="exact"/>
        <w:rPr>
          <w:rFonts w:ascii="宋体"/>
          <w:color w:val="auto"/>
          <w:sz w:val="24"/>
        </w:rPr>
      </w:pPr>
    </w:p>
    <w:p>
      <w:pPr>
        <w:spacing w:line="600" w:lineRule="exact"/>
        <w:rPr>
          <w:rFonts w:ascii="宋体"/>
          <w:color w:val="auto"/>
          <w:sz w:val="24"/>
        </w:rPr>
      </w:pPr>
      <w:r>
        <w:rPr>
          <w:rFonts w:hint="eastAsia" w:ascii="宋体"/>
          <w:color w:val="auto"/>
          <w:sz w:val="24"/>
        </w:rPr>
        <w:t xml:space="preserve">          法定代表人或代理人（被授权人）：</w:t>
      </w:r>
      <w:r>
        <w:rPr>
          <w:rFonts w:hint="eastAsia" w:ascii="宋体"/>
          <w:color w:val="auto"/>
          <w:sz w:val="24"/>
          <w:u w:val="single"/>
        </w:rPr>
        <w:t xml:space="preserve">                （签字或盖章）          </w:t>
      </w:r>
    </w:p>
    <w:p>
      <w:pPr>
        <w:spacing w:line="600" w:lineRule="exact"/>
        <w:rPr>
          <w:rFonts w:ascii="宋体"/>
          <w:color w:val="auto"/>
          <w:sz w:val="24"/>
        </w:rPr>
      </w:pPr>
      <w:r>
        <w:rPr>
          <w:rFonts w:hint="eastAsia" w:ascii="宋体"/>
          <w:color w:val="auto"/>
          <w:sz w:val="24"/>
        </w:rPr>
        <w:t xml:space="preserve">                                    供应商名称：</w:t>
      </w:r>
      <w:r>
        <w:rPr>
          <w:rFonts w:hint="eastAsia" w:ascii="宋体"/>
          <w:color w:val="auto"/>
          <w:sz w:val="24"/>
          <w:u w:val="single"/>
        </w:rPr>
        <w:t xml:space="preserve">        （公章）          </w:t>
      </w:r>
    </w:p>
    <w:p>
      <w:pPr>
        <w:spacing w:line="600" w:lineRule="exact"/>
        <w:ind w:firstLine="4680" w:firstLineChars="1950"/>
        <w:rPr>
          <w:rFonts w:ascii="宋体"/>
          <w:color w:val="auto"/>
          <w:sz w:val="24"/>
          <w:u w:val="single"/>
        </w:rPr>
      </w:pPr>
      <w:r>
        <w:rPr>
          <w:rFonts w:hint="eastAsia" w:ascii="宋体"/>
          <w:color w:val="auto"/>
          <w:sz w:val="24"/>
        </w:rPr>
        <w:t>日    期：</w:t>
      </w:r>
    </w:p>
    <w:p>
      <w:pPr>
        <w:pStyle w:val="2"/>
        <w:ind w:firstLine="400"/>
        <w:rPr>
          <w:color w:val="auto"/>
        </w:rPr>
      </w:pPr>
    </w:p>
    <w:p>
      <w:pPr>
        <w:overflowPunct w:val="0"/>
        <w:adjustRightInd w:val="0"/>
        <w:snapToGrid w:val="0"/>
        <w:spacing w:line="440" w:lineRule="exact"/>
        <w:jc w:val="center"/>
        <w:rPr>
          <w:rFonts w:ascii="宋体" w:hAnsi="宋体"/>
          <w:b/>
          <w:bCs/>
          <w:color w:val="auto"/>
          <w:sz w:val="28"/>
          <w:szCs w:val="28"/>
        </w:rPr>
      </w:pPr>
    </w:p>
    <w:p>
      <w:pPr>
        <w:overflowPunct w:val="0"/>
        <w:adjustRightInd w:val="0"/>
        <w:snapToGrid w:val="0"/>
        <w:spacing w:line="440" w:lineRule="exact"/>
        <w:jc w:val="center"/>
        <w:rPr>
          <w:rFonts w:ascii="宋体" w:hAnsi="宋体"/>
          <w:b/>
          <w:bCs/>
          <w:color w:val="auto"/>
          <w:sz w:val="28"/>
          <w:szCs w:val="28"/>
        </w:rPr>
      </w:pPr>
    </w:p>
    <w:p>
      <w:pPr>
        <w:pStyle w:val="2"/>
        <w:ind w:firstLine="562"/>
        <w:rPr>
          <w:rFonts w:hAnsi="宋体"/>
          <w:b/>
          <w:bCs/>
          <w:color w:val="auto"/>
          <w:sz w:val="28"/>
          <w:szCs w:val="28"/>
        </w:rPr>
      </w:pPr>
    </w:p>
    <w:p>
      <w:pPr>
        <w:pStyle w:val="6"/>
        <w:rPr>
          <w:rFonts w:ascii="宋体" w:hAnsi="宋体"/>
          <w:b/>
          <w:bCs/>
          <w:color w:val="auto"/>
        </w:rPr>
      </w:pPr>
    </w:p>
    <w:p>
      <w:pPr>
        <w:rPr>
          <w:rFonts w:ascii="宋体" w:hAnsi="宋体"/>
          <w:b/>
          <w:bCs/>
          <w:color w:val="auto"/>
          <w:sz w:val="28"/>
          <w:szCs w:val="28"/>
        </w:rPr>
      </w:pPr>
    </w:p>
    <w:p>
      <w:pPr>
        <w:pStyle w:val="2"/>
        <w:ind w:firstLine="562"/>
        <w:rPr>
          <w:rFonts w:hAnsi="宋体"/>
          <w:b/>
          <w:bCs/>
          <w:color w:val="auto"/>
          <w:sz w:val="28"/>
          <w:szCs w:val="28"/>
        </w:rPr>
      </w:pPr>
    </w:p>
    <w:p>
      <w:pPr>
        <w:pStyle w:val="6"/>
        <w:rPr>
          <w:rFonts w:ascii="宋体" w:hAnsi="宋体"/>
          <w:b/>
          <w:bCs/>
          <w:color w:val="auto"/>
        </w:rPr>
      </w:pPr>
    </w:p>
    <w:p>
      <w:pPr>
        <w:rPr>
          <w:rFonts w:ascii="宋体" w:hAnsi="宋体"/>
          <w:b/>
          <w:bCs/>
          <w:color w:val="auto"/>
          <w:sz w:val="28"/>
          <w:szCs w:val="28"/>
        </w:rPr>
      </w:pPr>
    </w:p>
    <w:p>
      <w:pPr>
        <w:pStyle w:val="2"/>
        <w:ind w:firstLine="562"/>
        <w:rPr>
          <w:rFonts w:hAnsi="宋体"/>
          <w:b/>
          <w:bCs/>
          <w:color w:val="auto"/>
          <w:sz w:val="28"/>
          <w:szCs w:val="28"/>
        </w:rPr>
      </w:pPr>
    </w:p>
    <w:p>
      <w:pPr>
        <w:pStyle w:val="6"/>
        <w:rPr>
          <w:rFonts w:ascii="宋体" w:hAnsi="宋体"/>
          <w:b/>
          <w:bCs/>
          <w:color w:val="auto"/>
        </w:rPr>
      </w:pPr>
    </w:p>
    <w:p>
      <w:pPr>
        <w:rPr>
          <w:rFonts w:ascii="宋体" w:hAnsi="宋体"/>
          <w:b/>
          <w:bCs/>
          <w:color w:val="auto"/>
          <w:sz w:val="28"/>
          <w:szCs w:val="28"/>
        </w:rPr>
      </w:pPr>
    </w:p>
    <w:p>
      <w:pPr>
        <w:pStyle w:val="2"/>
        <w:ind w:firstLine="562"/>
        <w:rPr>
          <w:rFonts w:hAnsi="宋体"/>
          <w:b/>
          <w:bCs/>
          <w:color w:val="auto"/>
          <w:sz w:val="28"/>
          <w:szCs w:val="28"/>
        </w:rPr>
      </w:pPr>
    </w:p>
    <w:p>
      <w:pPr>
        <w:pStyle w:val="6"/>
        <w:rPr>
          <w:color w:val="auto"/>
        </w:rPr>
      </w:pPr>
    </w:p>
    <w:p>
      <w:pPr>
        <w:overflowPunct w:val="0"/>
        <w:adjustRightInd w:val="0"/>
        <w:snapToGrid w:val="0"/>
        <w:spacing w:line="440" w:lineRule="exact"/>
        <w:jc w:val="center"/>
        <w:rPr>
          <w:rFonts w:ascii="宋体" w:hAnsi="宋体"/>
          <w:b/>
          <w:bCs/>
          <w:color w:val="auto"/>
          <w:sz w:val="28"/>
          <w:szCs w:val="28"/>
        </w:rPr>
      </w:pPr>
      <w:r>
        <w:rPr>
          <w:rFonts w:hint="eastAsia" w:ascii="宋体" w:hAnsi="宋体"/>
          <w:b/>
          <w:bCs/>
          <w:color w:val="auto"/>
          <w:sz w:val="28"/>
          <w:szCs w:val="28"/>
        </w:rPr>
        <w:t>供应商编写的响应商务文件应包括下列部分：</w:t>
      </w:r>
    </w:p>
    <w:p>
      <w:pPr>
        <w:pStyle w:val="6"/>
        <w:rPr>
          <w:color w:val="auto"/>
        </w:rPr>
      </w:pPr>
    </w:p>
    <w:p>
      <w:pPr>
        <w:spacing w:line="440" w:lineRule="exact"/>
        <w:ind w:firstLine="420" w:firstLineChars="200"/>
        <w:rPr>
          <w:rFonts w:ascii="宋体" w:hAnsi="宋体" w:cs="宋体"/>
          <w:bCs/>
          <w:color w:val="auto"/>
        </w:rPr>
      </w:pPr>
      <w:r>
        <w:rPr>
          <w:rFonts w:hint="eastAsia" w:ascii="宋体" w:hAnsi="宋体" w:cs="宋体"/>
          <w:bCs/>
          <w:color w:val="auto"/>
        </w:rPr>
        <w:t>（1）法定代表人身份证明及其有效身份证（或法定代表人授权委托书及其有效身份证）（格式见附件）；</w:t>
      </w:r>
    </w:p>
    <w:p>
      <w:pPr>
        <w:spacing w:line="440" w:lineRule="exact"/>
        <w:ind w:firstLine="420" w:firstLineChars="200"/>
        <w:rPr>
          <w:rFonts w:ascii="宋体" w:hAnsi="宋体" w:cs="宋体"/>
          <w:bCs/>
          <w:color w:val="auto"/>
        </w:rPr>
      </w:pPr>
      <w:r>
        <w:rPr>
          <w:rFonts w:hint="eastAsia" w:ascii="宋体" w:hAnsi="宋体" w:cs="宋体"/>
          <w:bCs/>
          <w:color w:val="auto"/>
        </w:rPr>
        <w:t>（2）响应报价函（格式见附件）；</w:t>
      </w:r>
    </w:p>
    <w:p>
      <w:pPr>
        <w:spacing w:line="440" w:lineRule="exact"/>
        <w:ind w:firstLine="420" w:firstLineChars="200"/>
        <w:rPr>
          <w:rFonts w:ascii="宋体" w:hAnsi="宋体" w:cs="宋体"/>
          <w:bCs/>
          <w:color w:val="auto"/>
        </w:rPr>
      </w:pPr>
      <w:r>
        <w:rPr>
          <w:rFonts w:hint="eastAsia" w:ascii="宋体" w:hAnsi="宋体" w:cs="宋体"/>
          <w:bCs/>
          <w:color w:val="auto"/>
        </w:rPr>
        <w:t>（4）分项报价清单（格式见附件）；</w:t>
      </w:r>
    </w:p>
    <w:p>
      <w:pPr>
        <w:pStyle w:val="2"/>
        <w:ind w:firstLine="400"/>
        <w:rPr>
          <w:color w:val="auto"/>
        </w:rPr>
      </w:pPr>
    </w:p>
    <w:p>
      <w:pPr>
        <w:pStyle w:val="2"/>
        <w:ind w:firstLine="0" w:firstLineChars="0"/>
        <w:rPr>
          <w:color w:val="auto"/>
        </w:rPr>
      </w:pPr>
      <w:r>
        <w:rPr>
          <w:rFonts w:hint="eastAsia" w:hAnsi="宋体" w:cs="宋体"/>
          <w:b/>
          <w:color w:val="auto"/>
          <w:sz w:val="21"/>
          <w:szCs w:val="21"/>
        </w:rPr>
        <w:t>以上材料须按顺序装订，均须加盖供应商公章。要求提供原件的证明材料带至开标现场查验，供应商所提交的投标文件的完整与否，直接影响供应商的投标文件评审。</w:t>
      </w:r>
    </w:p>
    <w:p>
      <w:pPr>
        <w:pStyle w:val="8"/>
        <w:jc w:val="center"/>
        <w:rPr>
          <w:rFonts w:ascii="宋体" w:hAnsi="宋体" w:eastAsia="宋体" w:cs="Arial"/>
          <w:color w:val="auto"/>
          <w:sz w:val="28"/>
          <w:szCs w:val="28"/>
        </w:rPr>
      </w:pPr>
    </w:p>
    <w:p>
      <w:pPr>
        <w:rPr>
          <w:rFonts w:ascii="宋体" w:hAnsi="宋体" w:cs="Arial"/>
          <w:color w:val="auto"/>
          <w:sz w:val="28"/>
          <w:szCs w:val="28"/>
        </w:rPr>
      </w:pPr>
    </w:p>
    <w:p>
      <w:pPr>
        <w:pStyle w:val="2"/>
        <w:ind w:firstLine="560"/>
        <w:rPr>
          <w:rFonts w:hAnsi="宋体" w:cs="Arial"/>
          <w:color w:val="auto"/>
          <w:sz w:val="28"/>
          <w:szCs w:val="28"/>
        </w:rPr>
      </w:pPr>
    </w:p>
    <w:p>
      <w:pPr>
        <w:pStyle w:val="6"/>
        <w:rPr>
          <w:rFonts w:ascii="宋体" w:hAnsi="宋体" w:eastAsia="宋体"/>
          <w:color w:val="auto"/>
        </w:rPr>
      </w:pPr>
    </w:p>
    <w:p>
      <w:pPr>
        <w:rPr>
          <w:rFonts w:ascii="宋体" w:hAnsi="宋体" w:cs="Arial"/>
          <w:color w:val="auto"/>
          <w:sz w:val="28"/>
          <w:szCs w:val="28"/>
        </w:rPr>
      </w:pPr>
    </w:p>
    <w:p>
      <w:pPr>
        <w:pStyle w:val="2"/>
        <w:ind w:firstLine="560"/>
        <w:rPr>
          <w:rFonts w:hAnsi="宋体" w:cs="Arial"/>
          <w:color w:val="auto"/>
          <w:sz w:val="28"/>
          <w:szCs w:val="28"/>
        </w:rPr>
      </w:pPr>
    </w:p>
    <w:p>
      <w:pPr>
        <w:pStyle w:val="6"/>
        <w:rPr>
          <w:rFonts w:ascii="宋体" w:hAnsi="宋体" w:eastAsia="宋体"/>
          <w:color w:val="auto"/>
        </w:rPr>
      </w:pPr>
    </w:p>
    <w:p>
      <w:pPr>
        <w:rPr>
          <w:rFonts w:ascii="宋体" w:hAnsi="宋体" w:cs="Arial"/>
          <w:color w:val="auto"/>
          <w:sz w:val="28"/>
          <w:szCs w:val="28"/>
        </w:rPr>
      </w:pPr>
    </w:p>
    <w:p>
      <w:pPr>
        <w:pStyle w:val="2"/>
        <w:ind w:firstLine="560"/>
        <w:rPr>
          <w:rFonts w:hAnsi="宋体" w:cs="Arial"/>
          <w:color w:val="auto"/>
          <w:sz w:val="28"/>
          <w:szCs w:val="28"/>
        </w:rPr>
      </w:pPr>
    </w:p>
    <w:p>
      <w:pPr>
        <w:pStyle w:val="6"/>
        <w:rPr>
          <w:rFonts w:ascii="宋体" w:hAnsi="宋体" w:eastAsia="宋体"/>
          <w:color w:val="auto"/>
        </w:rPr>
      </w:pPr>
    </w:p>
    <w:p>
      <w:pPr>
        <w:rPr>
          <w:rFonts w:ascii="宋体" w:hAnsi="宋体" w:cs="Arial"/>
          <w:color w:val="auto"/>
          <w:sz w:val="28"/>
          <w:szCs w:val="28"/>
        </w:rPr>
      </w:pPr>
    </w:p>
    <w:p>
      <w:pPr>
        <w:pStyle w:val="2"/>
        <w:ind w:firstLine="560"/>
        <w:rPr>
          <w:rFonts w:hAnsi="宋体" w:cs="Arial"/>
          <w:color w:val="auto"/>
          <w:sz w:val="28"/>
          <w:szCs w:val="28"/>
        </w:rPr>
      </w:pPr>
    </w:p>
    <w:p>
      <w:pPr>
        <w:pStyle w:val="6"/>
        <w:rPr>
          <w:color w:val="auto"/>
        </w:rPr>
      </w:pPr>
    </w:p>
    <w:p>
      <w:pPr>
        <w:pStyle w:val="8"/>
        <w:jc w:val="center"/>
        <w:rPr>
          <w:rFonts w:ascii="宋体"/>
          <w:color w:val="auto"/>
          <w:sz w:val="24"/>
        </w:rPr>
      </w:pPr>
      <w:r>
        <w:rPr>
          <w:rFonts w:hint="eastAsia" w:ascii="宋体" w:hAnsi="宋体" w:eastAsia="宋体" w:cs="Arial"/>
          <w:color w:val="auto"/>
          <w:sz w:val="28"/>
          <w:szCs w:val="28"/>
        </w:rPr>
        <w:t xml:space="preserve"> 谈判</w:t>
      </w:r>
      <w:bookmarkEnd w:id="189"/>
      <w:bookmarkEnd w:id="192"/>
      <w:bookmarkEnd w:id="193"/>
      <w:r>
        <w:rPr>
          <w:rFonts w:hint="eastAsia" w:ascii="宋体" w:hAnsi="宋体" w:eastAsia="宋体" w:cs="Arial"/>
          <w:color w:val="auto"/>
          <w:sz w:val="28"/>
          <w:szCs w:val="28"/>
        </w:rPr>
        <w:t>报价函</w:t>
      </w:r>
      <w:bookmarkEnd w:id="190"/>
      <w:bookmarkEnd w:id="191"/>
      <w:bookmarkEnd w:id="194"/>
      <w:bookmarkEnd w:id="195"/>
      <w:bookmarkStart w:id="196" w:name="_Toc246928970"/>
      <w:bookmarkStart w:id="197" w:name="_Toc167595494"/>
      <w:bookmarkStart w:id="198" w:name="_Toc497711597"/>
      <w:bookmarkStart w:id="199" w:name="_Toc497712145"/>
      <w:bookmarkStart w:id="200" w:name="_Toc173809567"/>
      <w:bookmarkStart w:id="201" w:name="_Toc492955471"/>
      <w:bookmarkStart w:id="202" w:name="_Toc497551832"/>
      <w:bookmarkStart w:id="203" w:name="_Toc497546930"/>
      <w:bookmarkStart w:id="204" w:name="_Toc323734129"/>
    </w:p>
    <w:p>
      <w:pPr>
        <w:spacing w:line="440" w:lineRule="exact"/>
        <w:rPr>
          <w:rFonts w:ascii="宋体"/>
          <w:color w:val="auto"/>
          <w:sz w:val="24"/>
        </w:rPr>
      </w:pPr>
      <w:r>
        <w:rPr>
          <w:rFonts w:hint="eastAsia" w:ascii="宋体"/>
          <w:color w:val="auto"/>
          <w:sz w:val="24"/>
        </w:rPr>
        <w:t>致：</w:t>
      </w:r>
    </w:p>
    <w:p>
      <w:pPr>
        <w:numPr>
          <w:ilvl w:val="0"/>
          <w:numId w:val="9"/>
        </w:numPr>
        <w:spacing w:line="560" w:lineRule="exact"/>
        <w:ind w:firstLine="480" w:firstLineChars="200"/>
        <w:rPr>
          <w:rFonts w:ascii="宋体"/>
          <w:color w:val="auto"/>
          <w:sz w:val="24"/>
        </w:rPr>
      </w:pPr>
      <w:r>
        <w:rPr>
          <w:rFonts w:hint="eastAsia" w:ascii="宋体"/>
          <w:color w:val="auto"/>
          <w:sz w:val="24"/>
        </w:rPr>
        <w:t>我们决定参加贵单位组织的</w:t>
      </w:r>
      <w:r>
        <w:rPr>
          <w:rFonts w:hint="eastAsia" w:ascii="宋体"/>
          <w:color w:val="auto"/>
          <w:sz w:val="24"/>
          <w:u w:val="single"/>
        </w:rPr>
        <w:t>“                     （项目名称）</w:t>
      </w:r>
      <w:r>
        <w:rPr>
          <w:rFonts w:hint="eastAsia" w:ascii="宋体"/>
          <w:color w:val="auto"/>
          <w:sz w:val="24"/>
        </w:rPr>
        <w:t>”的采购。我方授权</w:t>
      </w:r>
      <w:r>
        <w:rPr>
          <w:rFonts w:hint="eastAsia" w:ascii="宋体"/>
          <w:color w:val="auto"/>
          <w:sz w:val="24"/>
          <w:u w:val="single"/>
        </w:rPr>
        <w:t xml:space="preserve">             </w:t>
      </w:r>
      <w:r>
        <w:rPr>
          <w:rFonts w:ascii="宋体"/>
          <w:color w:val="auto"/>
          <w:sz w:val="24"/>
          <w:u w:val="single"/>
        </w:rPr>
        <w:pict>
          <v:rect id="自选图形 7" o:spid="_x0000_s1026" o:spt="1" style="height:0pt;width:0.05pt;" filled="f" coordsize="21600,21600">
            <v:path/>
            <v:fill on="f" focussize="0,0"/>
            <v:stroke/>
            <v:imagedata o:title=""/>
            <o:lock v:ext="edit" grouping="t" aspectratio="t"/>
            <w10:wrap type="none"/>
            <w10:anchorlock/>
          </v:rect>
        </w:pict>
      </w:r>
      <w:r>
        <w:rPr>
          <w:rFonts w:hint="eastAsia" w:ascii="宋体"/>
          <w:color w:val="auto"/>
          <w:sz w:val="24"/>
          <w:u w:val="single"/>
        </w:rPr>
        <w:t>(姓名和职务)</w:t>
      </w:r>
      <w:r>
        <w:rPr>
          <w:rFonts w:hint="eastAsia" w:ascii="宋体"/>
          <w:color w:val="auto"/>
          <w:sz w:val="24"/>
        </w:rPr>
        <w:t>代表我方</w:t>
      </w:r>
      <w:r>
        <w:rPr>
          <w:rFonts w:hint="eastAsia" w:ascii="宋体"/>
          <w:color w:val="auto"/>
          <w:sz w:val="24"/>
          <w:u w:val="single"/>
        </w:rPr>
        <w:t xml:space="preserve">             （供应商的名称）</w:t>
      </w:r>
      <w:r>
        <w:rPr>
          <w:rFonts w:hint="eastAsia" w:ascii="宋体"/>
          <w:color w:val="auto"/>
          <w:sz w:val="24"/>
        </w:rPr>
        <w:t>全权处理本项目谈判的有关事宜。</w:t>
      </w:r>
    </w:p>
    <w:p>
      <w:pPr>
        <w:numPr>
          <w:ilvl w:val="0"/>
          <w:numId w:val="9"/>
        </w:numPr>
        <w:spacing w:line="560" w:lineRule="exact"/>
        <w:ind w:firstLine="480" w:firstLineChars="200"/>
        <w:rPr>
          <w:color w:val="auto"/>
        </w:rPr>
      </w:pPr>
      <w:r>
        <w:rPr>
          <w:rFonts w:hint="eastAsia" w:ascii="宋体"/>
          <w:color w:val="auto"/>
          <w:sz w:val="24"/>
        </w:rPr>
        <w:t>我方愿意按照采购文件规定的各项要求，向采购人提供</w:t>
      </w:r>
      <w:r>
        <w:rPr>
          <w:rFonts w:hint="eastAsia" w:ascii="宋体"/>
          <w:color w:val="auto"/>
          <w:sz w:val="24"/>
          <w:u w:val="single"/>
        </w:rPr>
        <w:t xml:space="preserve">     </w:t>
      </w:r>
      <w:r>
        <w:rPr>
          <w:rFonts w:hint="eastAsia" w:ascii="宋体"/>
          <w:color w:val="auto"/>
          <w:sz w:val="24"/>
        </w:rPr>
        <w:t>采购项目的服务，总响应报价为人民币（大写）</w:t>
      </w:r>
      <w:r>
        <w:rPr>
          <w:rFonts w:hint="eastAsia" w:ascii="宋体"/>
          <w:color w:val="auto"/>
          <w:sz w:val="24"/>
          <w:u w:val="single"/>
        </w:rPr>
        <w:t xml:space="preserve">            （小写）    元</w:t>
      </w:r>
      <w:r>
        <w:rPr>
          <w:rFonts w:hint="eastAsia" w:ascii="宋体"/>
          <w:color w:val="auto"/>
          <w:sz w:val="24"/>
        </w:rPr>
        <w:t xml:space="preserve"> 。同时，承诺按时完成滁州学院磁盘阵列和移动固态硬盘采购项目所有工作程序。</w:t>
      </w:r>
    </w:p>
    <w:p>
      <w:pPr>
        <w:numPr>
          <w:ilvl w:val="0"/>
          <w:numId w:val="9"/>
        </w:numPr>
        <w:spacing w:line="560" w:lineRule="exact"/>
        <w:ind w:firstLine="480" w:firstLineChars="200"/>
        <w:rPr>
          <w:rFonts w:ascii="宋体"/>
          <w:color w:val="auto"/>
          <w:sz w:val="24"/>
        </w:rPr>
      </w:pPr>
      <w:r>
        <w:rPr>
          <w:rFonts w:hint="eastAsia" w:ascii="宋体"/>
          <w:color w:val="auto"/>
          <w:sz w:val="24"/>
        </w:rPr>
        <w:t>一旦我方成为合同签字人，我方将严格履行合同规定的责任和义务。</w:t>
      </w:r>
    </w:p>
    <w:p>
      <w:pPr>
        <w:pStyle w:val="43"/>
        <w:wordWrap w:val="0"/>
        <w:spacing w:line="560" w:lineRule="exact"/>
        <w:ind w:firstLine="480"/>
        <w:rPr>
          <w:rFonts w:hAnsi="Times New Roman" w:cs="Times New Roman"/>
          <w:color w:val="auto"/>
          <w:kern w:val="2"/>
          <w:sz w:val="24"/>
          <w:szCs w:val="24"/>
        </w:rPr>
      </w:pPr>
      <w:r>
        <w:rPr>
          <w:rFonts w:hint="eastAsia" w:hAnsi="Times New Roman" w:cs="Times New Roman"/>
          <w:color w:val="auto"/>
          <w:kern w:val="2"/>
          <w:sz w:val="24"/>
          <w:szCs w:val="24"/>
        </w:rPr>
        <w:t>4、一旦我方为成交供应商，为本项目提交的响应文件一式三份，其中正本一份、副本二份。</w:t>
      </w:r>
    </w:p>
    <w:p>
      <w:pPr>
        <w:pStyle w:val="43"/>
        <w:wordWrap w:val="0"/>
        <w:spacing w:line="560" w:lineRule="exact"/>
        <w:ind w:firstLine="480"/>
        <w:rPr>
          <w:color w:val="auto"/>
          <w:sz w:val="24"/>
        </w:rPr>
      </w:pPr>
      <w:r>
        <w:rPr>
          <w:rFonts w:hint="eastAsia" w:hAnsi="Times New Roman" w:cs="Times New Roman"/>
          <w:color w:val="auto"/>
          <w:kern w:val="2"/>
          <w:sz w:val="24"/>
          <w:szCs w:val="24"/>
        </w:rPr>
        <w:t>5、我方愿意提供可能另外要求的、与采购谈判有关的文件资料，并保证我方已提供和将要提供的文件是真实的、准确的。</w:t>
      </w:r>
    </w:p>
    <w:p>
      <w:pPr>
        <w:pStyle w:val="43"/>
        <w:wordWrap w:val="0"/>
        <w:spacing w:line="560" w:lineRule="exact"/>
        <w:ind w:firstLine="480" w:firstLineChars="200"/>
        <w:rPr>
          <w:rFonts w:hAnsi="Times New Roman" w:cs="Times New Roman"/>
          <w:color w:val="auto"/>
          <w:kern w:val="2"/>
          <w:sz w:val="24"/>
          <w:szCs w:val="24"/>
        </w:rPr>
      </w:pPr>
      <w:r>
        <w:rPr>
          <w:rFonts w:hint="eastAsia" w:hAnsi="Times New Roman" w:cs="Times New Roman"/>
          <w:color w:val="auto"/>
          <w:kern w:val="2"/>
          <w:sz w:val="24"/>
          <w:szCs w:val="24"/>
        </w:rPr>
        <w:t xml:space="preserve">供应商称：（公章） </w:t>
      </w:r>
    </w:p>
    <w:p>
      <w:pPr>
        <w:pStyle w:val="43"/>
        <w:wordWrap w:val="0"/>
        <w:spacing w:line="560" w:lineRule="exact"/>
        <w:ind w:firstLine="480"/>
        <w:rPr>
          <w:rFonts w:hAnsi="Times New Roman" w:cs="Times New Roman"/>
          <w:color w:val="auto"/>
          <w:kern w:val="2"/>
          <w:sz w:val="24"/>
          <w:szCs w:val="24"/>
        </w:rPr>
      </w:pPr>
      <w:r>
        <w:rPr>
          <w:rFonts w:hint="eastAsia" w:hAnsi="Times New Roman" w:cs="Times New Roman"/>
          <w:color w:val="auto"/>
          <w:kern w:val="2"/>
          <w:sz w:val="24"/>
          <w:szCs w:val="24"/>
        </w:rPr>
        <w:t>供应商授权代表或法定代表人（签字或盖章）：</w:t>
      </w:r>
    </w:p>
    <w:p>
      <w:pPr>
        <w:pStyle w:val="43"/>
        <w:wordWrap w:val="0"/>
        <w:spacing w:line="560" w:lineRule="exact"/>
        <w:ind w:firstLine="480"/>
        <w:rPr>
          <w:rFonts w:hAnsi="Times New Roman" w:cs="Times New Roman"/>
          <w:color w:val="auto"/>
          <w:kern w:val="2"/>
          <w:sz w:val="24"/>
          <w:szCs w:val="24"/>
        </w:rPr>
      </w:pPr>
      <w:r>
        <w:rPr>
          <w:rFonts w:hint="eastAsia" w:hAnsi="Times New Roman" w:cs="Times New Roman"/>
          <w:color w:val="auto"/>
          <w:kern w:val="2"/>
          <w:sz w:val="24"/>
          <w:szCs w:val="24"/>
        </w:rPr>
        <w:t>日期：</w:t>
      </w:r>
    </w:p>
    <w:p>
      <w:pPr>
        <w:pStyle w:val="43"/>
        <w:wordWrap w:val="0"/>
        <w:spacing w:line="560" w:lineRule="exact"/>
        <w:ind w:firstLine="480"/>
        <w:rPr>
          <w:rFonts w:hAnsi="Times New Roman" w:cs="Times New Roman"/>
          <w:color w:val="auto"/>
          <w:kern w:val="2"/>
          <w:sz w:val="24"/>
          <w:szCs w:val="24"/>
        </w:rPr>
      </w:pPr>
      <w:r>
        <w:rPr>
          <w:rFonts w:hint="eastAsia" w:hAnsi="Times New Roman" w:cs="Times New Roman"/>
          <w:color w:val="auto"/>
          <w:kern w:val="2"/>
          <w:sz w:val="24"/>
          <w:szCs w:val="24"/>
        </w:rPr>
        <w:t>通讯地址：</w:t>
      </w:r>
    </w:p>
    <w:p>
      <w:pPr>
        <w:pStyle w:val="43"/>
        <w:wordWrap w:val="0"/>
        <w:spacing w:line="560" w:lineRule="exact"/>
        <w:ind w:firstLine="480"/>
        <w:rPr>
          <w:rFonts w:hAnsi="Times New Roman" w:cs="Times New Roman"/>
          <w:color w:val="auto"/>
          <w:kern w:val="2"/>
          <w:sz w:val="24"/>
          <w:szCs w:val="24"/>
        </w:rPr>
      </w:pPr>
      <w:r>
        <w:rPr>
          <w:rFonts w:hint="eastAsia" w:hAnsi="Times New Roman" w:cs="Times New Roman"/>
          <w:color w:val="auto"/>
          <w:kern w:val="2"/>
          <w:sz w:val="24"/>
          <w:szCs w:val="24"/>
        </w:rPr>
        <w:t>电话：</w:t>
      </w:r>
    </w:p>
    <w:p>
      <w:pPr>
        <w:pStyle w:val="43"/>
        <w:wordWrap w:val="0"/>
        <w:spacing w:line="560" w:lineRule="exact"/>
        <w:ind w:firstLine="480"/>
        <w:rPr>
          <w:rFonts w:hAnsi="Times New Roman" w:cs="Times New Roman"/>
          <w:color w:val="auto"/>
          <w:kern w:val="2"/>
          <w:sz w:val="24"/>
          <w:szCs w:val="24"/>
        </w:rPr>
      </w:pPr>
      <w:r>
        <w:rPr>
          <w:rFonts w:hint="eastAsia" w:hAnsi="Times New Roman" w:cs="Times New Roman"/>
          <w:color w:val="auto"/>
          <w:kern w:val="2"/>
          <w:sz w:val="24"/>
          <w:szCs w:val="24"/>
        </w:rPr>
        <w:t>传真：</w:t>
      </w:r>
    </w:p>
    <w:p>
      <w:pPr>
        <w:pStyle w:val="137"/>
        <w:ind w:firstLine="0" w:firstLineChars="0"/>
        <w:rPr>
          <w:color w:val="auto"/>
          <w:sz w:val="24"/>
        </w:rPr>
      </w:pPr>
    </w:p>
    <w:p>
      <w:pPr>
        <w:pStyle w:val="2"/>
        <w:ind w:firstLine="0" w:firstLineChars="0"/>
        <w:rPr>
          <w:color w:val="auto"/>
        </w:rPr>
      </w:pPr>
    </w:p>
    <w:p>
      <w:pPr>
        <w:pStyle w:val="2"/>
        <w:ind w:firstLine="0" w:firstLineChars="0"/>
        <w:rPr>
          <w:color w:val="auto"/>
        </w:rPr>
      </w:pPr>
    </w:p>
    <w:p>
      <w:pPr>
        <w:numPr>
          <w:ilvl w:val="0"/>
          <w:numId w:val="10"/>
        </w:numPr>
        <w:spacing w:line="300" w:lineRule="exact"/>
        <w:ind w:firstLine="602" w:firstLineChars="200"/>
        <w:jc w:val="center"/>
        <w:rPr>
          <w:rFonts w:ascii="宋体" w:hAnsi="宋体" w:cs="宋体"/>
          <w:b/>
          <w:color w:val="auto"/>
          <w:sz w:val="30"/>
          <w:szCs w:val="30"/>
        </w:rPr>
      </w:pPr>
      <w:r>
        <w:rPr>
          <w:rFonts w:hint="eastAsia" w:ascii="宋体" w:hAnsi="宋体" w:cs="宋体"/>
          <w:b/>
          <w:color w:val="auto"/>
          <w:sz w:val="30"/>
          <w:szCs w:val="30"/>
        </w:rPr>
        <w:t>分项报价表</w:t>
      </w:r>
    </w:p>
    <w:tbl>
      <w:tblPr>
        <w:tblStyle w:val="47"/>
        <w:tblW w:w="10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89"/>
        <w:gridCol w:w="2925"/>
        <w:gridCol w:w="1323"/>
        <w:gridCol w:w="1323"/>
        <w:gridCol w:w="1227"/>
        <w:gridCol w:w="1405"/>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50"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序号</w:t>
            </w:r>
          </w:p>
        </w:tc>
        <w:tc>
          <w:tcPr>
            <w:tcW w:w="1189"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货物名称</w:t>
            </w:r>
          </w:p>
        </w:tc>
        <w:tc>
          <w:tcPr>
            <w:tcW w:w="2925" w:type="dxa"/>
            <w:vAlign w:val="center"/>
          </w:tcPr>
          <w:p>
            <w:pPr>
              <w:pStyle w:val="2"/>
              <w:ind w:firstLine="420"/>
              <w:jc w:val="center"/>
              <w:rPr>
                <w:rFonts w:hAnsi="宋体" w:cs="宋体"/>
                <w:color w:val="auto"/>
                <w:sz w:val="21"/>
                <w:szCs w:val="21"/>
              </w:rPr>
            </w:pPr>
            <w:r>
              <w:rPr>
                <w:rFonts w:hint="eastAsia" w:hAnsi="宋体" w:cs="宋体"/>
                <w:color w:val="auto"/>
                <w:sz w:val="21"/>
                <w:szCs w:val="21"/>
              </w:rPr>
              <w:t>技术参数</w:t>
            </w:r>
          </w:p>
        </w:tc>
        <w:tc>
          <w:tcPr>
            <w:tcW w:w="1323"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单位</w:t>
            </w:r>
          </w:p>
        </w:tc>
        <w:tc>
          <w:tcPr>
            <w:tcW w:w="1323"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数量</w:t>
            </w:r>
          </w:p>
        </w:tc>
        <w:tc>
          <w:tcPr>
            <w:tcW w:w="1227"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单价（元）</w:t>
            </w:r>
          </w:p>
        </w:tc>
        <w:tc>
          <w:tcPr>
            <w:tcW w:w="1405"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合价（元）</w:t>
            </w:r>
          </w:p>
        </w:tc>
        <w:tc>
          <w:tcPr>
            <w:tcW w:w="818" w:type="dxa"/>
            <w:vAlign w:val="center"/>
          </w:tcPr>
          <w:p>
            <w:pPr>
              <w:pStyle w:val="2"/>
              <w:ind w:firstLine="0" w:firstLineChars="0"/>
              <w:jc w:val="center"/>
              <w:rPr>
                <w:rFonts w:hAnsi="宋体" w:cs="宋体"/>
                <w:color w:val="auto"/>
                <w:sz w:val="21"/>
                <w:szCs w:val="21"/>
              </w:rPr>
            </w:pPr>
            <w:r>
              <w:rPr>
                <w:rFonts w:hint="eastAsia" w:hAnsi="宋体" w:cs="宋体"/>
                <w:color w:val="auto"/>
                <w:sz w:val="21"/>
                <w:szCs w:val="21"/>
              </w:rPr>
              <w:t>所投品牌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pStyle w:val="2"/>
              <w:ind w:firstLine="420"/>
              <w:jc w:val="center"/>
              <w:rPr>
                <w:rFonts w:hAnsi="宋体" w:cs="宋体"/>
                <w:color w:val="auto"/>
                <w:sz w:val="21"/>
                <w:szCs w:val="21"/>
              </w:rPr>
            </w:pPr>
            <w:r>
              <w:rPr>
                <w:rFonts w:hint="eastAsia" w:hAnsi="宋体" w:cs="宋体"/>
                <w:color w:val="auto"/>
                <w:sz w:val="21"/>
                <w:szCs w:val="21"/>
              </w:rPr>
              <w:t>1</w:t>
            </w:r>
          </w:p>
        </w:tc>
        <w:tc>
          <w:tcPr>
            <w:tcW w:w="1189" w:type="dxa"/>
            <w:vAlign w:val="center"/>
          </w:tcPr>
          <w:p>
            <w:pPr>
              <w:pStyle w:val="2"/>
              <w:ind w:firstLine="0" w:firstLineChars="0"/>
              <w:jc w:val="center"/>
              <w:rPr>
                <w:rFonts w:hAnsi="宋体" w:cs="宋体"/>
                <w:color w:val="auto"/>
                <w:sz w:val="21"/>
                <w:szCs w:val="21"/>
              </w:rPr>
            </w:pPr>
          </w:p>
        </w:tc>
        <w:tc>
          <w:tcPr>
            <w:tcW w:w="2925" w:type="dxa"/>
          </w:tcPr>
          <w:p>
            <w:pPr>
              <w:pStyle w:val="2"/>
              <w:spacing w:line="400" w:lineRule="exact"/>
              <w:ind w:firstLine="0" w:firstLineChars="0"/>
              <w:jc w:val="left"/>
              <w:rPr>
                <w:rFonts w:hAnsi="宋体" w:cs="宋体"/>
                <w:color w:val="auto"/>
                <w:sz w:val="21"/>
                <w:szCs w:val="21"/>
              </w:rPr>
            </w:pPr>
          </w:p>
        </w:tc>
        <w:tc>
          <w:tcPr>
            <w:tcW w:w="1323" w:type="dxa"/>
          </w:tcPr>
          <w:p>
            <w:pPr>
              <w:pStyle w:val="2"/>
              <w:ind w:firstLine="0" w:firstLineChars="0"/>
              <w:jc w:val="center"/>
              <w:rPr>
                <w:rFonts w:hAnsi="宋体" w:cs="宋体"/>
                <w:color w:val="auto"/>
                <w:sz w:val="21"/>
                <w:szCs w:val="21"/>
              </w:rPr>
            </w:pPr>
          </w:p>
        </w:tc>
        <w:tc>
          <w:tcPr>
            <w:tcW w:w="1323" w:type="dxa"/>
          </w:tcPr>
          <w:p>
            <w:pPr>
              <w:pStyle w:val="2"/>
              <w:ind w:firstLine="0" w:firstLineChars="0"/>
              <w:jc w:val="center"/>
              <w:rPr>
                <w:rFonts w:hAnsi="宋体" w:cs="宋体"/>
                <w:color w:val="auto"/>
                <w:sz w:val="21"/>
                <w:szCs w:val="21"/>
              </w:rPr>
            </w:pPr>
          </w:p>
        </w:tc>
        <w:tc>
          <w:tcPr>
            <w:tcW w:w="1227" w:type="dxa"/>
          </w:tcPr>
          <w:p>
            <w:pPr>
              <w:pStyle w:val="2"/>
              <w:ind w:firstLine="0" w:firstLineChars="0"/>
              <w:rPr>
                <w:color w:val="auto"/>
                <w:sz w:val="21"/>
                <w:szCs w:val="21"/>
              </w:rPr>
            </w:pPr>
          </w:p>
        </w:tc>
        <w:tc>
          <w:tcPr>
            <w:tcW w:w="1405" w:type="dxa"/>
          </w:tcPr>
          <w:p>
            <w:pPr>
              <w:pStyle w:val="2"/>
              <w:ind w:firstLine="0" w:firstLineChars="0"/>
              <w:rPr>
                <w:color w:val="auto"/>
                <w:sz w:val="21"/>
                <w:szCs w:val="21"/>
              </w:rPr>
            </w:pPr>
          </w:p>
        </w:tc>
        <w:tc>
          <w:tcPr>
            <w:tcW w:w="818" w:type="dxa"/>
          </w:tcPr>
          <w:p>
            <w:pPr>
              <w:pStyle w:val="2"/>
              <w:ind w:firstLine="0" w:firstLineChars="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pStyle w:val="2"/>
              <w:ind w:firstLine="420"/>
              <w:jc w:val="center"/>
              <w:rPr>
                <w:rFonts w:hAnsi="宋体" w:cs="宋体"/>
                <w:color w:val="auto"/>
                <w:sz w:val="21"/>
                <w:szCs w:val="21"/>
              </w:rPr>
            </w:pPr>
            <w:r>
              <w:rPr>
                <w:rFonts w:hint="eastAsia" w:hAnsi="宋体" w:cs="宋体"/>
                <w:color w:val="auto"/>
                <w:sz w:val="21"/>
                <w:szCs w:val="21"/>
              </w:rPr>
              <w:t>2</w:t>
            </w:r>
          </w:p>
        </w:tc>
        <w:tc>
          <w:tcPr>
            <w:tcW w:w="1189" w:type="dxa"/>
            <w:vAlign w:val="center"/>
          </w:tcPr>
          <w:p>
            <w:pPr>
              <w:pStyle w:val="2"/>
              <w:ind w:firstLine="0" w:firstLineChars="0"/>
              <w:jc w:val="center"/>
              <w:rPr>
                <w:rFonts w:hAnsi="宋体" w:cs="宋体"/>
                <w:color w:val="auto"/>
                <w:sz w:val="21"/>
                <w:szCs w:val="21"/>
              </w:rPr>
            </w:pPr>
          </w:p>
        </w:tc>
        <w:tc>
          <w:tcPr>
            <w:tcW w:w="2925" w:type="dxa"/>
          </w:tcPr>
          <w:p>
            <w:pPr>
              <w:pStyle w:val="2"/>
              <w:spacing w:line="400" w:lineRule="exact"/>
              <w:ind w:firstLine="0" w:firstLineChars="0"/>
              <w:jc w:val="left"/>
              <w:rPr>
                <w:rFonts w:hAnsi="宋体" w:cs="宋体"/>
                <w:color w:val="auto"/>
                <w:sz w:val="21"/>
                <w:szCs w:val="21"/>
              </w:rPr>
            </w:pPr>
          </w:p>
        </w:tc>
        <w:tc>
          <w:tcPr>
            <w:tcW w:w="1323" w:type="dxa"/>
          </w:tcPr>
          <w:p>
            <w:pPr>
              <w:pStyle w:val="2"/>
              <w:ind w:firstLine="0" w:firstLineChars="0"/>
              <w:jc w:val="center"/>
              <w:rPr>
                <w:rFonts w:hAnsi="宋体" w:cs="宋体"/>
                <w:color w:val="auto"/>
                <w:sz w:val="21"/>
                <w:szCs w:val="21"/>
              </w:rPr>
            </w:pPr>
          </w:p>
        </w:tc>
        <w:tc>
          <w:tcPr>
            <w:tcW w:w="1323" w:type="dxa"/>
          </w:tcPr>
          <w:p>
            <w:pPr>
              <w:pStyle w:val="2"/>
              <w:ind w:firstLine="0" w:firstLineChars="0"/>
              <w:jc w:val="center"/>
              <w:rPr>
                <w:rFonts w:hAnsi="宋体" w:cs="宋体"/>
                <w:color w:val="auto"/>
                <w:sz w:val="21"/>
                <w:szCs w:val="21"/>
              </w:rPr>
            </w:pPr>
          </w:p>
        </w:tc>
        <w:tc>
          <w:tcPr>
            <w:tcW w:w="1227" w:type="dxa"/>
          </w:tcPr>
          <w:p>
            <w:pPr>
              <w:pStyle w:val="2"/>
              <w:ind w:firstLine="0" w:firstLineChars="0"/>
              <w:rPr>
                <w:color w:val="auto"/>
                <w:sz w:val="21"/>
                <w:szCs w:val="21"/>
              </w:rPr>
            </w:pPr>
          </w:p>
        </w:tc>
        <w:tc>
          <w:tcPr>
            <w:tcW w:w="1405" w:type="dxa"/>
          </w:tcPr>
          <w:p>
            <w:pPr>
              <w:pStyle w:val="2"/>
              <w:ind w:firstLine="0" w:firstLineChars="0"/>
              <w:rPr>
                <w:color w:val="auto"/>
                <w:sz w:val="21"/>
                <w:szCs w:val="21"/>
              </w:rPr>
            </w:pPr>
          </w:p>
        </w:tc>
        <w:tc>
          <w:tcPr>
            <w:tcW w:w="818" w:type="dxa"/>
          </w:tcPr>
          <w:p>
            <w:pPr>
              <w:pStyle w:val="2"/>
              <w:ind w:firstLine="0" w:firstLineChars="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pStyle w:val="2"/>
              <w:ind w:firstLine="420"/>
              <w:jc w:val="center"/>
              <w:rPr>
                <w:rFonts w:hAnsi="宋体" w:cs="宋体"/>
                <w:color w:val="auto"/>
                <w:sz w:val="21"/>
                <w:szCs w:val="21"/>
              </w:rPr>
            </w:pPr>
            <w:r>
              <w:rPr>
                <w:rFonts w:hint="eastAsia" w:hAnsi="宋体" w:cs="宋体"/>
                <w:color w:val="auto"/>
                <w:sz w:val="21"/>
                <w:szCs w:val="21"/>
              </w:rPr>
              <w:t>3</w:t>
            </w:r>
          </w:p>
        </w:tc>
        <w:tc>
          <w:tcPr>
            <w:tcW w:w="1189" w:type="dxa"/>
            <w:vAlign w:val="center"/>
          </w:tcPr>
          <w:p>
            <w:pPr>
              <w:pStyle w:val="2"/>
              <w:ind w:firstLine="0" w:firstLineChars="0"/>
              <w:jc w:val="center"/>
              <w:rPr>
                <w:rFonts w:hAnsi="宋体" w:cs="宋体"/>
                <w:color w:val="auto"/>
                <w:sz w:val="21"/>
                <w:szCs w:val="21"/>
              </w:rPr>
            </w:pPr>
          </w:p>
        </w:tc>
        <w:tc>
          <w:tcPr>
            <w:tcW w:w="2925" w:type="dxa"/>
          </w:tcPr>
          <w:p>
            <w:pPr>
              <w:pStyle w:val="2"/>
              <w:spacing w:line="400" w:lineRule="exact"/>
              <w:ind w:firstLine="0" w:firstLineChars="0"/>
              <w:jc w:val="left"/>
              <w:rPr>
                <w:rFonts w:hAnsi="宋体" w:cs="宋体"/>
                <w:color w:val="auto"/>
                <w:sz w:val="21"/>
                <w:szCs w:val="21"/>
              </w:rPr>
            </w:pPr>
          </w:p>
        </w:tc>
        <w:tc>
          <w:tcPr>
            <w:tcW w:w="1323" w:type="dxa"/>
          </w:tcPr>
          <w:p>
            <w:pPr>
              <w:pStyle w:val="2"/>
              <w:ind w:firstLine="0" w:firstLineChars="0"/>
              <w:jc w:val="center"/>
              <w:rPr>
                <w:rFonts w:hAnsi="宋体" w:cs="宋体"/>
                <w:color w:val="auto"/>
                <w:sz w:val="21"/>
                <w:szCs w:val="21"/>
              </w:rPr>
            </w:pPr>
          </w:p>
        </w:tc>
        <w:tc>
          <w:tcPr>
            <w:tcW w:w="1323" w:type="dxa"/>
          </w:tcPr>
          <w:p>
            <w:pPr>
              <w:pStyle w:val="2"/>
              <w:ind w:firstLine="0" w:firstLineChars="0"/>
              <w:jc w:val="center"/>
              <w:rPr>
                <w:rFonts w:hAnsi="宋体" w:cs="宋体"/>
                <w:color w:val="auto"/>
                <w:sz w:val="21"/>
                <w:szCs w:val="21"/>
              </w:rPr>
            </w:pPr>
          </w:p>
        </w:tc>
        <w:tc>
          <w:tcPr>
            <w:tcW w:w="1227" w:type="dxa"/>
          </w:tcPr>
          <w:p>
            <w:pPr>
              <w:pStyle w:val="2"/>
              <w:ind w:firstLine="0" w:firstLineChars="0"/>
              <w:rPr>
                <w:rFonts w:hAnsi="宋体" w:cs="宋体"/>
                <w:color w:val="auto"/>
                <w:sz w:val="21"/>
                <w:szCs w:val="21"/>
              </w:rPr>
            </w:pPr>
          </w:p>
        </w:tc>
        <w:tc>
          <w:tcPr>
            <w:tcW w:w="1405" w:type="dxa"/>
          </w:tcPr>
          <w:p>
            <w:pPr>
              <w:pStyle w:val="2"/>
              <w:ind w:firstLine="0" w:firstLineChars="0"/>
              <w:rPr>
                <w:rFonts w:hAnsi="宋体" w:cs="宋体"/>
                <w:color w:val="auto"/>
                <w:sz w:val="21"/>
                <w:szCs w:val="21"/>
              </w:rPr>
            </w:pPr>
          </w:p>
        </w:tc>
        <w:tc>
          <w:tcPr>
            <w:tcW w:w="818" w:type="dxa"/>
          </w:tcPr>
          <w:p>
            <w:pPr>
              <w:pStyle w:val="2"/>
              <w:ind w:firstLine="0" w:firstLineChars="0"/>
              <w:rPr>
                <w:rFonts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pStyle w:val="2"/>
              <w:ind w:firstLine="0" w:firstLineChars="0"/>
              <w:rPr>
                <w:rFonts w:hAnsi="宋体" w:cs="宋体"/>
                <w:color w:val="auto"/>
                <w:sz w:val="21"/>
                <w:szCs w:val="21"/>
              </w:rPr>
            </w:pPr>
            <w:r>
              <w:rPr>
                <w:rFonts w:hint="eastAsia" w:hAnsi="宋体" w:cs="宋体"/>
                <w:color w:val="auto"/>
                <w:sz w:val="21"/>
                <w:szCs w:val="21"/>
              </w:rPr>
              <w:t>....</w:t>
            </w:r>
          </w:p>
        </w:tc>
        <w:tc>
          <w:tcPr>
            <w:tcW w:w="1189" w:type="dxa"/>
            <w:vAlign w:val="center"/>
          </w:tcPr>
          <w:p>
            <w:pPr>
              <w:pStyle w:val="2"/>
              <w:ind w:firstLine="0" w:firstLineChars="0"/>
              <w:jc w:val="center"/>
              <w:rPr>
                <w:rFonts w:hAnsi="宋体" w:cs="宋体"/>
                <w:color w:val="auto"/>
                <w:sz w:val="21"/>
                <w:szCs w:val="21"/>
              </w:rPr>
            </w:pPr>
          </w:p>
        </w:tc>
        <w:tc>
          <w:tcPr>
            <w:tcW w:w="2925" w:type="dxa"/>
          </w:tcPr>
          <w:p>
            <w:pPr>
              <w:spacing w:line="400" w:lineRule="exact"/>
              <w:rPr>
                <w:rFonts w:ascii="宋体" w:hAnsi="宋体" w:cs="宋体"/>
                <w:color w:val="auto"/>
              </w:rPr>
            </w:pPr>
          </w:p>
        </w:tc>
        <w:tc>
          <w:tcPr>
            <w:tcW w:w="1323" w:type="dxa"/>
          </w:tcPr>
          <w:p>
            <w:pPr>
              <w:pStyle w:val="2"/>
              <w:ind w:firstLine="0" w:firstLineChars="0"/>
              <w:jc w:val="center"/>
              <w:rPr>
                <w:rFonts w:hAnsi="宋体" w:cs="宋体"/>
                <w:color w:val="auto"/>
                <w:sz w:val="21"/>
                <w:szCs w:val="21"/>
              </w:rPr>
            </w:pPr>
          </w:p>
        </w:tc>
        <w:tc>
          <w:tcPr>
            <w:tcW w:w="1323" w:type="dxa"/>
          </w:tcPr>
          <w:p>
            <w:pPr>
              <w:pStyle w:val="2"/>
              <w:ind w:firstLine="0" w:firstLineChars="0"/>
              <w:jc w:val="center"/>
              <w:rPr>
                <w:rFonts w:hAnsi="宋体" w:cs="宋体"/>
                <w:color w:val="auto"/>
                <w:sz w:val="21"/>
                <w:szCs w:val="21"/>
              </w:rPr>
            </w:pPr>
          </w:p>
        </w:tc>
        <w:tc>
          <w:tcPr>
            <w:tcW w:w="1227" w:type="dxa"/>
          </w:tcPr>
          <w:p>
            <w:pPr>
              <w:pStyle w:val="2"/>
              <w:ind w:firstLine="0" w:firstLineChars="0"/>
              <w:rPr>
                <w:rFonts w:hAnsi="宋体" w:cs="宋体"/>
                <w:color w:val="auto"/>
                <w:sz w:val="21"/>
                <w:szCs w:val="21"/>
              </w:rPr>
            </w:pPr>
          </w:p>
        </w:tc>
        <w:tc>
          <w:tcPr>
            <w:tcW w:w="1405" w:type="dxa"/>
          </w:tcPr>
          <w:p>
            <w:pPr>
              <w:pStyle w:val="2"/>
              <w:ind w:firstLine="0" w:firstLineChars="0"/>
              <w:rPr>
                <w:rFonts w:hAnsi="宋体" w:cs="宋体"/>
                <w:color w:val="auto"/>
                <w:sz w:val="21"/>
                <w:szCs w:val="21"/>
              </w:rPr>
            </w:pPr>
          </w:p>
        </w:tc>
        <w:tc>
          <w:tcPr>
            <w:tcW w:w="818" w:type="dxa"/>
          </w:tcPr>
          <w:p>
            <w:pPr>
              <w:pStyle w:val="2"/>
              <w:ind w:firstLine="0" w:firstLineChars="0"/>
              <w:rPr>
                <w:rFonts w:hAnsi="宋体" w:cs="宋体"/>
                <w:color w:val="auto"/>
                <w:sz w:val="21"/>
                <w:szCs w:val="21"/>
              </w:rPr>
            </w:pPr>
          </w:p>
        </w:tc>
      </w:tr>
    </w:tbl>
    <w:p>
      <w:pPr>
        <w:spacing w:line="440" w:lineRule="exact"/>
        <w:ind w:firstLine="480" w:firstLineChars="200"/>
        <w:jc w:val="left"/>
        <w:rPr>
          <w:rFonts w:ascii="宋体"/>
          <w:bCs/>
          <w:color w:val="auto"/>
        </w:rPr>
      </w:pPr>
      <w:r>
        <w:rPr>
          <w:rFonts w:hint="eastAsia" w:ascii="宋体" w:hAnsi="宋体" w:cs="宋体"/>
          <w:color w:val="auto"/>
          <w:sz w:val="24"/>
        </w:rPr>
        <w:t xml:space="preserve"> </w:t>
      </w:r>
      <w:r>
        <w:rPr>
          <w:rFonts w:hint="eastAsia" w:ascii="宋体" w:hAnsi="宋体" w:cs="宋体"/>
          <w:b/>
          <w:bCs/>
          <w:color w:val="auto"/>
        </w:rPr>
        <w:t>注：1、具体数量以实际发生的合格量为准，成交后所报单价不予调整。</w:t>
      </w:r>
      <w:r>
        <w:rPr>
          <w:rFonts w:hint="eastAsia" w:ascii="宋体" w:hAnsi="宋体"/>
          <w:b/>
          <w:color w:val="auto"/>
          <w:kern w:val="0"/>
        </w:rPr>
        <w:t>响应报价均保留两位小数点。</w:t>
      </w:r>
    </w:p>
    <w:p>
      <w:pPr>
        <w:spacing w:line="440" w:lineRule="exact"/>
        <w:ind w:firstLine="420" w:firstLineChars="200"/>
        <w:rPr>
          <w:rFonts w:ascii="宋体"/>
          <w:bCs/>
          <w:color w:val="auto"/>
        </w:rPr>
      </w:pPr>
      <w:r>
        <w:rPr>
          <w:rFonts w:hint="eastAsia" w:ascii="宋体"/>
          <w:bCs/>
          <w:color w:val="auto"/>
        </w:rPr>
        <w:t>2、所有响应报价只能选择一种方案，单价和合价的报价只能是唯一，且须列出详细的分项报价（与采购清单项相一致，不得缺项，否则</w:t>
      </w:r>
      <w:r>
        <w:rPr>
          <w:rFonts w:hint="eastAsia" w:ascii="宋体" w:hAnsi="宋体"/>
          <w:bCs/>
          <w:color w:val="auto"/>
        </w:rPr>
        <w:t>视同包含在其他项目</w:t>
      </w:r>
      <w:r>
        <w:rPr>
          <w:rFonts w:hint="eastAsia" w:ascii="宋体"/>
          <w:bCs/>
          <w:color w:val="auto"/>
        </w:rPr>
        <w:t>。）</w:t>
      </w:r>
    </w:p>
    <w:p>
      <w:pPr>
        <w:spacing w:line="440" w:lineRule="exact"/>
        <w:ind w:left="-9" w:right="-199" w:rightChars="-95" w:firstLine="9"/>
        <w:rPr>
          <w:rFonts w:ascii="宋体" w:hAnsi="宋体"/>
          <w:color w:val="auto"/>
        </w:rPr>
      </w:pPr>
      <w:r>
        <w:rPr>
          <w:rFonts w:hint="eastAsia" w:ascii="宋体"/>
          <w:bCs/>
          <w:color w:val="auto"/>
        </w:rPr>
        <w:t>3、投标报价采用综合单价法，</w:t>
      </w:r>
      <w:r>
        <w:rPr>
          <w:rFonts w:hint="eastAsia" w:ascii="宋体" w:hAnsi="宋体" w:cs="宋体"/>
          <w:b/>
          <w:bCs/>
          <w:color w:val="auto"/>
        </w:rPr>
        <w:t>供应商所报综合单价包括：货款费用（含主材和所有辅材）、安装费用、运输费用、装货费、保险费用、运输过程中发生的损耗费用、现场交货时的卸货费用、相关服务费用、国家对供应商征收的各种税费、招标代理费等所有费用，综合单价今后将不作任何调整</w:t>
      </w:r>
      <w:r>
        <w:rPr>
          <w:rFonts w:hint="eastAsia" w:ascii="宋体" w:hAnsi="宋体"/>
          <w:color w:val="auto"/>
        </w:rPr>
        <w:t>。</w:t>
      </w:r>
    </w:p>
    <w:p>
      <w:pPr>
        <w:spacing w:line="440" w:lineRule="exact"/>
        <w:ind w:right="-199" w:rightChars="-95"/>
        <w:rPr>
          <w:color w:val="auto"/>
        </w:rPr>
      </w:pPr>
      <w:bookmarkStart w:id="221" w:name="_GoBack"/>
      <w:bookmarkEnd w:id="221"/>
    </w:p>
    <w:p>
      <w:pPr>
        <w:spacing w:line="600" w:lineRule="exact"/>
        <w:rPr>
          <w:rFonts w:ascii="宋体" w:hAnsi="宋体" w:cs="宋体"/>
          <w:color w:val="auto"/>
          <w:sz w:val="24"/>
        </w:rPr>
      </w:pPr>
    </w:p>
    <w:p>
      <w:pPr>
        <w:spacing w:line="600" w:lineRule="exact"/>
        <w:ind w:firstLine="720" w:firstLineChars="300"/>
        <w:rPr>
          <w:rFonts w:ascii="宋体" w:hAnsi="宋体" w:cs="宋体"/>
          <w:color w:val="auto"/>
          <w:sz w:val="24"/>
        </w:rPr>
      </w:pPr>
      <w:r>
        <w:rPr>
          <w:rFonts w:hint="eastAsia" w:ascii="宋体" w:hAnsi="宋体" w:cs="宋体"/>
          <w:color w:val="auto"/>
          <w:sz w:val="24"/>
        </w:rPr>
        <w:t>法定代表人或代理人（被授权人）：</w:t>
      </w:r>
      <w:r>
        <w:rPr>
          <w:rFonts w:hint="eastAsia" w:ascii="宋体" w:hAnsi="宋体" w:cs="宋体"/>
          <w:color w:val="auto"/>
          <w:sz w:val="24"/>
          <w:u w:val="single"/>
        </w:rPr>
        <w:t xml:space="preserve">                （签字或盖章）          </w:t>
      </w:r>
    </w:p>
    <w:p>
      <w:pPr>
        <w:spacing w:line="600" w:lineRule="exact"/>
        <w:rPr>
          <w:rFonts w:ascii="宋体" w:hAnsi="宋体" w:cs="宋体"/>
          <w:color w:val="auto"/>
          <w:sz w:val="24"/>
        </w:rPr>
      </w:pPr>
      <w:r>
        <w:rPr>
          <w:rFonts w:hint="eastAsia" w:ascii="宋体" w:hAnsi="宋体" w:cs="宋体"/>
          <w:color w:val="auto"/>
          <w:sz w:val="24"/>
        </w:rPr>
        <w:t xml:space="preserve">                                    投标单位名称：</w:t>
      </w:r>
      <w:r>
        <w:rPr>
          <w:rFonts w:hint="eastAsia" w:ascii="宋体" w:hAnsi="宋体" w:cs="宋体"/>
          <w:color w:val="auto"/>
          <w:sz w:val="24"/>
          <w:u w:val="single"/>
        </w:rPr>
        <w:t xml:space="preserve">        （公章）          </w:t>
      </w:r>
    </w:p>
    <w:p>
      <w:pPr>
        <w:spacing w:line="600" w:lineRule="exact"/>
        <w:ind w:firstLine="4680" w:firstLineChars="1950"/>
        <w:rPr>
          <w:rFonts w:ascii="宋体" w:hAnsi="宋体" w:cs="宋体"/>
          <w:color w:val="auto"/>
          <w:sz w:val="24"/>
          <w:u w:val="single"/>
        </w:rPr>
      </w:pPr>
      <w:r>
        <w:rPr>
          <w:rFonts w:hint="eastAsia" w:ascii="宋体" w:hAnsi="宋体" w:cs="宋体"/>
          <w:color w:val="auto"/>
          <w:sz w:val="24"/>
        </w:rPr>
        <w:t>日    期：</w:t>
      </w:r>
    </w:p>
    <w:p>
      <w:pPr>
        <w:spacing w:line="400" w:lineRule="exact"/>
        <w:ind w:firstLine="4698" w:firstLineChars="1950"/>
        <w:rPr>
          <w:rFonts w:ascii="宋体" w:hAnsi="宋体" w:cs="宋体"/>
          <w:b/>
          <w:color w:val="auto"/>
          <w:sz w:val="24"/>
        </w:rPr>
      </w:pPr>
    </w:p>
    <w:p>
      <w:pPr>
        <w:pStyle w:val="6"/>
        <w:rPr>
          <w:color w:val="auto"/>
        </w:rPr>
      </w:pPr>
    </w:p>
    <w:bookmarkEnd w:id="196"/>
    <w:bookmarkEnd w:id="197"/>
    <w:bookmarkEnd w:id="198"/>
    <w:bookmarkEnd w:id="199"/>
    <w:bookmarkEnd w:id="200"/>
    <w:bookmarkEnd w:id="201"/>
    <w:bookmarkEnd w:id="202"/>
    <w:bookmarkEnd w:id="203"/>
    <w:bookmarkEnd w:id="204"/>
    <w:p>
      <w:pPr>
        <w:spacing w:before="156" w:beforeLines="50" w:after="156" w:afterLines="50" w:line="440" w:lineRule="exact"/>
        <w:ind w:left="720"/>
        <w:jc w:val="center"/>
        <w:rPr>
          <w:rFonts w:ascii="宋体" w:hAnsi="宋体" w:cs="宋体"/>
          <w:b/>
          <w:color w:val="auto"/>
          <w:sz w:val="28"/>
          <w:szCs w:val="28"/>
        </w:rPr>
      </w:pPr>
      <w:bookmarkStart w:id="205" w:name="_Toc463788037"/>
      <w:bookmarkStart w:id="206" w:name="_Toc463789875"/>
      <w:bookmarkStart w:id="207" w:name="_Toc463790474"/>
      <w:bookmarkStart w:id="208" w:name="_Toc489284263"/>
      <w:bookmarkStart w:id="209" w:name="_Toc463789589"/>
      <w:bookmarkStart w:id="210" w:name="_Toc463789737"/>
      <w:bookmarkStart w:id="211" w:name="_Toc463788113"/>
      <w:bookmarkStart w:id="212" w:name="_Toc463791090"/>
      <w:bookmarkStart w:id="213" w:name="_Toc463793089"/>
      <w:bookmarkStart w:id="214" w:name="_Toc463784367"/>
      <w:bookmarkStart w:id="215" w:name="_Toc463793157"/>
      <w:bookmarkStart w:id="216" w:name="_Toc463789667"/>
      <w:bookmarkStart w:id="217" w:name="_Toc463790095"/>
      <w:bookmarkStart w:id="218" w:name="_Toc463789806"/>
    </w:p>
    <w:p>
      <w:pPr>
        <w:spacing w:before="156" w:beforeLines="50" w:after="156" w:afterLines="50" w:line="440" w:lineRule="exact"/>
        <w:ind w:left="720"/>
        <w:jc w:val="center"/>
        <w:rPr>
          <w:rFonts w:ascii="宋体" w:hAnsi="宋体" w:cs="宋体"/>
          <w:b/>
          <w:color w:val="auto"/>
          <w:sz w:val="28"/>
          <w:szCs w:val="28"/>
        </w:rPr>
      </w:pPr>
    </w:p>
    <w:p>
      <w:pPr>
        <w:spacing w:before="156" w:beforeLines="50" w:after="156" w:afterLines="50" w:line="440" w:lineRule="exact"/>
        <w:ind w:left="720"/>
        <w:jc w:val="center"/>
        <w:rPr>
          <w:rFonts w:ascii="宋体" w:hAnsi="宋体" w:cs="宋体"/>
          <w:b/>
          <w:color w:val="auto"/>
          <w:sz w:val="28"/>
          <w:szCs w:val="28"/>
        </w:rPr>
      </w:pPr>
    </w:p>
    <w:p>
      <w:pPr>
        <w:spacing w:before="156" w:beforeLines="50" w:after="156" w:afterLines="50" w:line="440" w:lineRule="exact"/>
        <w:ind w:left="720"/>
        <w:jc w:val="center"/>
        <w:rPr>
          <w:rFonts w:ascii="宋体" w:hAnsi="宋体" w:cs="宋体"/>
          <w:b/>
          <w:color w:val="auto"/>
          <w:sz w:val="28"/>
          <w:szCs w:val="28"/>
        </w:rPr>
      </w:pPr>
    </w:p>
    <w:p>
      <w:pPr>
        <w:spacing w:before="156" w:beforeLines="50" w:after="156" w:afterLines="50" w:line="440" w:lineRule="exact"/>
        <w:ind w:left="720"/>
        <w:jc w:val="center"/>
        <w:rPr>
          <w:rFonts w:ascii="宋体" w:hAnsi="宋体" w:cs="宋体"/>
          <w:b/>
          <w:color w:val="auto"/>
          <w:sz w:val="28"/>
          <w:szCs w:val="28"/>
        </w:rPr>
      </w:pPr>
    </w:p>
    <w:p>
      <w:pPr>
        <w:spacing w:before="156" w:beforeLines="50" w:after="156" w:afterLines="50" w:line="440" w:lineRule="exact"/>
        <w:ind w:left="720"/>
        <w:jc w:val="center"/>
        <w:rPr>
          <w:rFonts w:ascii="宋体" w:hAnsi="宋体" w:cs="宋体"/>
          <w:b/>
          <w:color w:val="auto"/>
          <w:sz w:val="28"/>
          <w:szCs w:val="28"/>
        </w:rPr>
      </w:pPr>
    </w:p>
    <w:p>
      <w:pPr>
        <w:spacing w:before="156" w:beforeLines="50" w:after="156" w:afterLines="50" w:line="440" w:lineRule="exact"/>
        <w:ind w:left="720"/>
        <w:jc w:val="center"/>
        <w:rPr>
          <w:rFonts w:ascii="宋体" w:hAnsi="宋体" w:cs="宋体"/>
          <w:b/>
          <w:color w:val="auto"/>
          <w:sz w:val="28"/>
          <w:szCs w:val="28"/>
        </w:rPr>
      </w:pPr>
    </w:p>
    <w:p>
      <w:pPr>
        <w:spacing w:before="156" w:beforeLines="50" w:after="156" w:afterLines="50" w:line="440" w:lineRule="exact"/>
        <w:ind w:left="720"/>
        <w:jc w:val="center"/>
        <w:rPr>
          <w:color w:val="auto"/>
        </w:rPr>
      </w:pPr>
      <w:r>
        <w:rPr>
          <w:rFonts w:hint="eastAsia" w:ascii="宋体" w:hAnsi="宋体" w:cs="宋体"/>
          <w:b/>
          <w:color w:val="auto"/>
          <w:sz w:val="28"/>
          <w:szCs w:val="28"/>
        </w:rPr>
        <w:t>竞争性谈判二次报价单</w:t>
      </w:r>
    </w:p>
    <w:p>
      <w:pPr>
        <w:pStyle w:val="127"/>
        <w:ind w:firstLine="0" w:firstLineChars="0"/>
        <w:jc w:val="center"/>
        <w:rPr>
          <w:rFonts w:ascii="宋体" w:hAnsi="宋体"/>
          <w:bCs/>
          <w:color w:val="auto"/>
          <w:szCs w:val="21"/>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836"/>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127"/>
              <w:ind w:firstLine="0" w:firstLineChars="0"/>
              <w:jc w:val="center"/>
              <w:rPr>
                <w:rFonts w:ascii="宋体" w:hAnsi="宋体" w:cs="宋体"/>
                <w:color w:val="auto"/>
                <w:sz w:val="24"/>
              </w:rPr>
            </w:pPr>
            <w:r>
              <w:rPr>
                <w:rFonts w:hint="eastAsia" w:ascii="宋体" w:hAnsi="宋体" w:cs="宋体"/>
                <w:color w:val="auto"/>
                <w:sz w:val="24"/>
              </w:rPr>
              <w:t>序号</w:t>
            </w:r>
          </w:p>
        </w:tc>
        <w:tc>
          <w:tcPr>
            <w:tcW w:w="1836" w:type="dxa"/>
            <w:tcBorders>
              <w:top w:val="single" w:color="auto" w:sz="4" w:space="0"/>
              <w:left w:val="single" w:color="auto" w:sz="4" w:space="0"/>
              <w:bottom w:val="single" w:color="auto" w:sz="4" w:space="0"/>
              <w:right w:val="single" w:color="auto" w:sz="4" w:space="0"/>
            </w:tcBorders>
            <w:vAlign w:val="center"/>
          </w:tcPr>
          <w:p>
            <w:pPr>
              <w:pStyle w:val="127"/>
              <w:ind w:firstLine="0" w:firstLineChars="0"/>
              <w:jc w:val="center"/>
              <w:rPr>
                <w:rFonts w:ascii="宋体" w:hAnsi="宋体" w:cs="宋体"/>
                <w:color w:val="auto"/>
                <w:sz w:val="24"/>
              </w:rPr>
            </w:pPr>
            <w:r>
              <w:rPr>
                <w:rFonts w:hint="eastAsia" w:ascii="宋体" w:hAnsi="宋体" w:cs="宋体"/>
                <w:color w:val="auto"/>
                <w:sz w:val="24"/>
              </w:rPr>
              <w:t>名称</w:t>
            </w:r>
          </w:p>
        </w:tc>
        <w:tc>
          <w:tcPr>
            <w:tcW w:w="6458" w:type="dxa"/>
            <w:tcBorders>
              <w:top w:val="single" w:color="auto" w:sz="4" w:space="0"/>
              <w:left w:val="single" w:color="auto" w:sz="4" w:space="0"/>
              <w:bottom w:val="single" w:color="auto" w:sz="4" w:space="0"/>
              <w:right w:val="single" w:color="auto" w:sz="4" w:space="0"/>
            </w:tcBorders>
            <w:vAlign w:val="center"/>
          </w:tcPr>
          <w:p>
            <w:pPr>
              <w:pStyle w:val="127"/>
              <w:ind w:firstLine="0" w:firstLineChars="0"/>
              <w:jc w:val="center"/>
              <w:rPr>
                <w:rFonts w:ascii="宋体" w:hAnsi="宋体" w:cs="宋体"/>
                <w:color w:val="auto"/>
                <w:sz w:val="24"/>
              </w:rPr>
            </w:pPr>
            <w:r>
              <w:rPr>
                <w:rFonts w:hint="eastAsia" w:ascii="宋体" w:hAnsi="宋体" w:cs="宋体"/>
                <w:color w:val="auto"/>
                <w:sz w:val="24"/>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127"/>
              <w:ind w:firstLine="0" w:firstLineChars="0"/>
              <w:jc w:val="center"/>
              <w:rPr>
                <w:rFonts w:ascii="宋体" w:hAnsi="宋体" w:cs="宋体"/>
                <w:color w:val="auto"/>
                <w:sz w:val="24"/>
              </w:rPr>
            </w:pPr>
            <w:r>
              <w:rPr>
                <w:rFonts w:hint="eastAsia" w:ascii="宋体" w:hAnsi="宋体" w:cs="宋体"/>
                <w:color w:val="auto"/>
                <w:sz w:val="24"/>
              </w:rPr>
              <w:t>1</w:t>
            </w:r>
          </w:p>
        </w:tc>
        <w:tc>
          <w:tcPr>
            <w:tcW w:w="1836" w:type="dxa"/>
            <w:tcBorders>
              <w:top w:val="single" w:color="auto" w:sz="4" w:space="0"/>
              <w:left w:val="single" w:color="auto" w:sz="4" w:space="0"/>
              <w:bottom w:val="single" w:color="auto" w:sz="4" w:space="0"/>
              <w:right w:val="single" w:color="auto" w:sz="4" w:space="0"/>
            </w:tcBorders>
            <w:vAlign w:val="center"/>
          </w:tcPr>
          <w:p>
            <w:pPr>
              <w:pStyle w:val="127"/>
              <w:ind w:firstLine="0" w:firstLineChars="0"/>
              <w:jc w:val="center"/>
              <w:rPr>
                <w:rFonts w:ascii="宋体" w:hAnsi="宋体" w:cs="宋体"/>
                <w:color w:val="auto"/>
                <w:sz w:val="24"/>
              </w:rPr>
            </w:pPr>
            <w:r>
              <w:rPr>
                <w:rFonts w:hint="eastAsia" w:ascii="宋体" w:hAnsi="宋体" w:cs="宋体"/>
                <w:color w:val="auto"/>
                <w:sz w:val="24"/>
              </w:rPr>
              <w:t>项目名称</w:t>
            </w:r>
          </w:p>
        </w:tc>
        <w:tc>
          <w:tcPr>
            <w:tcW w:w="6458" w:type="dxa"/>
            <w:tcBorders>
              <w:top w:val="single" w:color="auto" w:sz="4" w:space="0"/>
              <w:left w:val="single" w:color="auto" w:sz="4" w:space="0"/>
              <w:bottom w:val="single" w:color="auto" w:sz="4" w:space="0"/>
              <w:right w:val="single" w:color="auto" w:sz="4" w:space="0"/>
            </w:tcBorders>
            <w:vAlign w:val="center"/>
          </w:tcPr>
          <w:p>
            <w:pPr>
              <w:pStyle w:val="127"/>
              <w:spacing w:line="480" w:lineRule="exact"/>
              <w:ind w:firstLine="0" w:firstLineChars="0"/>
              <w:jc w:val="center"/>
              <w:rPr>
                <w:rFonts w:ascii="宋体" w:hAnsi="宋体" w:cs="宋体"/>
                <w:color w:val="auto"/>
                <w:sz w:val="24"/>
              </w:rPr>
            </w:pPr>
            <w:r>
              <w:rPr>
                <w:rFonts w:hint="eastAsia" w:ascii="宋体" w:hAnsi="宋体" w:cs="宋体"/>
                <w:color w:val="auto"/>
                <w:sz w:val="24"/>
              </w:rPr>
              <w:t xml:space="preserve">滁州学院磁盘阵列和移动固态硬盘采购项目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127"/>
              <w:ind w:firstLine="0" w:firstLineChars="0"/>
              <w:jc w:val="center"/>
              <w:rPr>
                <w:rFonts w:ascii="宋体" w:hAnsi="宋体" w:cs="宋体"/>
                <w:color w:val="auto"/>
                <w:sz w:val="24"/>
              </w:rPr>
            </w:pPr>
            <w:r>
              <w:rPr>
                <w:rFonts w:hint="eastAsia" w:ascii="宋体" w:hAnsi="宋体" w:cs="宋体"/>
                <w:color w:val="auto"/>
                <w:sz w:val="24"/>
              </w:rPr>
              <w:t>2</w:t>
            </w:r>
          </w:p>
        </w:tc>
        <w:tc>
          <w:tcPr>
            <w:tcW w:w="1836" w:type="dxa"/>
            <w:tcBorders>
              <w:top w:val="single" w:color="auto" w:sz="4" w:space="0"/>
              <w:left w:val="single" w:color="auto" w:sz="4" w:space="0"/>
              <w:bottom w:val="single" w:color="auto" w:sz="4" w:space="0"/>
              <w:right w:val="single" w:color="auto" w:sz="4" w:space="0"/>
            </w:tcBorders>
            <w:vAlign w:val="center"/>
          </w:tcPr>
          <w:p>
            <w:pPr>
              <w:pStyle w:val="127"/>
              <w:ind w:firstLine="0" w:firstLineChars="0"/>
              <w:jc w:val="center"/>
              <w:rPr>
                <w:rFonts w:ascii="宋体" w:hAnsi="宋体" w:cs="宋体"/>
                <w:color w:val="auto"/>
                <w:sz w:val="24"/>
              </w:rPr>
            </w:pPr>
            <w:r>
              <w:rPr>
                <w:rFonts w:hint="eastAsia" w:ascii="宋体" w:hAnsi="宋体" w:cs="宋体"/>
                <w:color w:val="auto"/>
                <w:sz w:val="24"/>
              </w:rPr>
              <w:t>报价次数</w:t>
            </w:r>
          </w:p>
        </w:tc>
        <w:tc>
          <w:tcPr>
            <w:tcW w:w="6458" w:type="dxa"/>
            <w:tcBorders>
              <w:top w:val="single" w:color="auto" w:sz="4" w:space="0"/>
              <w:left w:val="single" w:color="auto" w:sz="4" w:space="0"/>
              <w:bottom w:val="single" w:color="auto" w:sz="4" w:space="0"/>
              <w:right w:val="single" w:color="auto" w:sz="4" w:space="0"/>
            </w:tcBorders>
            <w:vAlign w:val="center"/>
          </w:tcPr>
          <w:p>
            <w:pPr>
              <w:pStyle w:val="127"/>
              <w:ind w:firstLine="480"/>
              <w:rPr>
                <w:rFonts w:ascii="宋体" w:hAnsi="宋体" w:cs="宋体"/>
                <w:color w:val="auto"/>
                <w:sz w:val="24"/>
              </w:rPr>
            </w:pPr>
            <w:r>
              <w:rPr>
                <w:rFonts w:hint="eastAsia" w:ascii="宋体" w:hAnsi="宋体" w:cs="宋体"/>
                <w:color w:val="auto"/>
                <w:sz w:val="24"/>
              </w:rPr>
              <w:t xml:space="preserve">     第</w:t>
            </w:r>
            <w:r>
              <w:rPr>
                <w:rFonts w:hint="eastAsia" w:ascii="宋体" w:hAnsi="宋体" w:cs="宋体"/>
                <w:color w:val="auto"/>
                <w:sz w:val="24"/>
                <w:u w:val="single"/>
              </w:rPr>
              <w:t xml:space="preserve">  二  </w:t>
            </w:r>
            <w:r>
              <w:rPr>
                <w:rFonts w:hint="eastAsia" w:ascii="宋体" w:hAnsi="宋体" w:cs="宋体"/>
                <w:color w:val="auto"/>
                <w:sz w:val="24"/>
              </w:rPr>
              <w:t>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127"/>
              <w:ind w:firstLine="0" w:firstLineChars="0"/>
              <w:jc w:val="center"/>
              <w:rPr>
                <w:rFonts w:ascii="宋体" w:hAnsi="宋体" w:cs="宋体"/>
                <w:color w:val="auto"/>
                <w:sz w:val="24"/>
              </w:rPr>
            </w:pPr>
            <w:r>
              <w:rPr>
                <w:rFonts w:hint="eastAsia" w:ascii="宋体" w:hAnsi="宋体" w:cs="宋体"/>
                <w:color w:val="auto"/>
                <w:sz w:val="24"/>
              </w:rPr>
              <w:t>3</w:t>
            </w:r>
          </w:p>
        </w:tc>
        <w:tc>
          <w:tcPr>
            <w:tcW w:w="1836" w:type="dxa"/>
            <w:tcBorders>
              <w:top w:val="single" w:color="auto" w:sz="4" w:space="0"/>
              <w:left w:val="single" w:color="auto" w:sz="4" w:space="0"/>
              <w:bottom w:val="single" w:color="auto" w:sz="4" w:space="0"/>
              <w:right w:val="single" w:color="auto" w:sz="4" w:space="0"/>
            </w:tcBorders>
            <w:vAlign w:val="center"/>
          </w:tcPr>
          <w:p>
            <w:pPr>
              <w:pStyle w:val="127"/>
              <w:ind w:firstLine="0" w:firstLineChars="0"/>
              <w:jc w:val="center"/>
              <w:rPr>
                <w:rFonts w:ascii="宋体" w:hAnsi="宋体" w:cs="宋体"/>
                <w:color w:val="auto"/>
                <w:sz w:val="24"/>
              </w:rPr>
            </w:pPr>
            <w:r>
              <w:rPr>
                <w:rFonts w:hint="eastAsia" w:ascii="宋体" w:hAnsi="宋体" w:cs="宋体"/>
                <w:color w:val="auto"/>
                <w:sz w:val="24"/>
              </w:rPr>
              <w:t>报价时间</w:t>
            </w:r>
          </w:p>
        </w:tc>
        <w:tc>
          <w:tcPr>
            <w:tcW w:w="6458" w:type="dxa"/>
            <w:tcBorders>
              <w:top w:val="single" w:color="auto" w:sz="4" w:space="0"/>
              <w:left w:val="single" w:color="auto" w:sz="4" w:space="0"/>
              <w:bottom w:val="single" w:color="auto" w:sz="4" w:space="0"/>
              <w:right w:val="single" w:color="auto" w:sz="4" w:space="0"/>
            </w:tcBorders>
            <w:vAlign w:val="center"/>
          </w:tcPr>
          <w:p>
            <w:pPr>
              <w:pStyle w:val="127"/>
              <w:ind w:firstLine="0" w:firstLineChars="0"/>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r>
              <w:rPr>
                <w:rFonts w:hint="eastAsia" w:ascii="宋体" w:hAnsi="宋体" w:cs="宋体"/>
                <w:color w:val="auto"/>
                <w:sz w:val="24"/>
                <w:u w:val="single"/>
              </w:rPr>
              <w:t xml:space="preserve">    </w:t>
            </w:r>
            <w:r>
              <w:rPr>
                <w:rFonts w:hint="eastAsia" w:ascii="宋体" w:hAnsi="宋体" w:cs="宋体"/>
                <w:color w:val="auto"/>
                <w:sz w:val="24"/>
              </w:rPr>
              <w:t>时</w:t>
            </w:r>
            <w:r>
              <w:rPr>
                <w:rFonts w:hint="eastAsia" w:ascii="宋体" w:hAnsi="宋体" w:cs="宋体"/>
                <w:color w:val="auto"/>
                <w:sz w:val="24"/>
                <w:u w:val="single"/>
              </w:rPr>
              <w:t xml:space="preserve">    </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96" w:type="dxa"/>
            <w:vMerge w:val="restart"/>
            <w:tcBorders>
              <w:top w:val="single" w:color="auto" w:sz="4" w:space="0"/>
              <w:left w:val="single" w:color="auto" w:sz="4" w:space="0"/>
              <w:bottom w:val="single" w:color="auto" w:sz="4" w:space="0"/>
              <w:right w:val="single" w:color="auto" w:sz="4" w:space="0"/>
            </w:tcBorders>
            <w:vAlign w:val="center"/>
          </w:tcPr>
          <w:p>
            <w:pPr>
              <w:pStyle w:val="127"/>
              <w:ind w:firstLine="0" w:firstLineChars="0"/>
              <w:jc w:val="center"/>
              <w:rPr>
                <w:rFonts w:ascii="宋体" w:hAnsi="宋体" w:cs="宋体"/>
                <w:color w:val="auto"/>
                <w:sz w:val="24"/>
              </w:rPr>
            </w:pPr>
            <w:r>
              <w:rPr>
                <w:rFonts w:hint="eastAsia" w:ascii="宋体" w:hAnsi="宋体" w:cs="宋体"/>
                <w:color w:val="auto"/>
                <w:sz w:val="24"/>
              </w:rPr>
              <w:t>4</w:t>
            </w:r>
          </w:p>
        </w:tc>
        <w:tc>
          <w:tcPr>
            <w:tcW w:w="1836" w:type="dxa"/>
            <w:vMerge w:val="restart"/>
            <w:tcBorders>
              <w:top w:val="single" w:color="auto" w:sz="4" w:space="0"/>
              <w:left w:val="single" w:color="auto" w:sz="4" w:space="0"/>
              <w:bottom w:val="single" w:color="auto" w:sz="4" w:space="0"/>
              <w:right w:val="single" w:color="auto" w:sz="4" w:space="0"/>
            </w:tcBorders>
            <w:vAlign w:val="center"/>
          </w:tcPr>
          <w:p>
            <w:pPr>
              <w:pStyle w:val="127"/>
              <w:ind w:firstLine="240" w:firstLineChars="100"/>
              <w:rPr>
                <w:rFonts w:ascii="宋体" w:hAnsi="宋体" w:cs="宋体"/>
                <w:color w:val="auto"/>
                <w:sz w:val="24"/>
              </w:rPr>
            </w:pPr>
            <w:r>
              <w:rPr>
                <w:rFonts w:hint="eastAsia" w:ascii="宋体" w:hAnsi="宋体" w:cs="宋体"/>
                <w:color w:val="auto"/>
                <w:sz w:val="24"/>
              </w:rPr>
              <w:t>谈判总报价</w:t>
            </w:r>
          </w:p>
          <w:p>
            <w:pPr>
              <w:pStyle w:val="127"/>
              <w:ind w:firstLine="0" w:firstLineChars="0"/>
              <w:rPr>
                <w:rFonts w:ascii="宋体" w:hAnsi="宋体" w:cs="宋体"/>
                <w:color w:val="auto"/>
                <w:sz w:val="24"/>
              </w:rPr>
            </w:pPr>
            <w:r>
              <w:rPr>
                <w:rFonts w:hint="eastAsia" w:ascii="宋体" w:hAnsi="宋体" w:cs="宋体"/>
                <w:color w:val="auto"/>
                <w:sz w:val="24"/>
              </w:rPr>
              <w:t>（人民币）</w:t>
            </w:r>
          </w:p>
        </w:tc>
        <w:tc>
          <w:tcPr>
            <w:tcW w:w="6458" w:type="dxa"/>
            <w:tcBorders>
              <w:top w:val="single" w:color="auto" w:sz="4" w:space="0"/>
              <w:left w:val="single" w:color="auto" w:sz="4" w:space="0"/>
              <w:bottom w:val="single" w:color="auto" w:sz="4" w:space="0"/>
              <w:right w:val="single" w:color="auto" w:sz="4" w:space="0"/>
            </w:tcBorders>
            <w:vAlign w:val="center"/>
          </w:tcPr>
          <w:p>
            <w:pPr>
              <w:pStyle w:val="127"/>
              <w:ind w:firstLine="0" w:firstLineChars="0"/>
              <w:jc w:val="center"/>
              <w:rPr>
                <w:rFonts w:ascii="宋体" w:hAnsi="宋体" w:cs="宋体"/>
                <w:color w:val="auto"/>
                <w:sz w:val="24"/>
              </w:rPr>
            </w:pPr>
            <w:r>
              <w:rPr>
                <w:rFonts w:hint="eastAsia" w:ascii="宋体" w:hAnsi="宋体" w:cs="宋体"/>
                <w:color w:val="auto"/>
                <w:sz w:val="24"/>
              </w:rPr>
              <w:t>（大写）：</w:t>
            </w:r>
            <w:r>
              <w:rPr>
                <w:rFonts w:hint="eastAsia" w:ascii="宋体" w:hAnsi="宋体" w:cs="宋体"/>
                <w:color w:val="auto"/>
                <w:sz w:val="24"/>
                <w:u w:val="single"/>
              </w:rPr>
              <w:t xml:space="preserve">                 </w:t>
            </w:r>
            <w:r>
              <w:rPr>
                <w:rFonts w:hint="eastAsia" w:ascii="宋体" w:hAnsi="宋体" w:cs="宋体"/>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szCs w:val="24"/>
              </w:rPr>
            </w:pPr>
          </w:p>
        </w:tc>
        <w:tc>
          <w:tcPr>
            <w:tcW w:w="18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szCs w:val="24"/>
              </w:rPr>
            </w:pPr>
          </w:p>
        </w:tc>
        <w:tc>
          <w:tcPr>
            <w:tcW w:w="6458" w:type="dxa"/>
            <w:tcBorders>
              <w:top w:val="single" w:color="auto" w:sz="4" w:space="0"/>
              <w:left w:val="single" w:color="auto" w:sz="4" w:space="0"/>
              <w:bottom w:val="single" w:color="auto" w:sz="4" w:space="0"/>
              <w:right w:val="single" w:color="auto" w:sz="4" w:space="0"/>
            </w:tcBorders>
            <w:vAlign w:val="center"/>
          </w:tcPr>
          <w:p>
            <w:pPr>
              <w:pStyle w:val="127"/>
              <w:ind w:firstLine="0" w:firstLineChars="0"/>
              <w:jc w:val="center"/>
              <w:rPr>
                <w:rFonts w:ascii="宋体" w:hAnsi="宋体" w:cs="宋体"/>
                <w:color w:val="auto"/>
                <w:sz w:val="24"/>
              </w:rPr>
            </w:pPr>
            <w:r>
              <w:rPr>
                <w:rFonts w:hint="eastAsia" w:ascii="宋体" w:hAnsi="宋体" w:cs="宋体"/>
                <w:color w:val="auto"/>
                <w:sz w:val="24"/>
              </w:rPr>
              <w:t>（小写）：</w:t>
            </w:r>
            <w:r>
              <w:rPr>
                <w:rFonts w:hint="eastAsia" w:ascii="宋体" w:hAnsi="宋体" w:cs="宋体"/>
                <w:color w:val="auto"/>
                <w:sz w:val="24"/>
                <w:u w:val="single"/>
              </w:rPr>
              <w:t xml:space="preserve">                 </w:t>
            </w:r>
            <w:r>
              <w:rPr>
                <w:rFonts w:hint="eastAsia" w:ascii="宋体" w:hAnsi="宋体" w:cs="宋体"/>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127"/>
              <w:ind w:firstLine="0" w:firstLineChars="0"/>
              <w:jc w:val="center"/>
              <w:rPr>
                <w:rFonts w:ascii="宋体" w:hAnsi="宋体" w:cs="宋体"/>
                <w:color w:val="auto"/>
                <w:sz w:val="24"/>
              </w:rPr>
            </w:pPr>
            <w:r>
              <w:rPr>
                <w:rFonts w:hint="eastAsia" w:ascii="宋体" w:hAnsi="宋体" w:cs="宋体"/>
                <w:color w:val="auto"/>
                <w:sz w:val="24"/>
              </w:rPr>
              <w:t>5</w:t>
            </w:r>
          </w:p>
        </w:tc>
        <w:tc>
          <w:tcPr>
            <w:tcW w:w="8294" w:type="dxa"/>
            <w:gridSpan w:val="2"/>
            <w:tcBorders>
              <w:top w:val="single" w:color="auto" w:sz="4" w:space="0"/>
              <w:left w:val="single" w:color="auto" w:sz="4" w:space="0"/>
              <w:bottom w:val="single" w:color="auto" w:sz="4" w:space="0"/>
              <w:right w:val="single" w:color="auto" w:sz="4" w:space="0"/>
            </w:tcBorders>
            <w:vAlign w:val="center"/>
          </w:tcPr>
          <w:p>
            <w:pPr>
              <w:pStyle w:val="127"/>
              <w:ind w:firstLine="0" w:firstLineChars="0"/>
              <w:rPr>
                <w:rFonts w:ascii="宋体" w:hAnsi="宋体" w:cs="宋体"/>
                <w:color w:val="auto"/>
                <w:sz w:val="24"/>
              </w:rPr>
            </w:pPr>
            <w:r>
              <w:rPr>
                <w:rFonts w:hint="eastAsia" w:ascii="宋体" w:hAnsi="宋体" w:cs="宋体"/>
                <w:color w:val="auto"/>
                <w:sz w:val="24"/>
              </w:rPr>
              <w:t>声明：我方在报价前，已认真阅读谈判文本，充分理解并完全响应文本中所有实质性要求。</w:t>
            </w:r>
          </w:p>
        </w:tc>
      </w:tr>
    </w:tbl>
    <w:p>
      <w:pPr>
        <w:pStyle w:val="127"/>
        <w:ind w:firstLine="0" w:firstLineChars="0"/>
        <w:jc w:val="left"/>
        <w:rPr>
          <w:rFonts w:ascii="宋体" w:hAnsi="宋体" w:cs="宋体"/>
          <w:color w:val="auto"/>
          <w:szCs w:val="21"/>
        </w:rPr>
      </w:pPr>
    </w:p>
    <w:p>
      <w:pPr>
        <w:pStyle w:val="127"/>
        <w:ind w:firstLine="0" w:firstLineChars="0"/>
        <w:jc w:val="left"/>
        <w:rPr>
          <w:rFonts w:ascii="宋体" w:hAnsi="宋体" w:cs="宋体"/>
          <w:color w:val="auto"/>
          <w:szCs w:val="21"/>
        </w:rPr>
      </w:pPr>
    </w:p>
    <w:p>
      <w:pPr>
        <w:pStyle w:val="127"/>
        <w:ind w:firstLine="0" w:firstLineChars="0"/>
        <w:jc w:val="left"/>
        <w:rPr>
          <w:rFonts w:ascii="宋体" w:hAnsi="宋体" w:cs="宋体"/>
          <w:color w:val="auto"/>
          <w:sz w:val="24"/>
        </w:rPr>
      </w:pPr>
      <w:r>
        <w:rPr>
          <w:rFonts w:hint="eastAsia" w:ascii="宋体" w:hAnsi="宋体" w:cs="宋体"/>
          <w:color w:val="auto"/>
          <w:sz w:val="24"/>
        </w:rPr>
        <w:t>供应商：                                         法定代表人或授权代理人签字：</w:t>
      </w:r>
    </w:p>
    <w:p>
      <w:pPr>
        <w:pStyle w:val="127"/>
        <w:ind w:firstLine="0" w:firstLineChars="0"/>
        <w:jc w:val="left"/>
        <w:rPr>
          <w:rFonts w:ascii="宋体" w:hAnsi="宋体" w:cs="宋体"/>
          <w:color w:val="auto"/>
          <w:szCs w:val="21"/>
        </w:rPr>
      </w:pPr>
    </w:p>
    <w:p>
      <w:pPr>
        <w:overflowPunct w:val="0"/>
        <w:adjustRightInd w:val="0"/>
        <w:snapToGrid w:val="0"/>
        <w:spacing w:line="360" w:lineRule="auto"/>
        <w:rPr>
          <w:color w:val="auto"/>
        </w:rPr>
      </w:pPr>
    </w:p>
    <w:p>
      <w:pPr>
        <w:overflowPunct w:val="0"/>
        <w:adjustRightInd w:val="0"/>
        <w:snapToGrid w:val="0"/>
        <w:spacing w:line="360" w:lineRule="auto"/>
        <w:rPr>
          <w:color w:val="auto"/>
        </w:rPr>
      </w:pPr>
      <w:r>
        <w:rPr>
          <w:rFonts w:hint="eastAsia"/>
          <w:color w:val="auto"/>
        </w:rPr>
        <w:t>备注：1、供应商谈判响应文件报价应在最高限价范围内，最终报价不得高于原谈判响应文件报价，否则，</w:t>
      </w:r>
    </w:p>
    <w:p>
      <w:pPr>
        <w:overflowPunct w:val="0"/>
        <w:adjustRightInd w:val="0"/>
        <w:snapToGrid w:val="0"/>
        <w:spacing w:line="360" w:lineRule="auto"/>
        <w:rPr>
          <w:color w:val="auto"/>
        </w:rPr>
      </w:pPr>
      <w:r>
        <w:rPr>
          <w:rFonts w:hint="eastAsia"/>
          <w:color w:val="auto"/>
        </w:rPr>
        <w:t xml:space="preserve">取消谈判资格。 </w:t>
      </w:r>
    </w:p>
    <w:p>
      <w:pPr>
        <w:overflowPunct w:val="0"/>
        <w:adjustRightInd w:val="0"/>
        <w:snapToGrid w:val="0"/>
        <w:spacing w:line="360" w:lineRule="auto"/>
        <w:rPr>
          <w:color w:val="auto"/>
        </w:rPr>
      </w:pPr>
      <w:r>
        <w:rPr>
          <w:rFonts w:hint="eastAsia" w:ascii="宋体" w:hAnsi="宋体" w:cs="宋体"/>
          <w:color w:val="auto"/>
        </w:rPr>
        <w:t>2、报价只需报总价，各项综合单价按照总价同比例下浮。</w:t>
      </w:r>
    </w:p>
    <w:p>
      <w:pPr>
        <w:rPr>
          <w:rFonts w:ascii="宋体" w:hAnsi="宋体" w:cs="宋体"/>
          <w:b/>
          <w:bCs/>
          <w:color w:val="auto"/>
        </w:rPr>
      </w:pPr>
    </w:p>
    <w:p>
      <w:pPr>
        <w:rPr>
          <w:rFonts w:ascii="宋体" w:hAnsi="宋体"/>
          <w:color w:val="auto"/>
        </w:rPr>
      </w:pPr>
      <w:r>
        <w:rPr>
          <w:rFonts w:hint="eastAsia" w:ascii="宋体" w:hAnsi="宋体" w:cs="宋体"/>
          <w:b/>
          <w:bCs/>
          <w:color w:val="auto"/>
        </w:rPr>
        <w:t>提示:请各供应商将此表打印2份，盖上公章携带至谈判现场，用来填写最终报价。</w:t>
      </w:r>
    </w:p>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Pr>
        <w:pStyle w:val="2"/>
        <w:ind w:firstLine="640"/>
        <w:rPr>
          <w:rFonts w:eastAsia="黑体" w:cs="黑体"/>
          <w:color w:val="auto"/>
          <w:sz w:val="32"/>
          <w:szCs w:val="32"/>
        </w:rPr>
      </w:pPr>
    </w:p>
    <w:p>
      <w:pPr>
        <w:spacing w:line="400" w:lineRule="exact"/>
        <w:rPr>
          <w:rFonts w:eastAsia="黑体" w:cs="黑体"/>
          <w:color w:val="auto"/>
          <w:sz w:val="32"/>
          <w:szCs w:val="32"/>
        </w:rPr>
      </w:pPr>
    </w:p>
    <w:p>
      <w:pPr>
        <w:pStyle w:val="7"/>
        <w:jc w:val="center"/>
        <w:rPr>
          <w:color w:val="auto"/>
        </w:rPr>
      </w:pPr>
      <w:bookmarkStart w:id="219" w:name="_Toc46309859"/>
      <w:bookmarkStart w:id="220" w:name="_Toc46310030"/>
      <w:r>
        <w:rPr>
          <w:rFonts w:hint="eastAsia" w:ascii="Times" w:hAnsi="Times" w:eastAsia="黑体" w:cs="黑体"/>
          <w:b w:val="0"/>
          <w:bCs w:val="0"/>
          <w:color w:val="auto"/>
          <w:kern w:val="2"/>
          <w:sz w:val="28"/>
          <w:szCs w:val="28"/>
        </w:rPr>
        <w:t>第七部分   采购单位、采购代理机构对本谈判文件的确认</w:t>
      </w:r>
      <w:bookmarkEnd w:id="219"/>
      <w:bookmarkEnd w:id="220"/>
    </w:p>
    <w:tbl>
      <w:tblPr>
        <w:tblStyle w:val="4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1" w:hRule="atLeast"/>
        </w:trPr>
        <w:tc>
          <w:tcPr>
            <w:tcW w:w="9180" w:type="dxa"/>
          </w:tcPr>
          <w:p>
            <w:pPr>
              <w:adjustRightInd w:val="0"/>
              <w:snapToGrid w:val="0"/>
              <w:spacing w:line="320" w:lineRule="exact"/>
              <w:rPr>
                <w:rFonts w:ascii="宋体"/>
                <w:color w:val="auto"/>
                <w:sz w:val="28"/>
                <w:szCs w:val="28"/>
              </w:rPr>
            </w:pPr>
          </w:p>
          <w:p>
            <w:pPr>
              <w:spacing w:line="400" w:lineRule="atLeast"/>
              <w:ind w:firstLine="560" w:firstLineChars="200"/>
              <w:jc w:val="left"/>
              <w:rPr>
                <w:rFonts w:ascii="宋体"/>
                <w:color w:val="auto"/>
                <w:sz w:val="28"/>
                <w:szCs w:val="28"/>
              </w:rPr>
            </w:pPr>
            <w:r>
              <w:rPr>
                <w:rFonts w:hint="eastAsia" w:ascii="宋体" w:hAnsi="宋体" w:cs="宋体"/>
                <w:color w:val="auto"/>
                <w:sz w:val="28"/>
                <w:szCs w:val="28"/>
              </w:rPr>
              <w:t>我单位对</w:t>
            </w:r>
            <w:r>
              <w:rPr>
                <w:rFonts w:hint="eastAsia" w:ascii="宋体" w:hAnsi="宋体" w:cs="宋体"/>
                <w:color w:val="auto"/>
                <w:sz w:val="28"/>
                <w:szCs w:val="28"/>
                <w:u w:val="single"/>
              </w:rPr>
              <w:t>滁州学院磁盘阵列和移动固态硬盘采购项目</w:t>
            </w:r>
            <w:r>
              <w:rPr>
                <w:rFonts w:hint="eastAsia" w:ascii="宋体" w:hAnsi="宋体" w:cs="宋体"/>
                <w:color w:val="auto"/>
                <w:sz w:val="28"/>
                <w:szCs w:val="28"/>
              </w:rPr>
              <w:t>的谈判文件进行确认。</w:t>
            </w:r>
          </w:p>
          <w:p>
            <w:pPr>
              <w:spacing w:line="600" w:lineRule="exact"/>
              <w:ind w:firstLine="560" w:firstLineChars="200"/>
              <w:jc w:val="left"/>
              <w:rPr>
                <w:rFonts w:ascii="宋体" w:cs="宋体"/>
                <w:color w:val="auto"/>
                <w:sz w:val="28"/>
                <w:szCs w:val="28"/>
              </w:rPr>
            </w:pPr>
            <w:r>
              <w:rPr>
                <w:rFonts w:hint="eastAsia" w:ascii="宋体" w:cs="宋体"/>
                <w:color w:val="auto"/>
                <w:sz w:val="28"/>
                <w:szCs w:val="28"/>
              </w:rPr>
              <w:t>招标单位：资产与实验室管理处</w:t>
            </w:r>
          </w:p>
          <w:p>
            <w:pPr>
              <w:spacing w:line="600" w:lineRule="exact"/>
              <w:ind w:firstLine="560" w:firstLineChars="200"/>
              <w:jc w:val="left"/>
              <w:rPr>
                <w:rFonts w:ascii="宋体" w:cs="宋体"/>
                <w:color w:val="auto"/>
                <w:sz w:val="28"/>
                <w:szCs w:val="28"/>
              </w:rPr>
            </w:pPr>
            <w:r>
              <w:rPr>
                <w:rFonts w:hint="eastAsia" w:ascii="宋体" w:cs="宋体"/>
                <w:color w:val="auto"/>
                <w:sz w:val="28"/>
                <w:szCs w:val="28"/>
              </w:rPr>
              <w:t>委托代理人：</w:t>
            </w:r>
            <w:r>
              <w:rPr>
                <w:rFonts w:hint="eastAsia" w:ascii="宋体" w:hAnsi="宋体" w:cs="宋体"/>
                <w:color w:val="auto"/>
                <w:sz w:val="30"/>
                <w:szCs w:val="30"/>
              </w:rPr>
              <w:t>张老师   李老师</w:t>
            </w:r>
          </w:p>
          <w:p>
            <w:pPr>
              <w:spacing w:line="600" w:lineRule="exact"/>
              <w:ind w:firstLine="560" w:firstLineChars="200"/>
              <w:jc w:val="left"/>
              <w:rPr>
                <w:rFonts w:ascii="宋体" w:cs="宋体"/>
                <w:color w:val="auto"/>
                <w:sz w:val="28"/>
                <w:szCs w:val="28"/>
              </w:rPr>
            </w:pPr>
            <w:r>
              <w:rPr>
                <w:rFonts w:hint="eastAsia" w:ascii="宋体" w:cs="宋体"/>
                <w:color w:val="auto"/>
                <w:sz w:val="28"/>
                <w:szCs w:val="28"/>
              </w:rPr>
              <w:t xml:space="preserve">联系电话:0550-3511816   0550-3512003 </w:t>
            </w:r>
          </w:p>
          <w:p>
            <w:pPr>
              <w:spacing w:line="600" w:lineRule="exact"/>
              <w:ind w:firstLine="300" w:firstLineChars="100"/>
              <w:rPr>
                <w:rFonts w:ascii="宋体" w:hAnsi="宋体" w:cs="宋体"/>
                <w:color w:val="auto"/>
                <w:sz w:val="30"/>
                <w:szCs w:val="30"/>
              </w:rPr>
            </w:pPr>
          </w:p>
          <w:p>
            <w:pPr>
              <w:spacing w:line="700" w:lineRule="exact"/>
              <w:ind w:left="596" w:leftChars="284"/>
              <w:jc w:val="left"/>
              <w:rPr>
                <w:rFonts w:ascii="宋体" w:hAnsi="宋体" w:cs="宋体"/>
                <w:color w:val="auto"/>
                <w:sz w:val="28"/>
                <w:szCs w:val="28"/>
              </w:rPr>
            </w:pPr>
            <w:r>
              <w:rPr>
                <w:rFonts w:hint="eastAsia" w:ascii="宋体" w:hAnsi="宋体" w:cs="宋体"/>
                <w:color w:val="auto"/>
                <w:sz w:val="28"/>
                <w:szCs w:val="28"/>
              </w:rPr>
              <w:t xml:space="preserve"> </w:t>
            </w:r>
          </w:p>
          <w:p>
            <w:pPr>
              <w:spacing w:line="500" w:lineRule="exact"/>
              <w:rPr>
                <w:b/>
                <w:bCs/>
                <w:color w:val="auto"/>
                <w:sz w:val="28"/>
                <w:szCs w:val="28"/>
              </w:rPr>
            </w:pPr>
          </w:p>
          <w:p>
            <w:pPr>
              <w:spacing w:line="500" w:lineRule="exact"/>
              <w:ind w:firstLine="280" w:firstLineChars="100"/>
              <w:rPr>
                <w:color w:val="auto"/>
                <w:sz w:val="28"/>
                <w:szCs w:val="28"/>
              </w:rPr>
            </w:pPr>
            <w:r>
              <w:rPr>
                <w:color w:val="auto"/>
                <w:sz w:val="28"/>
                <w:szCs w:val="28"/>
              </w:rPr>
              <w:t xml:space="preserve">                                  </w:t>
            </w:r>
            <w:r>
              <w:rPr>
                <w:rFonts w:hint="eastAsia"/>
                <w:color w:val="auto"/>
                <w:sz w:val="28"/>
                <w:szCs w:val="28"/>
              </w:rPr>
              <w:t xml:space="preserve">            </w:t>
            </w:r>
            <w:r>
              <w:rPr>
                <w:rFonts w:hint="eastAsia" w:cs="宋体"/>
                <w:color w:val="auto"/>
                <w:sz w:val="28"/>
                <w:szCs w:val="28"/>
              </w:rPr>
              <w:t>（单位盖章）</w:t>
            </w:r>
          </w:p>
          <w:p>
            <w:pPr>
              <w:ind w:firstLine="5320" w:firstLineChars="1900"/>
              <w:rPr>
                <w:color w:val="auto"/>
                <w:sz w:val="28"/>
                <w:szCs w:val="28"/>
              </w:rPr>
            </w:pPr>
            <w:r>
              <w:rPr>
                <w:rFonts w:hint="eastAsia"/>
                <w:color w:val="auto"/>
                <w:sz w:val="28"/>
                <w:szCs w:val="28"/>
              </w:rPr>
              <w:t xml:space="preserve">           2023年5</w:t>
            </w:r>
            <w:r>
              <w:rPr>
                <w:rFonts w:hint="eastAsia" w:cs="宋体"/>
                <w:color w:val="auto"/>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6" w:hRule="atLeast"/>
        </w:trPr>
        <w:tc>
          <w:tcPr>
            <w:tcW w:w="9180" w:type="dxa"/>
          </w:tcPr>
          <w:p>
            <w:pPr>
              <w:spacing w:line="320" w:lineRule="atLeast"/>
              <w:ind w:firstLine="560" w:firstLineChars="200"/>
              <w:rPr>
                <w:color w:val="auto"/>
                <w:sz w:val="28"/>
                <w:szCs w:val="28"/>
              </w:rPr>
            </w:pPr>
          </w:p>
          <w:p>
            <w:pPr>
              <w:spacing w:line="320" w:lineRule="atLeast"/>
              <w:ind w:firstLine="560" w:firstLineChars="200"/>
              <w:rPr>
                <w:rFonts w:cs="宋体"/>
                <w:color w:val="auto"/>
                <w:sz w:val="28"/>
                <w:szCs w:val="28"/>
              </w:rPr>
            </w:pPr>
            <w:r>
              <w:rPr>
                <w:rFonts w:hint="eastAsia" w:cs="宋体"/>
                <w:color w:val="auto"/>
                <w:sz w:val="28"/>
                <w:szCs w:val="28"/>
              </w:rPr>
              <w:t>采购代理机构：安徽立地工程咨询有限公司</w:t>
            </w:r>
          </w:p>
          <w:p>
            <w:pPr>
              <w:spacing w:line="320" w:lineRule="atLeast"/>
              <w:ind w:firstLine="560" w:firstLineChars="200"/>
              <w:rPr>
                <w:color w:val="auto"/>
                <w:sz w:val="28"/>
                <w:szCs w:val="28"/>
              </w:rPr>
            </w:pPr>
            <w:r>
              <w:rPr>
                <w:rFonts w:hint="eastAsia" w:cs="宋体"/>
                <w:color w:val="auto"/>
                <w:sz w:val="28"/>
                <w:szCs w:val="28"/>
              </w:rPr>
              <w:t>经办人：翁海玲</w:t>
            </w:r>
          </w:p>
          <w:p>
            <w:pPr>
              <w:spacing w:line="560" w:lineRule="exact"/>
              <w:ind w:firstLine="560" w:firstLineChars="200"/>
              <w:rPr>
                <w:color w:val="auto"/>
                <w:sz w:val="28"/>
                <w:szCs w:val="28"/>
              </w:rPr>
            </w:pPr>
            <w:r>
              <w:rPr>
                <w:rFonts w:hint="eastAsia" w:cs="宋体"/>
                <w:color w:val="auto"/>
                <w:sz w:val="28"/>
                <w:szCs w:val="28"/>
              </w:rPr>
              <w:t>联系电话：</w:t>
            </w:r>
            <w:r>
              <w:rPr>
                <w:color w:val="auto"/>
                <w:sz w:val="28"/>
                <w:szCs w:val="28"/>
              </w:rPr>
              <w:t xml:space="preserve"> </w:t>
            </w:r>
            <w:r>
              <w:rPr>
                <w:rFonts w:hint="eastAsia"/>
                <w:color w:val="auto"/>
                <w:sz w:val="28"/>
                <w:szCs w:val="28"/>
              </w:rPr>
              <w:t>0550-3831128、13965950189</w:t>
            </w:r>
          </w:p>
          <w:p>
            <w:pPr>
              <w:spacing w:line="500" w:lineRule="exact"/>
              <w:ind w:firstLine="560" w:firstLineChars="200"/>
              <w:rPr>
                <w:color w:val="auto"/>
                <w:sz w:val="28"/>
                <w:szCs w:val="28"/>
              </w:rPr>
            </w:pPr>
          </w:p>
          <w:p>
            <w:pPr>
              <w:ind w:firstLine="5040" w:firstLineChars="1800"/>
              <w:rPr>
                <w:color w:val="auto"/>
                <w:sz w:val="28"/>
                <w:szCs w:val="28"/>
              </w:rPr>
            </w:pPr>
          </w:p>
          <w:p>
            <w:pPr>
              <w:ind w:firstLine="5040" w:firstLineChars="1800"/>
              <w:rPr>
                <w:color w:val="auto"/>
                <w:sz w:val="28"/>
                <w:szCs w:val="28"/>
              </w:rPr>
            </w:pPr>
          </w:p>
          <w:p>
            <w:pPr>
              <w:rPr>
                <w:color w:val="auto"/>
                <w:sz w:val="28"/>
                <w:szCs w:val="28"/>
              </w:rPr>
            </w:pPr>
          </w:p>
          <w:p>
            <w:pPr>
              <w:spacing w:line="500" w:lineRule="exact"/>
              <w:ind w:firstLine="280" w:firstLineChars="100"/>
              <w:rPr>
                <w:rFonts w:cs="宋体"/>
                <w:color w:val="auto"/>
                <w:sz w:val="28"/>
                <w:szCs w:val="28"/>
              </w:rPr>
            </w:pPr>
            <w:r>
              <w:rPr>
                <w:rFonts w:hint="eastAsia" w:cs="宋体"/>
                <w:color w:val="auto"/>
                <w:sz w:val="28"/>
                <w:szCs w:val="28"/>
              </w:rPr>
              <w:t xml:space="preserve">                                             （单位盖章）</w:t>
            </w:r>
          </w:p>
          <w:p>
            <w:pPr>
              <w:spacing w:line="500" w:lineRule="exact"/>
              <w:ind w:firstLine="280" w:firstLineChars="100"/>
              <w:rPr>
                <w:color w:val="auto"/>
                <w:sz w:val="28"/>
                <w:szCs w:val="28"/>
              </w:rPr>
            </w:pPr>
            <w:r>
              <w:rPr>
                <w:rFonts w:hint="eastAsia" w:cs="宋体"/>
                <w:color w:val="auto"/>
                <w:sz w:val="28"/>
                <w:szCs w:val="28"/>
              </w:rPr>
              <w:t xml:space="preserve">                                             2023年5月</w:t>
            </w:r>
          </w:p>
        </w:tc>
      </w:tr>
      <w:bookmarkEnd w:id="0"/>
    </w:tbl>
    <w:p>
      <w:pPr>
        <w:pStyle w:val="21"/>
        <w:jc w:val="both"/>
        <w:rPr>
          <w:color w:val="auto"/>
        </w:rPr>
      </w:pPr>
    </w:p>
    <w:sectPr>
      <w:pgSz w:w="11906" w:h="16838"/>
      <w:pgMar w:top="935" w:right="1106" w:bottom="936" w:left="1260" w:header="680"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宋体-18030">
    <w:altName w:val="Arial Unicode MS"/>
    <w:panose1 w:val="00000000000000000000"/>
    <w:charset w:val="86"/>
    <w:family w:val="modern"/>
    <w:pitch w:val="default"/>
    <w:sig w:usb0="00000000" w:usb1="00000000" w:usb2="000A005E"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Style w:val="51"/>
      </w:rPr>
    </w:pPr>
    <w: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1"/>
                </w:pPr>
                <w:r>
                  <w:fldChar w:fldCharType="begin"/>
                </w:r>
                <w:r>
                  <w:instrText xml:space="preserve"> PAGE  \* MERGEFORMAT </w:instrText>
                </w:r>
                <w:r>
                  <w:fldChar w:fldCharType="separate"/>
                </w:r>
                <w:r>
                  <w:t>19</w:t>
                </w:r>
                <w:r>
                  <w:fldChar w:fldCharType="end"/>
                </w:r>
              </w:p>
            </w:txbxContent>
          </v:textbox>
        </v:shape>
      </w:pict>
    </w:r>
  </w:p>
  <w:p>
    <w:pPr>
      <w:pStyle w:val="31"/>
      <w:ind w:right="360"/>
      <w:rPr>
        <w:kern w:val="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lear" w:pos="4153"/>
      </w:tabs>
      <w:jc w:val="center"/>
    </w:pPr>
    <w:r>
      <w:pict>
        <v:shape id="_x0000_s3075" o:spid="_x0000_s307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31"/>
                </w:pPr>
                <w:r>
                  <w:fldChar w:fldCharType="begin"/>
                </w:r>
                <w:r>
                  <w:instrText xml:space="preserve"> PAGE  \* MERGEFORMAT </w:instrText>
                </w:r>
                <w:r>
                  <w:fldChar w:fldCharType="separate"/>
                </w:r>
                <w:r>
                  <w:t>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944529"/>
    <w:multiLevelType w:val="singleLevel"/>
    <w:tmpl w:val="89944529"/>
    <w:lvl w:ilvl="0" w:tentative="0">
      <w:start w:val="3"/>
      <w:numFmt w:val="decimal"/>
      <w:suff w:val="nothing"/>
      <w:lvlText w:val="（%1）"/>
      <w:lvlJc w:val="left"/>
    </w:lvl>
  </w:abstractNum>
  <w:abstractNum w:abstractNumId="1">
    <w:nsid w:val="BFC490CA"/>
    <w:multiLevelType w:val="singleLevel"/>
    <w:tmpl w:val="BFC490CA"/>
    <w:lvl w:ilvl="0" w:tentative="0">
      <w:start w:val="1"/>
      <w:numFmt w:val="chineseCounting"/>
      <w:suff w:val="space"/>
      <w:lvlText w:val="第%1部分"/>
      <w:lvlJc w:val="left"/>
      <w:rPr>
        <w:rFonts w:hint="eastAsia"/>
      </w:rPr>
    </w:lvl>
  </w:abstractNum>
  <w:abstractNum w:abstractNumId="2">
    <w:nsid w:val="DB55D3D1"/>
    <w:multiLevelType w:val="singleLevel"/>
    <w:tmpl w:val="DB55D3D1"/>
    <w:lvl w:ilvl="0" w:tentative="0">
      <w:start w:val="1"/>
      <w:numFmt w:val="decimal"/>
      <w:suff w:val="nothing"/>
      <w:lvlText w:val="%1、"/>
      <w:lvlJc w:val="left"/>
    </w:lvl>
  </w:abstractNum>
  <w:abstractNum w:abstractNumId="3">
    <w:nsid w:val="126EA8B5"/>
    <w:multiLevelType w:val="singleLevel"/>
    <w:tmpl w:val="126EA8B5"/>
    <w:lvl w:ilvl="0" w:tentative="0">
      <w:start w:val="1"/>
      <w:numFmt w:val="decimal"/>
      <w:suff w:val="nothing"/>
      <w:lvlText w:val="%1、"/>
      <w:lvlJc w:val="left"/>
    </w:lvl>
  </w:abstractNum>
  <w:abstractNum w:abstractNumId="4">
    <w:nsid w:val="15C5F525"/>
    <w:multiLevelType w:val="singleLevel"/>
    <w:tmpl w:val="15C5F525"/>
    <w:lvl w:ilvl="0" w:tentative="0">
      <w:start w:val="1"/>
      <w:numFmt w:val="chineseCounting"/>
      <w:suff w:val="nothing"/>
      <w:lvlText w:val="%1、"/>
      <w:lvlJc w:val="left"/>
      <w:rPr>
        <w:rFonts w:hint="eastAsia"/>
      </w:rPr>
    </w:lvl>
  </w:abstractNum>
  <w:abstractNum w:abstractNumId="5">
    <w:nsid w:val="4704B98D"/>
    <w:multiLevelType w:val="singleLevel"/>
    <w:tmpl w:val="4704B98D"/>
    <w:lvl w:ilvl="0" w:tentative="0">
      <w:start w:val="3"/>
      <w:numFmt w:val="chineseCounting"/>
      <w:suff w:val="nothing"/>
      <w:lvlText w:val="%1、"/>
      <w:lvlJc w:val="left"/>
      <w:rPr>
        <w:rFonts w:hint="eastAsia"/>
      </w:rPr>
    </w:lvl>
  </w:abstractNum>
  <w:abstractNum w:abstractNumId="6">
    <w:nsid w:val="58D89B2C"/>
    <w:multiLevelType w:val="singleLevel"/>
    <w:tmpl w:val="58D89B2C"/>
    <w:lvl w:ilvl="0" w:tentative="0">
      <w:start w:val="1"/>
      <w:numFmt w:val="decimal"/>
      <w:suff w:val="nothing"/>
      <w:lvlText w:val="%1、"/>
      <w:lvlJc w:val="left"/>
      <w:pPr>
        <w:tabs>
          <w:tab w:val="left" w:pos="0"/>
        </w:tabs>
        <w:ind w:left="0" w:firstLine="0"/>
      </w:pPr>
    </w:lvl>
  </w:abstractNum>
  <w:abstractNum w:abstractNumId="7">
    <w:nsid w:val="5994F701"/>
    <w:multiLevelType w:val="singleLevel"/>
    <w:tmpl w:val="5994F701"/>
    <w:lvl w:ilvl="0" w:tentative="0">
      <w:start w:val="2"/>
      <w:numFmt w:val="decimal"/>
      <w:suff w:val="nothing"/>
      <w:lvlText w:val="%1."/>
      <w:lvlJc w:val="left"/>
      <w:rPr>
        <w:rFonts w:cs="Times New Roman"/>
      </w:rPr>
    </w:lvl>
  </w:abstractNum>
  <w:abstractNum w:abstractNumId="8">
    <w:nsid w:val="6C174C4A"/>
    <w:multiLevelType w:val="singleLevel"/>
    <w:tmpl w:val="6C174C4A"/>
    <w:lvl w:ilvl="0" w:tentative="0">
      <w:start w:val="1"/>
      <w:numFmt w:val="decimal"/>
      <w:suff w:val="nothing"/>
      <w:lvlText w:val="%1、"/>
      <w:lvlJc w:val="left"/>
    </w:lvl>
  </w:abstractNum>
  <w:abstractNum w:abstractNumId="9">
    <w:nsid w:val="6C99154B"/>
    <w:multiLevelType w:val="singleLevel"/>
    <w:tmpl w:val="6C99154B"/>
    <w:lvl w:ilvl="0" w:tentative="0">
      <w:start w:val="12"/>
      <w:numFmt w:val="decimal"/>
      <w:suff w:val="nothing"/>
      <w:lvlText w:val="%1．"/>
      <w:lvlJc w:val="left"/>
    </w:lvl>
  </w:abstractNum>
  <w:num w:numId="1">
    <w:abstractNumId w:val="5"/>
  </w:num>
  <w:num w:numId="2">
    <w:abstractNumId w:val="1"/>
  </w:num>
  <w:num w:numId="3">
    <w:abstractNumId w:val="9"/>
  </w:num>
  <w:num w:numId="4">
    <w:abstractNumId w:val="7"/>
  </w:num>
  <w:num w:numId="5">
    <w:abstractNumId w:val="4"/>
  </w:num>
  <w:num w:numId="6">
    <w:abstractNumId w:val="3"/>
  </w:num>
  <w:num w:numId="7">
    <w:abstractNumId w:val="2"/>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oNotHyphenateCaps/>
  <w:drawingGridVerticalSpacing w:val="159"/>
  <w:noPunctuationKerning w:val="1"/>
  <w:characterSpacingControl w:val="compressPunctuation"/>
  <w:doNotValidateAgainstSchema/>
  <w:doNotDemarcateInvalidXml/>
  <w:hdrShapeDefaults>
    <o:shapelayout v:ext="edit">
      <o:idmap v:ext="edit" data="2,3"/>
    </o:shapelayout>
  </w:hdrShapeDefaults>
  <w:footnotePr>
    <w:pos w:val="beneathText"/>
  </w:foot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U4NzIyNGI0ZDQxOTQ2MDI3MGM4MjAyNjM1OWM2ZjMifQ=="/>
  </w:docVars>
  <w:rsids>
    <w:rsidRoot w:val="00277DEA"/>
    <w:rsid w:val="00002AA6"/>
    <w:rsid w:val="000407AC"/>
    <w:rsid w:val="00040AF9"/>
    <w:rsid w:val="00052C67"/>
    <w:rsid w:val="00057816"/>
    <w:rsid w:val="00080657"/>
    <w:rsid w:val="000B40FA"/>
    <w:rsid w:val="000E54F8"/>
    <w:rsid w:val="00102910"/>
    <w:rsid w:val="00131FFF"/>
    <w:rsid w:val="00135312"/>
    <w:rsid w:val="00144E2C"/>
    <w:rsid w:val="001643AB"/>
    <w:rsid w:val="0016450D"/>
    <w:rsid w:val="00174B7E"/>
    <w:rsid w:val="001A07C9"/>
    <w:rsid w:val="001A2A8D"/>
    <w:rsid w:val="001A591F"/>
    <w:rsid w:val="001C048E"/>
    <w:rsid w:val="001C0BF6"/>
    <w:rsid w:val="001C6848"/>
    <w:rsid w:val="001C7F31"/>
    <w:rsid w:val="001D4B0B"/>
    <w:rsid w:val="001F10F0"/>
    <w:rsid w:val="001F1D2C"/>
    <w:rsid w:val="00207852"/>
    <w:rsid w:val="00217AF2"/>
    <w:rsid w:val="00217EB9"/>
    <w:rsid w:val="0023383D"/>
    <w:rsid w:val="00252D6D"/>
    <w:rsid w:val="00253B24"/>
    <w:rsid w:val="00261296"/>
    <w:rsid w:val="00264864"/>
    <w:rsid w:val="00270071"/>
    <w:rsid w:val="002740D6"/>
    <w:rsid w:val="00274549"/>
    <w:rsid w:val="00276E33"/>
    <w:rsid w:val="00277DEA"/>
    <w:rsid w:val="002934B2"/>
    <w:rsid w:val="002A2969"/>
    <w:rsid w:val="002C40D1"/>
    <w:rsid w:val="002E15BB"/>
    <w:rsid w:val="002E733D"/>
    <w:rsid w:val="002E76AA"/>
    <w:rsid w:val="002F38FE"/>
    <w:rsid w:val="002F79DA"/>
    <w:rsid w:val="00313EF1"/>
    <w:rsid w:val="00323E40"/>
    <w:rsid w:val="00324E9E"/>
    <w:rsid w:val="0033191A"/>
    <w:rsid w:val="00332C02"/>
    <w:rsid w:val="00336837"/>
    <w:rsid w:val="00351550"/>
    <w:rsid w:val="003550AC"/>
    <w:rsid w:val="00370095"/>
    <w:rsid w:val="0037519A"/>
    <w:rsid w:val="003776B6"/>
    <w:rsid w:val="0039125C"/>
    <w:rsid w:val="003A3D22"/>
    <w:rsid w:val="003A6B66"/>
    <w:rsid w:val="003C73FC"/>
    <w:rsid w:val="003D00F9"/>
    <w:rsid w:val="003D3DE4"/>
    <w:rsid w:val="003E18D3"/>
    <w:rsid w:val="003E616C"/>
    <w:rsid w:val="00402733"/>
    <w:rsid w:val="004108BC"/>
    <w:rsid w:val="00411EFB"/>
    <w:rsid w:val="00417EF4"/>
    <w:rsid w:val="0042383D"/>
    <w:rsid w:val="00426BC5"/>
    <w:rsid w:val="00430081"/>
    <w:rsid w:val="00433F44"/>
    <w:rsid w:val="004479E5"/>
    <w:rsid w:val="0045352B"/>
    <w:rsid w:val="004613DB"/>
    <w:rsid w:val="004806E1"/>
    <w:rsid w:val="0048334A"/>
    <w:rsid w:val="004943F2"/>
    <w:rsid w:val="004D013D"/>
    <w:rsid w:val="004D5E59"/>
    <w:rsid w:val="004D7A32"/>
    <w:rsid w:val="004E5F74"/>
    <w:rsid w:val="004F084A"/>
    <w:rsid w:val="004F10A4"/>
    <w:rsid w:val="004F5FF3"/>
    <w:rsid w:val="004F7693"/>
    <w:rsid w:val="004F7DE7"/>
    <w:rsid w:val="005010B2"/>
    <w:rsid w:val="00523372"/>
    <w:rsid w:val="00541322"/>
    <w:rsid w:val="0054319F"/>
    <w:rsid w:val="00544FBB"/>
    <w:rsid w:val="005539A0"/>
    <w:rsid w:val="00555AF7"/>
    <w:rsid w:val="0057677B"/>
    <w:rsid w:val="00587AEB"/>
    <w:rsid w:val="005A2086"/>
    <w:rsid w:val="005C088A"/>
    <w:rsid w:val="005C3B90"/>
    <w:rsid w:val="005D1E9B"/>
    <w:rsid w:val="005D26BD"/>
    <w:rsid w:val="005E0BB4"/>
    <w:rsid w:val="005E2472"/>
    <w:rsid w:val="005F02AC"/>
    <w:rsid w:val="005F485F"/>
    <w:rsid w:val="006008C2"/>
    <w:rsid w:val="00600A1A"/>
    <w:rsid w:val="00602A84"/>
    <w:rsid w:val="00610B8A"/>
    <w:rsid w:val="00613B3B"/>
    <w:rsid w:val="006259A1"/>
    <w:rsid w:val="00627E1A"/>
    <w:rsid w:val="00635236"/>
    <w:rsid w:val="00640C59"/>
    <w:rsid w:val="006412B4"/>
    <w:rsid w:val="00643128"/>
    <w:rsid w:val="00643BE3"/>
    <w:rsid w:val="00661709"/>
    <w:rsid w:val="00663F76"/>
    <w:rsid w:val="00664A00"/>
    <w:rsid w:val="00673C23"/>
    <w:rsid w:val="0067722F"/>
    <w:rsid w:val="00677752"/>
    <w:rsid w:val="00692FA7"/>
    <w:rsid w:val="006962AF"/>
    <w:rsid w:val="006B2CC6"/>
    <w:rsid w:val="006B482F"/>
    <w:rsid w:val="006E2124"/>
    <w:rsid w:val="006E24A2"/>
    <w:rsid w:val="00707B3C"/>
    <w:rsid w:val="0071451C"/>
    <w:rsid w:val="007258FC"/>
    <w:rsid w:val="00752B2D"/>
    <w:rsid w:val="00757EC0"/>
    <w:rsid w:val="00762DC1"/>
    <w:rsid w:val="007701C5"/>
    <w:rsid w:val="007712E5"/>
    <w:rsid w:val="00791961"/>
    <w:rsid w:val="007B6EE6"/>
    <w:rsid w:val="007C1329"/>
    <w:rsid w:val="007C3E0D"/>
    <w:rsid w:val="007D585E"/>
    <w:rsid w:val="007E581B"/>
    <w:rsid w:val="007F1A31"/>
    <w:rsid w:val="007F6BC8"/>
    <w:rsid w:val="008057AF"/>
    <w:rsid w:val="00806B50"/>
    <w:rsid w:val="00806DEB"/>
    <w:rsid w:val="00814795"/>
    <w:rsid w:val="0081777A"/>
    <w:rsid w:val="008322BB"/>
    <w:rsid w:val="00845698"/>
    <w:rsid w:val="00866438"/>
    <w:rsid w:val="008706BB"/>
    <w:rsid w:val="008753BD"/>
    <w:rsid w:val="008801B2"/>
    <w:rsid w:val="008878D1"/>
    <w:rsid w:val="008922A6"/>
    <w:rsid w:val="008A129B"/>
    <w:rsid w:val="008B6AF2"/>
    <w:rsid w:val="008C044F"/>
    <w:rsid w:val="008C7B90"/>
    <w:rsid w:val="008E0BFB"/>
    <w:rsid w:val="008E687E"/>
    <w:rsid w:val="008F24D9"/>
    <w:rsid w:val="009148C9"/>
    <w:rsid w:val="00916805"/>
    <w:rsid w:val="0093540E"/>
    <w:rsid w:val="009430F7"/>
    <w:rsid w:val="00951FEE"/>
    <w:rsid w:val="009548E3"/>
    <w:rsid w:val="00957100"/>
    <w:rsid w:val="00997D30"/>
    <w:rsid w:val="009D3A42"/>
    <w:rsid w:val="009D5781"/>
    <w:rsid w:val="009F052A"/>
    <w:rsid w:val="009F42B7"/>
    <w:rsid w:val="00A07096"/>
    <w:rsid w:val="00A109CD"/>
    <w:rsid w:val="00A31D3C"/>
    <w:rsid w:val="00A364A9"/>
    <w:rsid w:val="00A74A67"/>
    <w:rsid w:val="00A92252"/>
    <w:rsid w:val="00A9517C"/>
    <w:rsid w:val="00A95FC8"/>
    <w:rsid w:val="00AA33B7"/>
    <w:rsid w:val="00AA6310"/>
    <w:rsid w:val="00AB19DD"/>
    <w:rsid w:val="00AB2BCB"/>
    <w:rsid w:val="00AC40DA"/>
    <w:rsid w:val="00AD32CD"/>
    <w:rsid w:val="00AD3997"/>
    <w:rsid w:val="00AE6FD2"/>
    <w:rsid w:val="00B21B8E"/>
    <w:rsid w:val="00B27EFF"/>
    <w:rsid w:val="00B31B2F"/>
    <w:rsid w:val="00B32474"/>
    <w:rsid w:val="00B3371B"/>
    <w:rsid w:val="00B46183"/>
    <w:rsid w:val="00B5033A"/>
    <w:rsid w:val="00B71F58"/>
    <w:rsid w:val="00B75EB6"/>
    <w:rsid w:val="00B86725"/>
    <w:rsid w:val="00BB4EC3"/>
    <w:rsid w:val="00BB5EA4"/>
    <w:rsid w:val="00BC093E"/>
    <w:rsid w:val="00BC0FB2"/>
    <w:rsid w:val="00BF0504"/>
    <w:rsid w:val="00BF52BD"/>
    <w:rsid w:val="00BF7413"/>
    <w:rsid w:val="00C04D5A"/>
    <w:rsid w:val="00C30933"/>
    <w:rsid w:val="00C31A64"/>
    <w:rsid w:val="00C35DB0"/>
    <w:rsid w:val="00C37E7D"/>
    <w:rsid w:val="00C40898"/>
    <w:rsid w:val="00C522F7"/>
    <w:rsid w:val="00C56491"/>
    <w:rsid w:val="00C77C3E"/>
    <w:rsid w:val="00C77D9B"/>
    <w:rsid w:val="00C959B4"/>
    <w:rsid w:val="00CA283F"/>
    <w:rsid w:val="00CB14DC"/>
    <w:rsid w:val="00CB5A10"/>
    <w:rsid w:val="00CD2E86"/>
    <w:rsid w:val="00CD6B6D"/>
    <w:rsid w:val="00CF2E1F"/>
    <w:rsid w:val="00CF524A"/>
    <w:rsid w:val="00CF5B3F"/>
    <w:rsid w:val="00D05A15"/>
    <w:rsid w:val="00D064F8"/>
    <w:rsid w:val="00D07052"/>
    <w:rsid w:val="00D20052"/>
    <w:rsid w:val="00D2599B"/>
    <w:rsid w:val="00D27C1C"/>
    <w:rsid w:val="00D32138"/>
    <w:rsid w:val="00D47E82"/>
    <w:rsid w:val="00D50ADE"/>
    <w:rsid w:val="00D510B2"/>
    <w:rsid w:val="00D67520"/>
    <w:rsid w:val="00D67C11"/>
    <w:rsid w:val="00D72607"/>
    <w:rsid w:val="00D74DB0"/>
    <w:rsid w:val="00D769ED"/>
    <w:rsid w:val="00D862EF"/>
    <w:rsid w:val="00D87159"/>
    <w:rsid w:val="00DA4FD3"/>
    <w:rsid w:val="00DD408F"/>
    <w:rsid w:val="00DE23F0"/>
    <w:rsid w:val="00E13C49"/>
    <w:rsid w:val="00E20497"/>
    <w:rsid w:val="00E3458D"/>
    <w:rsid w:val="00E707DD"/>
    <w:rsid w:val="00E92B8F"/>
    <w:rsid w:val="00EB60B2"/>
    <w:rsid w:val="00EB6A15"/>
    <w:rsid w:val="00EC6F26"/>
    <w:rsid w:val="00EC6F84"/>
    <w:rsid w:val="00EC7414"/>
    <w:rsid w:val="00ED1E2A"/>
    <w:rsid w:val="00ED2A3C"/>
    <w:rsid w:val="00EE5A0A"/>
    <w:rsid w:val="00EE7AEC"/>
    <w:rsid w:val="00EF7950"/>
    <w:rsid w:val="00F10FD4"/>
    <w:rsid w:val="00F12999"/>
    <w:rsid w:val="00F16AA1"/>
    <w:rsid w:val="00F257A9"/>
    <w:rsid w:val="00F405F3"/>
    <w:rsid w:val="00F407A6"/>
    <w:rsid w:val="00F738CB"/>
    <w:rsid w:val="00F82A9A"/>
    <w:rsid w:val="00F83340"/>
    <w:rsid w:val="00F84042"/>
    <w:rsid w:val="00FB2776"/>
    <w:rsid w:val="00FC0C55"/>
    <w:rsid w:val="00FC16FA"/>
    <w:rsid w:val="00FC724D"/>
    <w:rsid w:val="00FD0DE5"/>
    <w:rsid w:val="00FD1433"/>
    <w:rsid w:val="00FD3EA2"/>
    <w:rsid w:val="00FD5B97"/>
    <w:rsid w:val="00FE4E55"/>
    <w:rsid w:val="01046CE5"/>
    <w:rsid w:val="010874C8"/>
    <w:rsid w:val="010A7EC8"/>
    <w:rsid w:val="010F1DA1"/>
    <w:rsid w:val="010F3B4F"/>
    <w:rsid w:val="011417A6"/>
    <w:rsid w:val="011949CD"/>
    <w:rsid w:val="011B0745"/>
    <w:rsid w:val="01203FAE"/>
    <w:rsid w:val="012313A8"/>
    <w:rsid w:val="012B4701"/>
    <w:rsid w:val="012B64AF"/>
    <w:rsid w:val="01313312"/>
    <w:rsid w:val="01323CE1"/>
    <w:rsid w:val="013400FE"/>
    <w:rsid w:val="01343067"/>
    <w:rsid w:val="01347A59"/>
    <w:rsid w:val="013C06BC"/>
    <w:rsid w:val="01453A14"/>
    <w:rsid w:val="01460B95"/>
    <w:rsid w:val="01504A25"/>
    <w:rsid w:val="01505F15"/>
    <w:rsid w:val="0156352C"/>
    <w:rsid w:val="01570814"/>
    <w:rsid w:val="01577F8A"/>
    <w:rsid w:val="015974C0"/>
    <w:rsid w:val="015A3604"/>
    <w:rsid w:val="016025FC"/>
    <w:rsid w:val="0162132B"/>
    <w:rsid w:val="016F283F"/>
    <w:rsid w:val="0170579C"/>
    <w:rsid w:val="017172FF"/>
    <w:rsid w:val="017B7E50"/>
    <w:rsid w:val="017C30D6"/>
    <w:rsid w:val="01816A09"/>
    <w:rsid w:val="01830099"/>
    <w:rsid w:val="01873E75"/>
    <w:rsid w:val="018E53BB"/>
    <w:rsid w:val="019033CB"/>
    <w:rsid w:val="01916C5A"/>
    <w:rsid w:val="01993D60"/>
    <w:rsid w:val="01A00117"/>
    <w:rsid w:val="01A06145"/>
    <w:rsid w:val="01A3073B"/>
    <w:rsid w:val="01A4533A"/>
    <w:rsid w:val="01B006D7"/>
    <w:rsid w:val="01B6046E"/>
    <w:rsid w:val="01B841E6"/>
    <w:rsid w:val="01CC7C92"/>
    <w:rsid w:val="01CE3A0A"/>
    <w:rsid w:val="01CF32DE"/>
    <w:rsid w:val="01D223D6"/>
    <w:rsid w:val="01D4204C"/>
    <w:rsid w:val="01D63C01"/>
    <w:rsid w:val="01DC477B"/>
    <w:rsid w:val="01E318C3"/>
    <w:rsid w:val="01E46D89"/>
    <w:rsid w:val="01E879E9"/>
    <w:rsid w:val="01E92A57"/>
    <w:rsid w:val="01EC3E90"/>
    <w:rsid w:val="01F01BD2"/>
    <w:rsid w:val="01F1594A"/>
    <w:rsid w:val="01F206A8"/>
    <w:rsid w:val="01F40F97"/>
    <w:rsid w:val="01F80A87"/>
    <w:rsid w:val="01F9035B"/>
    <w:rsid w:val="01FB0577"/>
    <w:rsid w:val="01FC263D"/>
    <w:rsid w:val="01FF55D9"/>
    <w:rsid w:val="020C62E0"/>
    <w:rsid w:val="020E3E06"/>
    <w:rsid w:val="020E6144"/>
    <w:rsid w:val="02180B22"/>
    <w:rsid w:val="021C2D39"/>
    <w:rsid w:val="02253E60"/>
    <w:rsid w:val="02263674"/>
    <w:rsid w:val="022B4FE1"/>
    <w:rsid w:val="02300221"/>
    <w:rsid w:val="02331ABF"/>
    <w:rsid w:val="023B0973"/>
    <w:rsid w:val="02477318"/>
    <w:rsid w:val="024844A3"/>
    <w:rsid w:val="024C0DD3"/>
    <w:rsid w:val="024D1DC3"/>
    <w:rsid w:val="024D6853"/>
    <w:rsid w:val="024E4B4B"/>
    <w:rsid w:val="025536DE"/>
    <w:rsid w:val="02565180"/>
    <w:rsid w:val="025657AD"/>
    <w:rsid w:val="025B2DC4"/>
    <w:rsid w:val="025D6B3C"/>
    <w:rsid w:val="02604264"/>
    <w:rsid w:val="026223A4"/>
    <w:rsid w:val="02624152"/>
    <w:rsid w:val="02681835"/>
    <w:rsid w:val="027018DE"/>
    <w:rsid w:val="02702D13"/>
    <w:rsid w:val="02713716"/>
    <w:rsid w:val="0277064D"/>
    <w:rsid w:val="02832A46"/>
    <w:rsid w:val="02866093"/>
    <w:rsid w:val="029327FA"/>
    <w:rsid w:val="029331C5"/>
    <w:rsid w:val="02963FF0"/>
    <w:rsid w:val="029A1B3E"/>
    <w:rsid w:val="029D518A"/>
    <w:rsid w:val="029E162E"/>
    <w:rsid w:val="02A038D8"/>
    <w:rsid w:val="02A1111E"/>
    <w:rsid w:val="02A209F3"/>
    <w:rsid w:val="02A33D6F"/>
    <w:rsid w:val="02AB3D4B"/>
    <w:rsid w:val="02AB5AF9"/>
    <w:rsid w:val="02AB78A7"/>
    <w:rsid w:val="02B349AE"/>
    <w:rsid w:val="02B817D0"/>
    <w:rsid w:val="02B912E1"/>
    <w:rsid w:val="02BE669D"/>
    <w:rsid w:val="02BF72C6"/>
    <w:rsid w:val="02C07C14"/>
    <w:rsid w:val="02C920C7"/>
    <w:rsid w:val="02CA1E40"/>
    <w:rsid w:val="02CF4E2F"/>
    <w:rsid w:val="02D0730E"/>
    <w:rsid w:val="02D2752A"/>
    <w:rsid w:val="02D768EE"/>
    <w:rsid w:val="02DA4D19"/>
    <w:rsid w:val="02EB11E6"/>
    <w:rsid w:val="02EB292B"/>
    <w:rsid w:val="02ED1C6E"/>
    <w:rsid w:val="02EE59E6"/>
    <w:rsid w:val="02F32FFC"/>
    <w:rsid w:val="02FB2420"/>
    <w:rsid w:val="03066674"/>
    <w:rsid w:val="03092820"/>
    <w:rsid w:val="03123CF0"/>
    <w:rsid w:val="03125B78"/>
    <w:rsid w:val="03171949"/>
    <w:rsid w:val="03171BF9"/>
    <w:rsid w:val="03174F3D"/>
    <w:rsid w:val="03187EB6"/>
    <w:rsid w:val="032141CA"/>
    <w:rsid w:val="03233CCC"/>
    <w:rsid w:val="032B09E8"/>
    <w:rsid w:val="03321D76"/>
    <w:rsid w:val="03351867"/>
    <w:rsid w:val="03402295"/>
    <w:rsid w:val="03433F84"/>
    <w:rsid w:val="03463A74"/>
    <w:rsid w:val="034A6F2F"/>
    <w:rsid w:val="0354618B"/>
    <w:rsid w:val="03565AD1"/>
    <w:rsid w:val="035733BE"/>
    <w:rsid w:val="035835A9"/>
    <w:rsid w:val="03597303"/>
    <w:rsid w:val="03653EFA"/>
    <w:rsid w:val="03661A20"/>
    <w:rsid w:val="036B1BA5"/>
    <w:rsid w:val="036C34DA"/>
    <w:rsid w:val="036D2DAF"/>
    <w:rsid w:val="036D77DB"/>
    <w:rsid w:val="036E0DAD"/>
    <w:rsid w:val="036F6B27"/>
    <w:rsid w:val="0371289F"/>
    <w:rsid w:val="03724869"/>
    <w:rsid w:val="03792426"/>
    <w:rsid w:val="037C1244"/>
    <w:rsid w:val="0381685A"/>
    <w:rsid w:val="03824AAC"/>
    <w:rsid w:val="03826891"/>
    <w:rsid w:val="03870314"/>
    <w:rsid w:val="03887BE8"/>
    <w:rsid w:val="038B1487"/>
    <w:rsid w:val="038C41A4"/>
    <w:rsid w:val="038C76D9"/>
    <w:rsid w:val="039A3F1A"/>
    <w:rsid w:val="03A013D6"/>
    <w:rsid w:val="03A26EFC"/>
    <w:rsid w:val="03A30672"/>
    <w:rsid w:val="03A31B13"/>
    <w:rsid w:val="03A32C74"/>
    <w:rsid w:val="03A367D0"/>
    <w:rsid w:val="03A82039"/>
    <w:rsid w:val="03AB56B4"/>
    <w:rsid w:val="03B64756"/>
    <w:rsid w:val="03B92498"/>
    <w:rsid w:val="03BA7CB8"/>
    <w:rsid w:val="03BB1D6C"/>
    <w:rsid w:val="03BB7FBE"/>
    <w:rsid w:val="03C055D4"/>
    <w:rsid w:val="03C50E3C"/>
    <w:rsid w:val="03C86C18"/>
    <w:rsid w:val="03CC3F79"/>
    <w:rsid w:val="03CE5F43"/>
    <w:rsid w:val="03D2588F"/>
    <w:rsid w:val="03D60954"/>
    <w:rsid w:val="03D73EF0"/>
    <w:rsid w:val="03D8291E"/>
    <w:rsid w:val="03DB240E"/>
    <w:rsid w:val="03DB41BC"/>
    <w:rsid w:val="03DC2978"/>
    <w:rsid w:val="03DE3CAC"/>
    <w:rsid w:val="03DE6AA9"/>
    <w:rsid w:val="03DE73C0"/>
    <w:rsid w:val="03E017D2"/>
    <w:rsid w:val="03E95933"/>
    <w:rsid w:val="03EB08A3"/>
    <w:rsid w:val="03F434D0"/>
    <w:rsid w:val="03F53A24"/>
    <w:rsid w:val="03FB03BA"/>
    <w:rsid w:val="03FD4132"/>
    <w:rsid w:val="04041965"/>
    <w:rsid w:val="04074FB1"/>
    <w:rsid w:val="0409007E"/>
    <w:rsid w:val="040E4592"/>
    <w:rsid w:val="04115E30"/>
    <w:rsid w:val="04127858"/>
    <w:rsid w:val="04185410"/>
    <w:rsid w:val="041B1F4C"/>
    <w:rsid w:val="041B255E"/>
    <w:rsid w:val="041B280B"/>
    <w:rsid w:val="041D47D5"/>
    <w:rsid w:val="04212517"/>
    <w:rsid w:val="0425661F"/>
    <w:rsid w:val="042B250C"/>
    <w:rsid w:val="042E253E"/>
    <w:rsid w:val="04357D70"/>
    <w:rsid w:val="04380F52"/>
    <w:rsid w:val="043B44C3"/>
    <w:rsid w:val="044A3DF3"/>
    <w:rsid w:val="04531FA4"/>
    <w:rsid w:val="045521C0"/>
    <w:rsid w:val="04571A27"/>
    <w:rsid w:val="04583A5F"/>
    <w:rsid w:val="04600EC4"/>
    <w:rsid w:val="0467251E"/>
    <w:rsid w:val="04684B60"/>
    <w:rsid w:val="046B3792"/>
    <w:rsid w:val="046C3066"/>
    <w:rsid w:val="046E3282"/>
    <w:rsid w:val="046E5030"/>
    <w:rsid w:val="046E752A"/>
    <w:rsid w:val="047A1C27"/>
    <w:rsid w:val="047B1ED0"/>
    <w:rsid w:val="0482288A"/>
    <w:rsid w:val="04827293"/>
    <w:rsid w:val="04842AA6"/>
    <w:rsid w:val="04891E6A"/>
    <w:rsid w:val="048C3708"/>
    <w:rsid w:val="048E1202"/>
    <w:rsid w:val="049031F8"/>
    <w:rsid w:val="04956A61"/>
    <w:rsid w:val="04983E5B"/>
    <w:rsid w:val="04A15406"/>
    <w:rsid w:val="04A3117E"/>
    <w:rsid w:val="04A47A5C"/>
    <w:rsid w:val="04A66EED"/>
    <w:rsid w:val="04A70542"/>
    <w:rsid w:val="04AB0032"/>
    <w:rsid w:val="04B334F0"/>
    <w:rsid w:val="04B376FA"/>
    <w:rsid w:val="04B769D7"/>
    <w:rsid w:val="04B8274F"/>
    <w:rsid w:val="04BC223F"/>
    <w:rsid w:val="04BC5D9C"/>
    <w:rsid w:val="04BF588C"/>
    <w:rsid w:val="04C3485C"/>
    <w:rsid w:val="04C410F4"/>
    <w:rsid w:val="04C42EA2"/>
    <w:rsid w:val="04C45D14"/>
    <w:rsid w:val="04C94171"/>
    <w:rsid w:val="04CE77BB"/>
    <w:rsid w:val="04D01847"/>
    <w:rsid w:val="04D330E5"/>
    <w:rsid w:val="04D55617"/>
    <w:rsid w:val="04E107DB"/>
    <w:rsid w:val="04E734BD"/>
    <w:rsid w:val="04EA6DAD"/>
    <w:rsid w:val="04ED6252"/>
    <w:rsid w:val="04EE1564"/>
    <w:rsid w:val="04EF501D"/>
    <w:rsid w:val="04F90522"/>
    <w:rsid w:val="04FD0C1C"/>
    <w:rsid w:val="05002DB0"/>
    <w:rsid w:val="05017C52"/>
    <w:rsid w:val="05022803"/>
    <w:rsid w:val="05080FE1"/>
    <w:rsid w:val="05092FAB"/>
    <w:rsid w:val="05096B07"/>
    <w:rsid w:val="05141CD2"/>
    <w:rsid w:val="0517294F"/>
    <w:rsid w:val="05184F9C"/>
    <w:rsid w:val="0521114A"/>
    <w:rsid w:val="05283431"/>
    <w:rsid w:val="05290F57"/>
    <w:rsid w:val="052B2F21"/>
    <w:rsid w:val="05301B9D"/>
    <w:rsid w:val="05384B2D"/>
    <w:rsid w:val="053C7311"/>
    <w:rsid w:val="05465FAD"/>
    <w:rsid w:val="05487E08"/>
    <w:rsid w:val="054A1469"/>
    <w:rsid w:val="055204AE"/>
    <w:rsid w:val="05542478"/>
    <w:rsid w:val="0559183C"/>
    <w:rsid w:val="055D10ED"/>
    <w:rsid w:val="056A3A4A"/>
    <w:rsid w:val="056C55FB"/>
    <w:rsid w:val="056D3E15"/>
    <w:rsid w:val="05761C29"/>
    <w:rsid w:val="05793C8D"/>
    <w:rsid w:val="057979E7"/>
    <w:rsid w:val="057C377D"/>
    <w:rsid w:val="05812B41"/>
    <w:rsid w:val="05816FE5"/>
    <w:rsid w:val="05832D5D"/>
    <w:rsid w:val="05852631"/>
    <w:rsid w:val="058556BD"/>
    <w:rsid w:val="058814E7"/>
    <w:rsid w:val="058A5E9A"/>
    <w:rsid w:val="0591140A"/>
    <w:rsid w:val="05927032"/>
    <w:rsid w:val="05940AC6"/>
    <w:rsid w:val="059648AF"/>
    <w:rsid w:val="05972365"/>
    <w:rsid w:val="059726A3"/>
    <w:rsid w:val="059B00A7"/>
    <w:rsid w:val="059C26E3"/>
    <w:rsid w:val="05A14D6C"/>
    <w:rsid w:val="05A86320"/>
    <w:rsid w:val="05BD5885"/>
    <w:rsid w:val="05BD626F"/>
    <w:rsid w:val="05BE5B43"/>
    <w:rsid w:val="05C0366A"/>
    <w:rsid w:val="05C9633F"/>
    <w:rsid w:val="05CA273A"/>
    <w:rsid w:val="05CC64B2"/>
    <w:rsid w:val="05D54405"/>
    <w:rsid w:val="05D62E8D"/>
    <w:rsid w:val="05DB4947"/>
    <w:rsid w:val="05E44E9B"/>
    <w:rsid w:val="05E97064"/>
    <w:rsid w:val="05EE467B"/>
    <w:rsid w:val="05F44886"/>
    <w:rsid w:val="05F71030"/>
    <w:rsid w:val="05F95F11"/>
    <w:rsid w:val="06071298"/>
    <w:rsid w:val="06090A50"/>
    <w:rsid w:val="060C5BD8"/>
    <w:rsid w:val="060C68AF"/>
    <w:rsid w:val="061010B6"/>
    <w:rsid w:val="06167E6A"/>
    <w:rsid w:val="061B11E8"/>
    <w:rsid w:val="061B4D44"/>
    <w:rsid w:val="061E4834"/>
    <w:rsid w:val="061E65E2"/>
    <w:rsid w:val="062005AC"/>
    <w:rsid w:val="0624009C"/>
    <w:rsid w:val="062779CD"/>
    <w:rsid w:val="062F6A41"/>
    <w:rsid w:val="06365D5E"/>
    <w:rsid w:val="06401E63"/>
    <w:rsid w:val="064408F1"/>
    <w:rsid w:val="06456265"/>
    <w:rsid w:val="06514C09"/>
    <w:rsid w:val="06535DF7"/>
    <w:rsid w:val="06540256"/>
    <w:rsid w:val="065546FA"/>
    <w:rsid w:val="0656125F"/>
    <w:rsid w:val="065A3ABE"/>
    <w:rsid w:val="065B3392"/>
    <w:rsid w:val="066A7A79"/>
    <w:rsid w:val="066B7EDB"/>
    <w:rsid w:val="066D6115"/>
    <w:rsid w:val="067032E2"/>
    <w:rsid w:val="067A7CBC"/>
    <w:rsid w:val="067B1C86"/>
    <w:rsid w:val="068603A2"/>
    <w:rsid w:val="06902736"/>
    <w:rsid w:val="06905732"/>
    <w:rsid w:val="069468A4"/>
    <w:rsid w:val="06990F4C"/>
    <w:rsid w:val="069C40D7"/>
    <w:rsid w:val="069D1BFD"/>
    <w:rsid w:val="069F5975"/>
    <w:rsid w:val="06A032C2"/>
    <w:rsid w:val="06A42F8B"/>
    <w:rsid w:val="06AE4DB5"/>
    <w:rsid w:val="06B86A37"/>
    <w:rsid w:val="06B91756"/>
    <w:rsid w:val="06BC0A15"/>
    <w:rsid w:val="06BF7DC5"/>
    <w:rsid w:val="06C07699"/>
    <w:rsid w:val="06C70A28"/>
    <w:rsid w:val="06CB509E"/>
    <w:rsid w:val="06CC2068"/>
    <w:rsid w:val="06CE625A"/>
    <w:rsid w:val="06D20D84"/>
    <w:rsid w:val="06D23769"/>
    <w:rsid w:val="06D3010C"/>
    <w:rsid w:val="06DA4BFF"/>
    <w:rsid w:val="06E33B5C"/>
    <w:rsid w:val="06E710CA"/>
    <w:rsid w:val="06EA101E"/>
    <w:rsid w:val="06EE06AA"/>
    <w:rsid w:val="06EE0B1A"/>
    <w:rsid w:val="06EE2458"/>
    <w:rsid w:val="06F23CF7"/>
    <w:rsid w:val="06F86E33"/>
    <w:rsid w:val="06FC6923"/>
    <w:rsid w:val="06FF3F5D"/>
    <w:rsid w:val="07013F3A"/>
    <w:rsid w:val="07024C81"/>
    <w:rsid w:val="07035F04"/>
    <w:rsid w:val="070B4DB8"/>
    <w:rsid w:val="070C28DE"/>
    <w:rsid w:val="070F6B28"/>
    <w:rsid w:val="07126147"/>
    <w:rsid w:val="07165B37"/>
    <w:rsid w:val="072D2F81"/>
    <w:rsid w:val="072E0AA7"/>
    <w:rsid w:val="07316E6B"/>
    <w:rsid w:val="073627F3"/>
    <w:rsid w:val="073A38EF"/>
    <w:rsid w:val="073D3F2F"/>
    <w:rsid w:val="073F34F8"/>
    <w:rsid w:val="073F4A62"/>
    <w:rsid w:val="07431BCE"/>
    <w:rsid w:val="074419A2"/>
    <w:rsid w:val="07452C84"/>
    <w:rsid w:val="074636D7"/>
    <w:rsid w:val="075406B9"/>
    <w:rsid w:val="07541C5F"/>
    <w:rsid w:val="07543C88"/>
    <w:rsid w:val="07615416"/>
    <w:rsid w:val="076A6D07"/>
    <w:rsid w:val="077F4FC5"/>
    <w:rsid w:val="07835838"/>
    <w:rsid w:val="0788465B"/>
    <w:rsid w:val="078E4578"/>
    <w:rsid w:val="078F45BD"/>
    <w:rsid w:val="078F59E9"/>
    <w:rsid w:val="079025C7"/>
    <w:rsid w:val="07950B26"/>
    <w:rsid w:val="07972AF0"/>
    <w:rsid w:val="079A613C"/>
    <w:rsid w:val="07A0003E"/>
    <w:rsid w:val="07A1571D"/>
    <w:rsid w:val="07A8505F"/>
    <w:rsid w:val="07AF7E3A"/>
    <w:rsid w:val="07B554F2"/>
    <w:rsid w:val="07B62F76"/>
    <w:rsid w:val="07B763F7"/>
    <w:rsid w:val="07BC4304"/>
    <w:rsid w:val="07C03DF5"/>
    <w:rsid w:val="07C136C9"/>
    <w:rsid w:val="07C81D7B"/>
    <w:rsid w:val="07CA07CF"/>
    <w:rsid w:val="07CB353D"/>
    <w:rsid w:val="07CB3C5A"/>
    <w:rsid w:val="07CF5DE6"/>
    <w:rsid w:val="07D37E5C"/>
    <w:rsid w:val="07D550CE"/>
    <w:rsid w:val="07D7113E"/>
    <w:rsid w:val="07D91D1C"/>
    <w:rsid w:val="07D929D1"/>
    <w:rsid w:val="07DE427B"/>
    <w:rsid w:val="07E8038A"/>
    <w:rsid w:val="07E86EA8"/>
    <w:rsid w:val="07E902AA"/>
    <w:rsid w:val="07E95AC2"/>
    <w:rsid w:val="07EA70C4"/>
    <w:rsid w:val="07EB2928"/>
    <w:rsid w:val="07ED44BE"/>
    <w:rsid w:val="07EF0236"/>
    <w:rsid w:val="07F10452"/>
    <w:rsid w:val="07F41CF0"/>
    <w:rsid w:val="07F6072D"/>
    <w:rsid w:val="07F8733B"/>
    <w:rsid w:val="07F97307"/>
    <w:rsid w:val="07FB495C"/>
    <w:rsid w:val="07FC640B"/>
    <w:rsid w:val="07FE7388"/>
    <w:rsid w:val="08007340"/>
    <w:rsid w:val="08036B4A"/>
    <w:rsid w:val="08055CAB"/>
    <w:rsid w:val="08057A5A"/>
    <w:rsid w:val="08071A24"/>
    <w:rsid w:val="080A1514"/>
    <w:rsid w:val="080C1AE5"/>
    <w:rsid w:val="080D4B60"/>
    <w:rsid w:val="08135BF2"/>
    <w:rsid w:val="08147C9D"/>
    <w:rsid w:val="081651B8"/>
    <w:rsid w:val="08183C31"/>
    <w:rsid w:val="08190185"/>
    <w:rsid w:val="08240E77"/>
    <w:rsid w:val="082500FC"/>
    <w:rsid w:val="08283748"/>
    <w:rsid w:val="08287F2F"/>
    <w:rsid w:val="083D5445"/>
    <w:rsid w:val="083D71F3"/>
    <w:rsid w:val="08414681"/>
    <w:rsid w:val="084560A8"/>
    <w:rsid w:val="08481274"/>
    <w:rsid w:val="084D31AF"/>
    <w:rsid w:val="084D4C2F"/>
    <w:rsid w:val="08534C69"/>
    <w:rsid w:val="0854278F"/>
    <w:rsid w:val="086F1377"/>
    <w:rsid w:val="087040FB"/>
    <w:rsid w:val="08716E9D"/>
    <w:rsid w:val="08740015"/>
    <w:rsid w:val="087A35FA"/>
    <w:rsid w:val="087B41C0"/>
    <w:rsid w:val="087C2F45"/>
    <w:rsid w:val="088272FC"/>
    <w:rsid w:val="08843074"/>
    <w:rsid w:val="08856DEC"/>
    <w:rsid w:val="08870CE7"/>
    <w:rsid w:val="08892439"/>
    <w:rsid w:val="088A61B1"/>
    <w:rsid w:val="089062FD"/>
    <w:rsid w:val="089123D1"/>
    <w:rsid w:val="08955281"/>
    <w:rsid w:val="08972F88"/>
    <w:rsid w:val="089D7C92"/>
    <w:rsid w:val="08A059D4"/>
    <w:rsid w:val="08A234FA"/>
    <w:rsid w:val="08A531BB"/>
    <w:rsid w:val="08A917E1"/>
    <w:rsid w:val="08AB6E26"/>
    <w:rsid w:val="08B07052"/>
    <w:rsid w:val="08B125BC"/>
    <w:rsid w:val="08B374B6"/>
    <w:rsid w:val="08BA085A"/>
    <w:rsid w:val="08BE0512"/>
    <w:rsid w:val="08C571E9"/>
    <w:rsid w:val="08CC4A1B"/>
    <w:rsid w:val="08CE42EF"/>
    <w:rsid w:val="08D35DAA"/>
    <w:rsid w:val="08D86F1C"/>
    <w:rsid w:val="08DA21C9"/>
    <w:rsid w:val="08DC4C5E"/>
    <w:rsid w:val="08DF474E"/>
    <w:rsid w:val="08E616F2"/>
    <w:rsid w:val="08E65ADD"/>
    <w:rsid w:val="08E81855"/>
    <w:rsid w:val="08E91129"/>
    <w:rsid w:val="08EC29C7"/>
    <w:rsid w:val="08EE1782"/>
    <w:rsid w:val="08F54286"/>
    <w:rsid w:val="08F63846"/>
    <w:rsid w:val="08FB28C0"/>
    <w:rsid w:val="08FC0593"/>
    <w:rsid w:val="08FD456F"/>
    <w:rsid w:val="09054167"/>
    <w:rsid w:val="09091053"/>
    <w:rsid w:val="09167A44"/>
    <w:rsid w:val="09175C96"/>
    <w:rsid w:val="091F4B4B"/>
    <w:rsid w:val="09242161"/>
    <w:rsid w:val="092514DB"/>
    <w:rsid w:val="092E1232"/>
    <w:rsid w:val="093F51ED"/>
    <w:rsid w:val="09434CDD"/>
    <w:rsid w:val="09440A55"/>
    <w:rsid w:val="094839F1"/>
    <w:rsid w:val="0955056D"/>
    <w:rsid w:val="095567BF"/>
    <w:rsid w:val="095A54DD"/>
    <w:rsid w:val="09606F40"/>
    <w:rsid w:val="096609CC"/>
    <w:rsid w:val="09694018"/>
    <w:rsid w:val="096943A2"/>
    <w:rsid w:val="096A04BC"/>
    <w:rsid w:val="0978425B"/>
    <w:rsid w:val="097A7FD3"/>
    <w:rsid w:val="097E30C6"/>
    <w:rsid w:val="098350DA"/>
    <w:rsid w:val="098552F6"/>
    <w:rsid w:val="09862E1C"/>
    <w:rsid w:val="098A46BA"/>
    <w:rsid w:val="09903C9B"/>
    <w:rsid w:val="0992356F"/>
    <w:rsid w:val="09961DF2"/>
    <w:rsid w:val="09971121"/>
    <w:rsid w:val="09976DD7"/>
    <w:rsid w:val="099F46E4"/>
    <w:rsid w:val="09A27D70"/>
    <w:rsid w:val="09A27DD2"/>
    <w:rsid w:val="09A3577C"/>
    <w:rsid w:val="09AB7857"/>
    <w:rsid w:val="09AD2157"/>
    <w:rsid w:val="09B246C5"/>
    <w:rsid w:val="09B41737"/>
    <w:rsid w:val="09BA69AE"/>
    <w:rsid w:val="09BF1E8A"/>
    <w:rsid w:val="09C24585"/>
    <w:rsid w:val="09C5503E"/>
    <w:rsid w:val="09C83B67"/>
    <w:rsid w:val="09CA2D09"/>
    <w:rsid w:val="09CB58DC"/>
    <w:rsid w:val="09D92F4C"/>
    <w:rsid w:val="09DC51E3"/>
    <w:rsid w:val="09DF2B5F"/>
    <w:rsid w:val="09E55D95"/>
    <w:rsid w:val="09E638BB"/>
    <w:rsid w:val="09E65669"/>
    <w:rsid w:val="09EA7EA0"/>
    <w:rsid w:val="09F45FD8"/>
    <w:rsid w:val="09F558AC"/>
    <w:rsid w:val="09F71D3D"/>
    <w:rsid w:val="09F7383B"/>
    <w:rsid w:val="0A0125D5"/>
    <w:rsid w:val="0A097887"/>
    <w:rsid w:val="0A110938"/>
    <w:rsid w:val="0A1370D9"/>
    <w:rsid w:val="0A1421D6"/>
    <w:rsid w:val="0A163839"/>
    <w:rsid w:val="0A1641A0"/>
    <w:rsid w:val="0A1936AD"/>
    <w:rsid w:val="0A193C90"/>
    <w:rsid w:val="0A204C05"/>
    <w:rsid w:val="0A223F09"/>
    <w:rsid w:val="0A2D34BD"/>
    <w:rsid w:val="0A2E2718"/>
    <w:rsid w:val="0A313AD8"/>
    <w:rsid w:val="0A350E4D"/>
    <w:rsid w:val="0A391C3C"/>
    <w:rsid w:val="0A4157A5"/>
    <w:rsid w:val="0A4371C6"/>
    <w:rsid w:val="0A4535DA"/>
    <w:rsid w:val="0A466107"/>
    <w:rsid w:val="0A481E7F"/>
    <w:rsid w:val="0A486323"/>
    <w:rsid w:val="0A4934A5"/>
    <w:rsid w:val="0A4D588B"/>
    <w:rsid w:val="0A51478C"/>
    <w:rsid w:val="0A516F86"/>
    <w:rsid w:val="0A54684A"/>
    <w:rsid w:val="0A585ED7"/>
    <w:rsid w:val="0A5B6057"/>
    <w:rsid w:val="0A5B6A74"/>
    <w:rsid w:val="0A60541B"/>
    <w:rsid w:val="0A652A31"/>
    <w:rsid w:val="0A6B72A1"/>
    <w:rsid w:val="0A7113D6"/>
    <w:rsid w:val="0A783487"/>
    <w:rsid w:val="0A79472F"/>
    <w:rsid w:val="0A7B04A7"/>
    <w:rsid w:val="0A886720"/>
    <w:rsid w:val="0A8C2619"/>
    <w:rsid w:val="0A8E1F88"/>
    <w:rsid w:val="0A8F5D00"/>
    <w:rsid w:val="0A8F7AAE"/>
    <w:rsid w:val="0A917CCA"/>
    <w:rsid w:val="0A920A74"/>
    <w:rsid w:val="0A9B46A5"/>
    <w:rsid w:val="0A9B6453"/>
    <w:rsid w:val="0A9E5F43"/>
    <w:rsid w:val="0A9E6B3C"/>
    <w:rsid w:val="0AA51080"/>
    <w:rsid w:val="0AAA6DF8"/>
    <w:rsid w:val="0AAC0660"/>
    <w:rsid w:val="0AAC240E"/>
    <w:rsid w:val="0AB05D97"/>
    <w:rsid w:val="0AB17A25"/>
    <w:rsid w:val="0AB3379D"/>
    <w:rsid w:val="0AB45767"/>
    <w:rsid w:val="0AB94700"/>
    <w:rsid w:val="0AB94B2B"/>
    <w:rsid w:val="0ABA33D7"/>
    <w:rsid w:val="0ABB08A3"/>
    <w:rsid w:val="0ABB6AF5"/>
    <w:rsid w:val="0ABC5BC4"/>
    <w:rsid w:val="0AC534D0"/>
    <w:rsid w:val="0AC803D8"/>
    <w:rsid w:val="0ACA26C0"/>
    <w:rsid w:val="0ACC0ADF"/>
    <w:rsid w:val="0AD025A1"/>
    <w:rsid w:val="0AD11E75"/>
    <w:rsid w:val="0AD874CE"/>
    <w:rsid w:val="0AE875D9"/>
    <w:rsid w:val="0AEB09DF"/>
    <w:rsid w:val="0AF049F1"/>
    <w:rsid w:val="0B0203CF"/>
    <w:rsid w:val="0B041370"/>
    <w:rsid w:val="0B076138"/>
    <w:rsid w:val="0B0F734A"/>
    <w:rsid w:val="0B106E41"/>
    <w:rsid w:val="0B1772F5"/>
    <w:rsid w:val="0B1E588D"/>
    <w:rsid w:val="0B272C72"/>
    <w:rsid w:val="0B2B77D7"/>
    <w:rsid w:val="0B2D69D1"/>
    <w:rsid w:val="0B350656"/>
    <w:rsid w:val="0B3B3792"/>
    <w:rsid w:val="0B3D750A"/>
    <w:rsid w:val="0B3F2A3B"/>
    <w:rsid w:val="0B41349E"/>
    <w:rsid w:val="0B48482D"/>
    <w:rsid w:val="0B492039"/>
    <w:rsid w:val="0B495EAF"/>
    <w:rsid w:val="0B4B1C27"/>
    <w:rsid w:val="0B4C599F"/>
    <w:rsid w:val="0B4F22CC"/>
    <w:rsid w:val="0B567914"/>
    <w:rsid w:val="0B5807E8"/>
    <w:rsid w:val="0B5A441B"/>
    <w:rsid w:val="0B61393B"/>
    <w:rsid w:val="0B6902FF"/>
    <w:rsid w:val="0B6F1C37"/>
    <w:rsid w:val="0B707651"/>
    <w:rsid w:val="0B716DAD"/>
    <w:rsid w:val="0B725406"/>
    <w:rsid w:val="0B732F2C"/>
    <w:rsid w:val="0B745622"/>
    <w:rsid w:val="0B753148"/>
    <w:rsid w:val="0B7A075E"/>
    <w:rsid w:val="0B7A69B0"/>
    <w:rsid w:val="0B7D1118"/>
    <w:rsid w:val="0B7D1FFD"/>
    <w:rsid w:val="0B7D2A51"/>
    <w:rsid w:val="0B7F3772"/>
    <w:rsid w:val="0B813DBF"/>
    <w:rsid w:val="0B867103"/>
    <w:rsid w:val="0B884C29"/>
    <w:rsid w:val="0B8C3FEE"/>
    <w:rsid w:val="0B8D0492"/>
    <w:rsid w:val="0B8D2240"/>
    <w:rsid w:val="0B8E420A"/>
    <w:rsid w:val="0B916D10"/>
    <w:rsid w:val="0B923CFA"/>
    <w:rsid w:val="0B9335CE"/>
    <w:rsid w:val="0B95121A"/>
    <w:rsid w:val="0B972584"/>
    <w:rsid w:val="0B9A2BAF"/>
    <w:rsid w:val="0B9B311D"/>
    <w:rsid w:val="0BAB6B6A"/>
    <w:rsid w:val="0BB45FA8"/>
    <w:rsid w:val="0BB86BE8"/>
    <w:rsid w:val="0BC10F57"/>
    <w:rsid w:val="0BC65752"/>
    <w:rsid w:val="0BCC2D9C"/>
    <w:rsid w:val="0BCE4606"/>
    <w:rsid w:val="0BD019FB"/>
    <w:rsid w:val="0BD27893"/>
    <w:rsid w:val="0BD65214"/>
    <w:rsid w:val="0BD77A17"/>
    <w:rsid w:val="0BD936D7"/>
    <w:rsid w:val="0BDA643C"/>
    <w:rsid w:val="0BE300B2"/>
    <w:rsid w:val="0BE8391A"/>
    <w:rsid w:val="0BEA28E9"/>
    <w:rsid w:val="0BF40511"/>
    <w:rsid w:val="0BFA1782"/>
    <w:rsid w:val="0BFA5860"/>
    <w:rsid w:val="0BFD5B8F"/>
    <w:rsid w:val="0BFF4322"/>
    <w:rsid w:val="0C012C2E"/>
    <w:rsid w:val="0C040028"/>
    <w:rsid w:val="0C0544CC"/>
    <w:rsid w:val="0C060244"/>
    <w:rsid w:val="0C0A4EEA"/>
    <w:rsid w:val="0C1464BD"/>
    <w:rsid w:val="0C160487"/>
    <w:rsid w:val="0C1E10EA"/>
    <w:rsid w:val="0C1F4E62"/>
    <w:rsid w:val="0C22570E"/>
    <w:rsid w:val="0C234952"/>
    <w:rsid w:val="0C25691C"/>
    <w:rsid w:val="0C272694"/>
    <w:rsid w:val="0C297D88"/>
    <w:rsid w:val="0C2A5CE1"/>
    <w:rsid w:val="0C2D55E6"/>
    <w:rsid w:val="0C2F1549"/>
    <w:rsid w:val="0C2F7525"/>
    <w:rsid w:val="0C346B5F"/>
    <w:rsid w:val="0C3C7BA1"/>
    <w:rsid w:val="0C3E353A"/>
    <w:rsid w:val="0C41302A"/>
    <w:rsid w:val="0C474D26"/>
    <w:rsid w:val="0C523489"/>
    <w:rsid w:val="0C564D28"/>
    <w:rsid w:val="0C565B7C"/>
    <w:rsid w:val="0C5745FC"/>
    <w:rsid w:val="0C58393C"/>
    <w:rsid w:val="0C594818"/>
    <w:rsid w:val="0C5A3BE3"/>
    <w:rsid w:val="0C5C7E64"/>
    <w:rsid w:val="0C5D26EB"/>
    <w:rsid w:val="0C637445"/>
    <w:rsid w:val="0C670CE3"/>
    <w:rsid w:val="0C6A3495"/>
    <w:rsid w:val="0C6B5591"/>
    <w:rsid w:val="0C6E10CE"/>
    <w:rsid w:val="0C711483"/>
    <w:rsid w:val="0C721436"/>
    <w:rsid w:val="0C78342C"/>
    <w:rsid w:val="0C8108C1"/>
    <w:rsid w:val="0C833643"/>
    <w:rsid w:val="0C896118"/>
    <w:rsid w:val="0C9475FE"/>
    <w:rsid w:val="0C993027"/>
    <w:rsid w:val="0C9A17A2"/>
    <w:rsid w:val="0C9C64B3"/>
    <w:rsid w:val="0C9F66CF"/>
    <w:rsid w:val="0CA43CE5"/>
    <w:rsid w:val="0CA57E42"/>
    <w:rsid w:val="0CAD246E"/>
    <w:rsid w:val="0CB47CA0"/>
    <w:rsid w:val="0CB72688"/>
    <w:rsid w:val="0CBA34AB"/>
    <w:rsid w:val="0CBC05E7"/>
    <w:rsid w:val="0CBE297A"/>
    <w:rsid w:val="0CC003F3"/>
    <w:rsid w:val="0CC47EE3"/>
    <w:rsid w:val="0CCC4FEA"/>
    <w:rsid w:val="0CCE0D62"/>
    <w:rsid w:val="0CD15411"/>
    <w:rsid w:val="0CD36378"/>
    <w:rsid w:val="0CD84608"/>
    <w:rsid w:val="0CDB55F4"/>
    <w:rsid w:val="0CDF2F6F"/>
    <w:rsid w:val="0CE340E1"/>
    <w:rsid w:val="0CE95B9C"/>
    <w:rsid w:val="0CEA5470"/>
    <w:rsid w:val="0CEB1914"/>
    <w:rsid w:val="0CF62067"/>
    <w:rsid w:val="0CF7597B"/>
    <w:rsid w:val="0CF87B8D"/>
    <w:rsid w:val="0D006A41"/>
    <w:rsid w:val="0D0155AD"/>
    <w:rsid w:val="0D046532"/>
    <w:rsid w:val="0D04796C"/>
    <w:rsid w:val="0D054FE7"/>
    <w:rsid w:val="0D0B3D64"/>
    <w:rsid w:val="0D0E40EA"/>
    <w:rsid w:val="0D105600"/>
    <w:rsid w:val="0D1171BF"/>
    <w:rsid w:val="0D1349C7"/>
    <w:rsid w:val="0D163DFE"/>
    <w:rsid w:val="0D191370"/>
    <w:rsid w:val="0D2070E4"/>
    <w:rsid w:val="0D21074B"/>
    <w:rsid w:val="0D210C32"/>
    <w:rsid w:val="0D2A1CCE"/>
    <w:rsid w:val="0D2C5A88"/>
    <w:rsid w:val="0D2D1468"/>
    <w:rsid w:val="0D2F7233"/>
    <w:rsid w:val="0D314EBC"/>
    <w:rsid w:val="0D3224F4"/>
    <w:rsid w:val="0D351AD4"/>
    <w:rsid w:val="0D3F756A"/>
    <w:rsid w:val="0D43693B"/>
    <w:rsid w:val="0D505C1B"/>
    <w:rsid w:val="0D5116CB"/>
    <w:rsid w:val="0D5614C1"/>
    <w:rsid w:val="0D5C636E"/>
    <w:rsid w:val="0D613984"/>
    <w:rsid w:val="0D620146"/>
    <w:rsid w:val="0D662D48"/>
    <w:rsid w:val="0D766D04"/>
    <w:rsid w:val="0D7F10F5"/>
    <w:rsid w:val="0D7F3E0A"/>
    <w:rsid w:val="0D815DD4"/>
    <w:rsid w:val="0D887163"/>
    <w:rsid w:val="0D8E04F1"/>
    <w:rsid w:val="0D9553DC"/>
    <w:rsid w:val="0D9755F8"/>
    <w:rsid w:val="0D9B2F2F"/>
    <w:rsid w:val="0D9C3851"/>
    <w:rsid w:val="0D9F44AC"/>
    <w:rsid w:val="0DA24EE6"/>
    <w:rsid w:val="0DA47D15"/>
    <w:rsid w:val="0DA57405"/>
    <w:rsid w:val="0DA675E9"/>
    <w:rsid w:val="0DA815B3"/>
    <w:rsid w:val="0DBC0BBA"/>
    <w:rsid w:val="0DC02201"/>
    <w:rsid w:val="0DC64F75"/>
    <w:rsid w:val="0DCB0DC9"/>
    <w:rsid w:val="0DCB34F3"/>
    <w:rsid w:val="0DCE0A80"/>
    <w:rsid w:val="0DD4721B"/>
    <w:rsid w:val="0DDA3736"/>
    <w:rsid w:val="0DDD1A0E"/>
    <w:rsid w:val="0DE87C01"/>
    <w:rsid w:val="0DE91262"/>
    <w:rsid w:val="0DE92B43"/>
    <w:rsid w:val="0DEB76F2"/>
    <w:rsid w:val="0DF2282E"/>
    <w:rsid w:val="0DF93BBD"/>
    <w:rsid w:val="0DFA16E3"/>
    <w:rsid w:val="0DFC545B"/>
    <w:rsid w:val="0E0403D6"/>
    <w:rsid w:val="0E0802A4"/>
    <w:rsid w:val="0E097584"/>
    <w:rsid w:val="0E0A245A"/>
    <w:rsid w:val="0E0B48E1"/>
    <w:rsid w:val="0E0D7668"/>
    <w:rsid w:val="0E107158"/>
    <w:rsid w:val="0E147BEB"/>
    <w:rsid w:val="0E1C5AFD"/>
    <w:rsid w:val="0E230C39"/>
    <w:rsid w:val="0E233C8A"/>
    <w:rsid w:val="0E236E8B"/>
    <w:rsid w:val="0E25051F"/>
    <w:rsid w:val="0E2C41EA"/>
    <w:rsid w:val="0E2D3866"/>
    <w:rsid w:val="0E323572"/>
    <w:rsid w:val="0E327913"/>
    <w:rsid w:val="0E394F38"/>
    <w:rsid w:val="0E416412"/>
    <w:rsid w:val="0E44378C"/>
    <w:rsid w:val="0E456E02"/>
    <w:rsid w:val="0E462B7A"/>
    <w:rsid w:val="0E4D215A"/>
    <w:rsid w:val="0E5057A7"/>
    <w:rsid w:val="0E5434E9"/>
    <w:rsid w:val="0E552E8F"/>
    <w:rsid w:val="0E5E6115"/>
    <w:rsid w:val="0E6C44B3"/>
    <w:rsid w:val="0E717262"/>
    <w:rsid w:val="0E7B2823"/>
    <w:rsid w:val="0E7E0566"/>
    <w:rsid w:val="0E807E3A"/>
    <w:rsid w:val="0E846EE8"/>
    <w:rsid w:val="0E883192"/>
    <w:rsid w:val="0E8A2A67"/>
    <w:rsid w:val="0E8C4A31"/>
    <w:rsid w:val="0E8D26F0"/>
    <w:rsid w:val="0E8E59FB"/>
    <w:rsid w:val="0E8F4521"/>
    <w:rsid w:val="0E8F62CF"/>
    <w:rsid w:val="0E941B37"/>
    <w:rsid w:val="0E9B1118"/>
    <w:rsid w:val="0E9B2EC6"/>
    <w:rsid w:val="0E9C09EC"/>
    <w:rsid w:val="0E9C1FC4"/>
    <w:rsid w:val="0EA0228A"/>
    <w:rsid w:val="0EA25974"/>
    <w:rsid w:val="0EA37FCC"/>
    <w:rsid w:val="0EA47F35"/>
    <w:rsid w:val="0EA650A6"/>
    <w:rsid w:val="0EA90FD3"/>
    <w:rsid w:val="0EAA135B"/>
    <w:rsid w:val="0EAA43F7"/>
    <w:rsid w:val="0EAC0C2F"/>
    <w:rsid w:val="0EAC50D3"/>
    <w:rsid w:val="0EAF6971"/>
    <w:rsid w:val="0EB2020F"/>
    <w:rsid w:val="0EB9159E"/>
    <w:rsid w:val="0EC8358F"/>
    <w:rsid w:val="0ECA5069"/>
    <w:rsid w:val="0ECD6DF7"/>
    <w:rsid w:val="0ED172BA"/>
    <w:rsid w:val="0ED33CAE"/>
    <w:rsid w:val="0ED44915"/>
    <w:rsid w:val="0ED6523F"/>
    <w:rsid w:val="0ED85EC8"/>
    <w:rsid w:val="0EDC7E34"/>
    <w:rsid w:val="0EDF273B"/>
    <w:rsid w:val="0EE04D7C"/>
    <w:rsid w:val="0EE859DF"/>
    <w:rsid w:val="0EEC4C1A"/>
    <w:rsid w:val="0EF030B8"/>
    <w:rsid w:val="0EF036D9"/>
    <w:rsid w:val="0EF83E74"/>
    <w:rsid w:val="0EFA4090"/>
    <w:rsid w:val="0EFF0866"/>
    <w:rsid w:val="0F0071CD"/>
    <w:rsid w:val="0F0324C9"/>
    <w:rsid w:val="0F055EC5"/>
    <w:rsid w:val="0F07055B"/>
    <w:rsid w:val="0F0D47B9"/>
    <w:rsid w:val="0F1669F0"/>
    <w:rsid w:val="0F1A028E"/>
    <w:rsid w:val="0F1B7B63"/>
    <w:rsid w:val="0F1F58A5"/>
    <w:rsid w:val="0F1F6403"/>
    <w:rsid w:val="0F225395"/>
    <w:rsid w:val="0F227143"/>
    <w:rsid w:val="0F2328A2"/>
    <w:rsid w:val="0F234EEC"/>
    <w:rsid w:val="0F25717B"/>
    <w:rsid w:val="0F2729AB"/>
    <w:rsid w:val="0F276507"/>
    <w:rsid w:val="0F282FC6"/>
    <w:rsid w:val="0F340C24"/>
    <w:rsid w:val="0F393013"/>
    <w:rsid w:val="0F3B6457"/>
    <w:rsid w:val="0F3E0FFA"/>
    <w:rsid w:val="0F403A6D"/>
    <w:rsid w:val="0F431E96"/>
    <w:rsid w:val="0F44530B"/>
    <w:rsid w:val="0F474DFC"/>
    <w:rsid w:val="0F4C2412"/>
    <w:rsid w:val="0F563291"/>
    <w:rsid w:val="0F566DED"/>
    <w:rsid w:val="0F615EBD"/>
    <w:rsid w:val="0F655282"/>
    <w:rsid w:val="0F6600EA"/>
    <w:rsid w:val="0F661788"/>
    <w:rsid w:val="0F67724C"/>
    <w:rsid w:val="0F694D72"/>
    <w:rsid w:val="0F6C03BE"/>
    <w:rsid w:val="0F6C4862"/>
    <w:rsid w:val="0F713972"/>
    <w:rsid w:val="0F753717"/>
    <w:rsid w:val="0F841BAC"/>
    <w:rsid w:val="0F8D3048"/>
    <w:rsid w:val="0F90525E"/>
    <w:rsid w:val="0F94164E"/>
    <w:rsid w:val="0F946CE8"/>
    <w:rsid w:val="0F955B67"/>
    <w:rsid w:val="0F960BCF"/>
    <w:rsid w:val="0F9811B3"/>
    <w:rsid w:val="0F9C6EF5"/>
    <w:rsid w:val="0F9D6084"/>
    <w:rsid w:val="0FA364D6"/>
    <w:rsid w:val="0FA71E16"/>
    <w:rsid w:val="0FA97864"/>
    <w:rsid w:val="0FAA11A0"/>
    <w:rsid w:val="0FAD21F4"/>
    <w:rsid w:val="0FAF1D62"/>
    <w:rsid w:val="0FB24BD6"/>
    <w:rsid w:val="0FB3423F"/>
    <w:rsid w:val="0FB73D2F"/>
    <w:rsid w:val="0FB979EC"/>
    <w:rsid w:val="0FC14BAE"/>
    <w:rsid w:val="0FCC70AF"/>
    <w:rsid w:val="0FCF7BC5"/>
    <w:rsid w:val="0FD12D30"/>
    <w:rsid w:val="0FD23417"/>
    <w:rsid w:val="0FD4761D"/>
    <w:rsid w:val="0FDA7A1E"/>
    <w:rsid w:val="0FDD270D"/>
    <w:rsid w:val="0FE20680"/>
    <w:rsid w:val="0FE325DA"/>
    <w:rsid w:val="0FE32D76"/>
    <w:rsid w:val="0FEB1C2B"/>
    <w:rsid w:val="0FEB39D9"/>
    <w:rsid w:val="0FEC2234"/>
    <w:rsid w:val="0FED14FF"/>
    <w:rsid w:val="0FF00FEF"/>
    <w:rsid w:val="0FF54858"/>
    <w:rsid w:val="0FF71F4F"/>
    <w:rsid w:val="0FF80AA1"/>
    <w:rsid w:val="0FFE370C"/>
    <w:rsid w:val="10032C56"/>
    <w:rsid w:val="10093E5F"/>
    <w:rsid w:val="100A3D15"/>
    <w:rsid w:val="100B5E29"/>
    <w:rsid w:val="100C65EF"/>
    <w:rsid w:val="10125673"/>
    <w:rsid w:val="10163B8C"/>
    <w:rsid w:val="10196798"/>
    <w:rsid w:val="101A2510"/>
    <w:rsid w:val="101A47A2"/>
    <w:rsid w:val="101D5300"/>
    <w:rsid w:val="101D790A"/>
    <w:rsid w:val="1021389E"/>
    <w:rsid w:val="10277144"/>
    <w:rsid w:val="10285846"/>
    <w:rsid w:val="1034228D"/>
    <w:rsid w:val="1034712E"/>
    <w:rsid w:val="10437371"/>
    <w:rsid w:val="1046727C"/>
    <w:rsid w:val="10495714"/>
    <w:rsid w:val="104A6951"/>
    <w:rsid w:val="104F21BA"/>
    <w:rsid w:val="10563548"/>
    <w:rsid w:val="10595278"/>
    <w:rsid w:val="105C6685"/>
    <w:rsid w:val="10611EED"/>
    <w:rsid w:val="106612B1"/>
    <w:rsid w:val="10684189"/>
    <w:rsid w:val="106C02AC"/>
    <w:rsid w:val="10795489"/>
    <w:rsid w:val="107D438A"/>
    <w:rsid w:val="1081433D"/>
    <w:rsid w:val="10857989"/>
    <w:rsid w:val="1088396D"/>
    <w:rsid w:val="10887273"/>
    <w:rsid w:val="108C6F6A"/>
    <w:rsid w:val="1097710A"/>
    <w:rsid w:val="109B71AD"/>
    <w:rsid w:val="109E630B"/>
    <w:rsid w:val="10A2678D"/>
    <w:rsid w:val="10A26AE5"/>
    <w:rsid w:val="10A5627E"/>
    <w:rsid w:val="10A80370"/>
    <w:rsid w:val="10A87B1C"/>
    <w:rsid w:val="10AA12C2"/>
    <w:rsid w:val="10AA73F0"/>
    <w:rsid w:val="10B14C22"/>
    <w:rsid w:val="10B559C3"/>
    <w:rsid w:val="10B67062"/>
    <w:rsid w:val="10BA0822"/>
    <w:rsid w:val="10BC5375"/>
    <w:rsid w:val="10C1473A"/>
    <w:rsid w:val="10C20BDE"/>
    <w:rsid w:val="10CC55B8"/>
    <w:rsid w:val="10CF6E57"/>
    <w:rsid w:val="10D26947"/>
    <w:rsid w:val="10DA7E57"/>
    <w:rsid w:val="10DD5A17"/>
    <w:rsid w:val="10DE709A"/>
    <w:rsid w:val="10E30B54"/>
    <w:rsid w:val="10E5667A"/>
    <w:rsid w:val="10E723F2"/>
    <w:rsid w:val="10E741A0"/>
    <w:rsid w:val="10E8616A"/>
    <w:rsid w:val="10EA0134"/>
    <w:rsid w:val="10EA5A3E"/>
    <w:rsid w:val="10F127FC"/>
    <w:rsid w:val="10F700A4"/>
    <w:rsid w:val="10FB40F0"/>
    <w:rsid w:val="11056D1C"/>
    <w:rsid w:val="1107785C"/>
    <w:rsid w:val="110A60E1"/>
    <w:rsid w:val="110E719B"/>
    <w:rsid w:val="111D1DBA"/>
    <w:rsid w:val="111E393A"/>
    <w:rsid w:val="111F5FD3"/>
    <w:rsid w:val="11205904"/>
    <w:rsid w:val="11301FEB"/>
    <w:rsid w:val="1131367D"/>
    <w:rsid w:val="11317B11"/>
    <w:rsid w:val="11390774"/>
    <w:rsid w:val="114959E3"/>
    <w:rsid w:val="114B3725"/>
    <w:rsid w:val="114C66F9"/>
    <w:rsid w:val="114E06C3"/>
    <w:rsid w:val="115968A6"/>
    <w:rsid w:val="115D4462"/>
    <w:rsid w:val="11602342"/>
    <w:rsid w:val="11624EBA"/>
    <w:rsid w:val="11653FF7"/>
    <w:rsid w:val="11655D03"/>
    <w:rsid w:val="11675B8E"/>
    <w:rsid w:val="116E2B13"/>
    <w:rsid w:val="11716160"/>
    <w:rsid w:val="11717F0E"/>
    <w:rsid w:val="11745443"/>
    <w:rsid w:val="11755C50"/>
    <w:rsid w:val="11763BCA"/>
    <w:rsid w:val="117A23B8"/>
    <w:rsid w:val="117A3266"/>
    <w:rsid w:val="117D4B05"/>
    <w:rsid w:val="117E0EBF"/>
    <w:rsid w:val="117F087D"/>
    <w:rsid w:val="117F6ACF"/>
    <w:rsid w:val="11877731"/>
    <w:rsid w:val="11897329"/>
    <w:rsid w:val="118D2B4D"/>
    <w:rsid w:val="11903A96"/>
    <w:rsid w:val="11907E25"/>
    <w:rsid w:val="11942413"/>
    <w:rsid w:val="119A7465"/>
    <w:rsid w:val="11A8744E"/>
    <w:rsid w:val="11A90675"/>
    <w:rsid w:val="11AF6F42"/>
    <w:rsid w:val="11B12A00"/>
    <w:rsid w:val="11B76014"/>
    <w:rsid w:val="11BB562D"/>
    <w:rsid w:val="11BB73DB"/>
    <w:rsid w:val="11BD65AA"/>
    <w:rsid w:val="11BF511D"/>
    <w:rsid w:val="11BF5650"/>
    <w:rsid w:val="11C6025A"/>
    <w:rsid w:val="11C646FD"/>
    <w:rsid w:val="11D566EF"/>
    <w:rsid w:val="11DA6ED4"/>
    <w:rsid w:val="11DD1A47"/>
    <w:rsid w:val="11DF131B"/>
    <w:rsid w:val="11E20E0C"/>
    <w:rsid w:val="11E44B84"/>
    <w:rsid w:val="11E46932"/>
    <w:rsid w:val="11E73676"/>
    <w:rsid w:val="11EB2D53"/>
    <w:rsid w:val="11EE77B0"/>
    <w:rsid w:val="11F058CE"/>
    <w:rsid w:val="12062478"/>
    <w:rsid w:val="12062D4C"/>
    <w:rsid w:val="120B0B72"/>
    <w:rsid w:val="120B2110"/>
    <w:rsid w:val="1210136F"/>
    <w:rsid w:val="12105979"/>
    <w:rsid w:val="1212349F"/>
    <w:rsid w:val="12161878"/>
    <w:rsid w:val="12174F59"/>
    <w:rsid w:val="121845DC"/>
    <w:rsid w:val="121B024D"/>
    <w:rsid w:val="12260CF8"/>
    <w:rsid w:val="1226679B"/>
    <w:rsid w:val="122A3CA1"/>
    <w:rsid w:val="122A4C8C"/>
    <w:rsid w:val="122D652B"/>
    <w:rsid w:val="122E0F16"/>
    <w:rsid w:val="12371157"/>
    <w:rsid w:val="123C051C"/>
    <w:rsid w:val="123C49C0"/>
    <w:rsid w:val="12402856"/>
    <w:rsid w:val="12435D4E"/>
    <w:rsid w:val="124547A6"/>
    <w:rsid w:val="1248527F"/>
    <w:rsid w:val="124A4450"/>
    <w:rsid w:val="124E024F"/>
    <w:rsid w:val="124E2C9F"/>
    <w:rsid w:val="124E7371"/>
    <w:rsid w:val="12511942"/>
    <w:rsid w:val="12575356"/>
    <w:rsid w:val="125D0492"/>
    <w:rsid w:val="125E5DDF"/>
    <w:rsid w:val="12617F82"/>
    <w:rsid w:val="12655CC4"/>
    <w:rsid w:val="12687563"/>
    <w:rsid w:val="12695089"/>
    <w:rsid w:val="126A598F"/>
    <w:rsid w:val="126F6B43"/>
    <w:rsid w:val="12744159"/>
    <w:rsid w:val="12771554"/>
    <w:rsid w:val="1279351E"/>
    <w:rsid w:val="127B49B3"/>
    <w:rsid w:val="127C1F91"/>
    <w:rsid w:val="12807CE9"/>
    <w:rsid w:val="12816876"/>
    <w:rsid w:val="12817573"/>
    <w:rsid w:val="12850115"/>
    <w:rsid w:val="128A0854"/>
    <w:rsid w:val="128B3251"/>
    <w:rsid w:val="128B49E3"/>
    <w:rsid w:val="12922832"/>
    <w:rsid w:val="12957C2C"/>
    <w:rsid w:val="12A10CC7"/>
    <w:rsid w:val="12A12A75"/>
    <w:rsid w:val="12A3059B"/>
    <w:rsid w:val="12A32349"/>
    <w:rsid w:val="12A61E39"/>
    <w:rsid w:val="12A738BC"/>
    <w:rsid w:val="12A8795F"/>
    <w:rsid w:val="12AB56A1"/>
    <w:rsid w:val="12AF0CEE"/>
    <w:rsid w:val="12B24C82"/>
    <w:rsid w:val="12B80552"/>
    <w:rsid w:val="12BE1317"/>
    <w:rsid w:val="12BE3627"/>
    <w:rsid w:val="12C10A21"/>
    <w:rsid w:val="12C159CD"/>
    <w:rsid w:val="12C329EB"/>
    <w:rsid w:val="12CB18A0"/>
    <w:rsid w:val="12D123A9"/>
    <w:rsid w:val="12D6271E"/>
    <w:rsid w:val="12D93FBD"/>
    <w:rsid w:val="12DC3AAD"/>
    <w:rsid w:val="12E10D64"/>
    <w:rsid w:val="12E229DB"/>
    <w:rsid w:val="12E27315"/>
    <w:rsid w:val="12E50BB3"/>
    <w:rsid w:val="12E7492B"/>
    <w:rsid w:val="12E96050"/>
    <w:rsid w:val="12EC0194"/>
    <w:rsid w:val="12EE638E"/>
    <w:rsid w:val="12EE6682"/>
    <w:rsid w:val="12EF558E"/>
    <w:rsid w:val="12F11D3F"/>
    <w:rsid w:val="12FD414F"/>
    <w:rsid w:val="13017135"/>
    <w:rsid w:val="130505E2"/>
    <w:rsid w:val="130848A2"/>
    <w:rsid w:val="130B7EEE"/>
    <w:rsid w:val="130D010A"/>
    <w:rsid w:val="130F5C30"/>
    <w:rsid w:val="13175422"/>
    <w:rsid w:val="131B6383"/>
    <w:rsid w:val="13225964"/>
    <w:rsid w:val="1324792E"/>
    <w:rsid w:val="13256AE1"/>
    <w:rsid w:val="132A4EE0"/>
    <w:rsid w:val="13337B71"/>
    <w:rsid w:val="1335620B"/>
    <w:rsid w:val="13390EFF"/>
    <w:rsid w:val="133C45AD"/>
    <w:rsid w:val="1340228E"/>
    <w:rsid w:val="134876CD"/>
    <w:rsid w:val="13491714"/>
    <w:rsid w:val="13533D6F"/>
    <w:rsid w:val="1355211B"/>
    <w:rsid w:val="13564C06"/>
    <w:rsid w:val="135D699C"/>
    <w:rsid w:val="1360648C"/>
    <w:rsid w:val="136441CE"/>
    <w:rsid w:val="136F66CF"/>
    <w:rsid w:val="13747AFB"/>
    <w:rsid w:val="13765CAF"/>
    <w:rsid w:val="1377388D"/>
    <w:rsid w:val="137A0FBB"/>
    <w:rsid w:val="137D703E"/>
    <w:rsid w:val="137F4B64"/>
    <w:rsid w:val="137F7F8D"/>
    <w:rsid w:val="138403CC"/>
    <w:rsid w:val="1384217A"/>
    <w:rsid w:val="13852A4F"/>
    <w:rsid w:val="138C4702"/>
    <w:rsid w:val="1393060F"/>
    <w:rsid w:val="13985C26"/>
    <w:rsid w:val="139C52C2"/>
    <w:rsid w:val="139F6FB4"/>
    <w:rsid w:val="13A94B5D"/>
    <w:rsid w:val="13AA1987"/>
    <w:rsid w:val="13B14F39"/>
    <w:rsid w:val="13B928BB"/>
    <w:rsid w:val="13BA5B9C"/>
    <w:rsid w:val="13BA73A2"/>
    <w:rsid w:val="13BD38DE"/>
    <w:rsid w:val="13BF31B2"/>
    <w:rsid w:val="13C06F2A"/>
    <w:rsid w:val="13C54541"/>
    <w:rsid w:val="13C702B9"/>
    <w:rsid w:val="13C758C7"/>
    <w:rsid w:val="13C94032"/>
    <w:rsid w:val="13CE7899"/>
    <w:rsid w:val="13CF716E"/>
    <w:rsid w:val="13D072EB"/>
    <w:rsid w:val="13D3311E"/>
    <w:rsid w:val="13D36C5E"/>
    <w:rsid w:val="13D50C28"/>
    <w:rsid w:val="13D529D6"/>
    <w:rsid w:val="13D645ED"/>
    <w:rsid w:val="13EB0265"/>
    <w:rsid w:val="13EB044B"/>
    <w:rsid w:val="13EE5682"/>
    <w:rsid w:val="13F2221A"/>
    <w:rsid w:val="13F53078"/>
    <w:rsid w:val="13FA04DA"/>
    <w:rsid w:val="13FB22A7"/>
    <w:rsid w:val="14027543"/>
    <w:rsid w:val="1405783B"/>
    <w:rsid w:val="14067033"/>
    <w:rsid w:val="14093A5A"/>
    <w:rsid w:val="141121D0"/>
    <w:rsid w:val="141259D8"/>
    <w:rsid w:val="14125FD5"/>
    <w:rsid w:val="1414436D"/>
    <w:rsid w:val="14157276"/>
    <w:rsid w:val="14184D82"/>
    <w:rsid w:val="141B23B3"/>
    <w:rsid w:val="14264FE0"/>
    <w:rsid w:val="14305E5E"/>
    <w:rsid w:val="143516C6"/>
    <w:rsid w:val="143C2A55"/>
    <w:rsid w:val="143F19EF"/>
    <w:rsid w:val="143F2545"/>
    <w:rsid w:val="14445DAD"/>
    <w:rsid w:val="14515DD5"/>
    <w:rsid w:val="145558C5"/>
    <w:rsid w:val="145D3813"/>
    <w:rsid w:val="145F6743"/>
    <w:rsid w:val="146124BC"/>
    <w:rsid w:val="1464178C"/>
    <w:rsid w:val="14665D24"/>
    <w:rsid w:val="14691370"/>
    <w:rsid w:val="146E6986"/>
    <w:rsid w:val="14705178"/>
    <w:rsid w:val="14720225"/>
    <w:rsid w:val="14740441"/>
    <w:rsid w:val="147647AC"/>
    <w:rsid w:val="14787805"/>
    <w:rsid w:val="147A068E"/>
    <w:rsid w:val="147C10A3"/>
    <w:rsid w:val="147E16A4"/>
    <w:rsid w:val="147E4C3B"/>
    <w:rsid w:val="14844141"/>
    <w:rsid w:val="148475FE"/>
    <w:rsid w:val="14887A48"/>
    <w:rsid w:val="14891A12"/>
    <w:rsid w:val="148A7C64"/>
    <w:rsid w:val="14907605"/>
    <w:rsid w:val="14922675"/>
    <w:rsid w:val="14940862"/>
    <w:rsid w:val="1495236F"/>
    <w:rsid w:val="149C1746"/>
    <w:rsid w:val="149F3FC7"/>
    <w:rsid w:val="14A33EF0"/>
    <w:rsid w:val="14A421BA"/>
    <w:rsid w:val="14A72BA1"/>
    <w:rsid w:val="14A8633C"/>
    <w:rsid w:val="14A94C3F"/>
    <w:rsid w:val="14AD5701"/>
    <w:rsid w:val="14B7657F"/>
    <w:rsid w:val="14BB376C"/>
    <w:rsid w:val="14BB6070"/>
    <w:rsid w:val="14C32F38"/>
    <w:rsid w:val="14C60F96"/>
    <w:rsid w:val="14CA61A2"/>
    <w:rsid w:val="14D04922"/>
    <w:rsid w:val="14D964F6"/>
    <w:rsid w:val="14DA7B26"/>
    <w:rsid w:val="14DE3B0C"/>
    <w:rsid w:val="14E024AE"/>
    <w:rsid w:val="14E75961"/>
    <w:rsid w:val="14EB7FD7"/>
    <w:rsid w:val="14ED3D4F"/>
    <w:rsid w:val="14EF3F6B"/>
    <w:rsid w:val="14F93C57"/>
    <w:rsid w:val="14FE72F1"/>
    <w:rsid w:val="150007AD"/>
    <w:rsid w:val="15001CD4"/>
    <w:rsid w:val="15003A82"/>
    <w:rsid w:val="150602F9"/>
    <w:rsid w:val="150B7081"/>
    <w:rsid w:val="151A266A"/>
    <w:rsid w:val="152C0D1B"/>
    <w:rsid w:val="15311E8E"/>
    <w:rsid w:val="15397494"/>
    <w:rsid w:val="153E27FD"/>
    <w:rsid w:val="15415E49"/>
    <w:rsid w:val="15420546"/>
    <w:rsid w:val="15496788"/>
    <w:rsid w:val="154A11A2"/>
    <w:rsid w:val="155362A8"/>
    <w:rsid w:val="155F6B7B"/>
    <w:rsid w:val="15610299"/>
    <w:rsid w:val="15634A3C"/>
    <w:rsid w:val="1565422D"/>
    <w:rsid w:val="15657D89"/>
    <w:rsid w:val="156A1844"/>
    <w:rsid w:val="156A4E28"/>
    <w:rsid w:val="156C2F0E"/>
    <w:rsid w:val="156C6330"/>
    <w:rsid w:val="156C736A"/>
    <w:rsid w:val="15747FCD"/>
    <w:rsid w:val="15785C7D"/>
    <w:rsid w:val="157B05CB"/>
    <w:rsid w:val="158B01CB"/>
    <w:rsid w:val="158C3568"/>
    <w:rsid w:val="158F3058"/>
    <w:rsid w:val="158F6B4C"/>
    <w:rsid w:val="1598015F"/>
    <w:rsid w:val="159A4E11"/>
    <w:rsid w:val="159C41BD"/>
    <w:rsid w:val="159D5775"/>
    <w:rsid w:val="15AA7E92"/>
    <w:rsid w:val="15AB3DCB"/>
    <w:rsid w:val="15B30AF5"/>
    <w:rsid w:val="15B34F99"/>
    <w:rsid w:val="15B4486D"/>
    <w:rsid w:val="15B80F73"/>
    <w:rsid w:val="15B8610B"/>
    <w:rsid w:val="15B900D5"/>
    <w:rsid w:val="15BB5BFB"/>
    <w:rsid w:val="15BD1974"/>
    <w:rsid w:val="15BE5DBA"/>
    <w:rsid w:val="15C54CCC"/>
    <w:rsid w:val="15C727F2"/>
    <w:rsid w:val="15CA4090"/>
    <w:rsid w:val="15CE34A9"/>
    <w:rsid w:val="15D078F9"/>
    <w:rsid w:val="15D368F0"/>
    <w:rsid w:val="15D82443"/>
    <w:rsid w:val="15D84B59"/>
    <w:rsid w:val="15DA4FDE"/>
    <w:rsid w:val="15E20561"/>
    <w:rsid w:val="15EA028F"/>
    <w:rsid w:val="15EE7D7F"/>
    <w:rsid w:val="15F5657C"/>
    <w:rsid w:val="15FD7FC2"/>
    <w:rsid w:val="16013C95"/>
    <w:rsid w:val="16027CCE"/>
    <w:rsid w:val="1609193C"/>
    <w:rsid w:val="16092E0B"/>
    <w:rsid w:val="160C6659"/>
    <w:rsid w:val="161812A0"/>
    <w:rsid w:val="161A161D"/>
    <w:rsid w:val="1624298F"/>
    <w:rsid w:val="16337E88"/>
    <w:rsid w:val="163467AB"/>
    <w:rsid w:val="1635634E"/>
    <w:rsid w:val="163836F0"/>
    <w:rsid w:val="163A1216"/>
    <w:rsid w:val="16421E79"/>
    <w:rsid w:val="1642631D"/>
    <w:rsid w:val="16461969"/>
    <w:rsid w:val="164F7907"/>
    <w:rsid w:val="16500A3A"/>
    <w:rsid w:val="1651030E"/>
    <w:rsid w:val="165247B2"/>
    <w:rsid w:val="165332ED"/>
    <w:rsid w:val="16551036"/>
    <w:rsid w:val="16556050"/>
    <w:rsid w:val="165D0546"/>
    <w:rsid w:val="165F0C7D"/>
    <w:rsid w:val="1662593B"/>
    <w:rsid w:val="166C2400"/>
    <w:rsid w:val="16713218"/>
    <w:rsid w:val="167158DD"/>
    <w:rsid w:val="1675224E"/>
    <w:rsid w:val="16762781"/>
    <w:rsid w:val="16763D5D"/>
    <w:rsid w:val="167A7865"/>
    <w:rsid w:val="16802555"/>
    <w:rsid w:val="16816E45"/>
    <w:rsid w:val="16897918"/>
    <w:rsid w:val="168E50BE"/>
    <w:rsid w:val="16925C6C"/>
    <w:rsid w:val="169705B3"/>
    <w:rsid w:val="169721C5"/>
    <w:rsid w:val="1699433B"/>
    <w:rsid w:val="169A4F09"/>
    <w:rsid w:val="169E17A5"/>
    <w:rsid w:val="169E2267"/>
    <w:rsid w:val="169F1079"/>
    <w:rsid w:val="16AA657A"/>
    <w:rsid w:val="16B82158"/>
    <w:rsid w:val="16BA0CC6"/>
    <w:rsid w:val="16BA2357"/>
    <w:rsid w:val="16BA6D54"/>
    <w:rsid w:val="16BF6342"/>
    <w:rsid w:val="16C17241"/>
    <w:rsid w:val="16C46D32"/>
    <w:rsid w:val="16CB00C0"/>
    <w:rsid w:val="16D50F3F"/>
    <w:rsid w:val="16E3540A"/>
    <w:rsid w:val="16E36E88"/>
    <w:rsid w:val="16E6314C"/>
    <w:rsid w:val="16E80C03"/>
    <w:rsid w:val="16E80C72"/>
    <w:rsid w:val="16E86EC4"/>
    <w:rsid w:val="16ED4E4B"/>
    <w:rsid w:val="16ED6288"/>
    <w:rsid w:val="16EF3DAF"/>
    <w:rsid w:val="16F05D79"/>
    <w:rsid w:val="16F5338F"/>
    <w:rsid w:val="16F94C2D"/>
    <w:rsid w:val="16FB37A1"/>
    <w:rsid w:val="17005FBC"/>
    <w:rsid w:val="170830C2"/>
    <w:rsid w:val="170931F7"/>
    <w:rsid w:val="17095FF8"/>
    <w:rsid w:val="170A0FE7"/>
    <w:rsid w:val="170A6E3A"/>
    <w:rsid w:val="17106B19"/>
    <w:rsid w:val="17127A9D"/>
    <w:rsid w:val="17136858"/>
    <w:rsid w:val="171B2DF6"/>
    <w:rsid w:val="171B44E8"/>
    <w:rsid w:val="171C6B6E"/>
    <w:rsid w:val="171F74AF"/>
    <w:rsid w:val="17231CAA"/>
    <w:rsid w:val="17233A58"/>
    <w:rsid w:val="172779EC"/>
    <w:rsid w:val="172D2B29"/>
    <w:rsid w:val="172D7B56"/>
    <w:rsid w:val="1732013F"/>
    <w:rsid w:val="17321EED"/>
    <w:rsid w:val="17326391"/>
    <w:rsid w:val="17367C2F"/>
    <w:rsid w:val="173914CE"/>
    <w:rsid w:val="173E02D1"/>
    <w:rsid w:val="17471E3D"/>
    <w:rsid w:val="174C6CC5"/>
    <w:rsid w:val="174E22B4"/>
    <w:rsid w:val="174E65CF"/>
    <w:rsid w:val="174F37A5"/>
    <w:rsid w:val="174F484D"/>
    <w:rsid w:val="17517CD2"/>
    <w:rsid w:val="175207E1"/>
    <w:rsid w:val="17546308"/>
    <w:rsid w:val="17591B70"/>
    <w:rsid w:val="175D340E"/>
    <w:rsid w:val="175D3789"/>
    <w:rsid w:val="176232AC"/>
    <w:rsid w:val="1767428D"/>
    <w:rsid w:val="17681DB3"/>
    <w:rsid w:val="176F3141"/>
    <w:rsid w:val="17733737"/>
    <w:rsid w:val="17766131"/>
    <w:rsid w:val="17795D6E"/>
    <w:rsid w:val="177C760C"/>
    <w:rsid w:val="177C7D54"/>
    <w:rsid w:val="178766DD"/>
    <w:rsid w:val="179606CE"/>
    <w:rsid w:val="17A0779F"/>
    <w:rsid w:val="17A121CE"/>
    <w:rsid w:val="17A27073"/>
    <w:rsid w:val="17A54DB5"/>
    <w:rsid w:val="17AA5F28"/>
    <w:rsid w:val="17AC572B"/>
    <w:rsid w:val="17B15508"/>
    <w:rsid w:val="17BB1EE3"/>
    <w:rsid w:val="17BB7A49"/>
    <w:rsid w:val="17BD20FF"/>
    <w:rsid w:val="17C0574B"/>
    <w:rsid w:val="17C23271"/>
    <w:rsid w:val="17C56ED9"/>
    <w:rsid w:val="17C842F0"/>
    <w:rsid w:val="17C90C6C"/>
    <w:rsid w:val="17CA65CA"/>
    <w:rsid w:val="17CD1C16"/>
    <w:rsid w:val="17D252BA"/>
    <w:rsid w:val="17D44B46"/>
    <w:rsid w:val="17DB07D7"/>
    <w:rsid w:val="17E11F7C"/>
    <w:rsid w:val="17E12730"/>
    <w:rsid w:val="17E64A48"/>
    <w:rsid w:val="17EC1E80"/>
    <w:rsid w:val="17F3572F"/>
    <w:rsid w:val="17F84EE5"/>
    <w:rsid w:val="17FB49D5"/>
    <w:rsid w:val="18041ADC"/>
    <w:rsid w:val="180D7409"/>
    <w:rsid w:val="181635BD"/>
    <w:rsid w:val="181B6E25"/>
    <w:rsid w:val="181C4522"/>
    <w:rsid w:val="181F06C4"/>
    <w:rsid w:val="182671F9"/>
    <w:rsid w:val="1828157B"/>
    <w:rsid w:val="182A0E16"/>
    <w:rsid w:val="18300B23"/>
    <w:rsid w:val="183028D1"/>
    <w:rsid w:val="183103F7"/>
    <w:rsid w:val="18324601"/>
    <w:rsid w:val="18363096"/>
    <w:rsid w:val="183A374F"/>
    <w:rsid w:val="183D0B4A"/>
    <w:rsid w:val="183D3DFB"/>
    <w:rsid w:val="183F2B14"/>
    <w:rsid w:val="18420856"/>
    <w:rsid w:val="1844637C"/>
    <w:rsid w:val="185248EA"/>
    <w:rsid w:val="18526BEF"/>
    <w:rsid w:val="18552337"/>
    <w:rsid w:val="18553011"/>
    <w:rsid w:val="185C1918"/>
    <w:rsid w:val="185E5ACA"/>
    <w:rsid w:val="185F31B6"/>
    <w:rsid w:val="18631508"/>
    <w:rsid w:val="186325DA"/>
    <w:rsid w:val="18664544"/>
    <w:rsid w:val="186A3A73"/>
    <w:rsid w:val="186B4724"/>
    <w:rsid w:val="186F6C45"/>
    <w:rsid w:val="18707171"/>
    <w:rsid w:val="187529D9"/>
    <w:rsid w:val="1876405C"/>
    <w:rsid w:val="18772B6E"/>
    <w:rsid w:val="187C3D68"/>
    <w:rsid w:val="187D53EA"/>
    <w:rsid w:val="187F1162"/>
    <w:rsid w:val="187F25AB"/>
    <w:rsid w:val="18820C52"/>
    <w:rsid w:val="18890233"/>
    <w:rsid w:val="188B3FAB"/>
    <w:rsid w:val="188D1AD1"/>
    <w:rsid w:val="188D3644"/>
    <w:rsid w:val="18910E95"/>
    <w:rsid w:val="18932E60"/>
    <w:rsid w:val="1896721E"/>
    <w:rsid w:val="18974080"/>
    <w:rsid w:val="18A312F5"/>
    <w:rsid w:val="18A516D5"/>
    <w:rsid w:val="18AD3F21"/>
    <w:rsid w:val="18AE5C76"/>
    <w:rsid w:val="18AF792F"/>
    <w:rsid w:val="18B232E6"/>
    <w:rsid w:val="18BA03EC"/>
    <w:rsid w:val="18BA4890"/>
    <w:rsid w:val="18BB50D7"/>
    <w:rsid w:val="18BE612E"/>
    <w:rsid w:val="18C354F3"/>
    <w:rsid w:val="18C72641"/>
    <w:rsid w:val="18C9062F"/>
    <w:rsid w:val="18CB43A7"/>
    <w:rsid w:val="18D019BE"/>
    <w:rsid w:val="18DA283C"/>
    <w:rsid w:val="18DD4AFC"/>
    <w:rsid w:val="18DE66DB"/>
    <w:rsid w:val="18EB4A4A"/>
    <w:rsid w:val="18F97584"/>
    <w:rsid w:val="18FF04F5"/>
    <w:rsid w:val="190873AA"/>
    <w:rsid w:val="190F698A"/>
    <w:rsid w:val="19105CD2"/>
    <w:rsid w:val="191277F1"/>
    <w:rsid w:val="19133A6B"/>
    <w:rsid w:val="19137AFC"/>
    <w:rsid w:val="191E4E1F"/>
    <w:rsid w:val="191F7A20"/>
    <w:rsid w:val="1923392E"/>
    <w:rsid w:val="193227AD"/>
    <w:rsid w:val="193C0D06"/>
    <w:rsid w:val="193C2C2C"/>
    <w:rsid w:val="19432610"/>
    <w:rsid w:val="19434886"/>
    <w:rsid w:val="194523AC"/>
    <w:rsid w:val="19454490"/>
    <w:rsid w:val="19481E9C"/>
    <w:rsid w:val="194B373A"/>
    <w:rsid w:val="194D74B2"/>
    <w:rsid w:val="194F40A7"/>
    <w:rsid w:val="19501553"/>
    <w:rsid w:val="19527A91"/>
    <w:rsid w:val="195C14A3"/>
    <w:rsid w:val="195C2E44"/>
    <w:rsid w:val="195C76F5"/>
    <w:rsid w:val="195E5D11"/>
    <w:rsid w:val="19632832"/>
    <w:rsid w:val="196640D0"/>
    <w:rsid w:val="19683FBD"/>
    <w:rsid w:val="196D0457"/>
    <w:rsid w:val="19711E7D"/>
    <w:rsid w:val="19720CC7"/>
    <w:rsid w:val="19744A3F"/>
    <w:rsid w:val="19792055"/>
    <w:rsid w:val="1981715C"/>
    <w:rsid w:val="1987050A"/>
    <w:rsid w:val="198804EA"/>
    <w:rsid w:val="198D0ACD"/>
    <w:rsid w:val="198F77DE"/>
    <w:rsid w:val="19936AE1"/>
    <w:rsid w:val="199450E1"/>
    <w:rsid w:val="199E28B1"/>
    <w:rsid w:val="199F407E"/>
    <w:rsid w:val="19A846E9"/>
    <w:rsid w:val="19AA66B3"/>
    <w:rsid w:val="19AD1CFF"/>
    <w:rsid w:val="19AF1F1B"/>
    <w:rsid w:val="19B0288E"/>
    <w:rsid w:val="19B1359D"/>
    <w:rsid w:val="19B4308D"/>
    <w:rsid w:val="19BB4E03"/>
    <w:rsid w:val="19BD0194"/>
    <w:rsid w:val="19BD20EF"/>
    <w:rsid w:val="19C20277"/>
    <w:rsid w:val="19C239FC"/>
    <w:rsid w:val="19C71013"/>
    <w:rsid w:val="19C93117"/>
    <w:rsid w:val="19CA28B1"/>
    <w:rsid w:val="19CC487B"/>
    <w:rsid w:val="19D11E91"/>
    <w:rsid w:val="19D35C0A"/>
    <w:rsid w:val="19D83220"/>
    <w:rsid w:val="19D92807"/>
    <w:rsid w:val="19DC6B34"/>
    <w:rsid w:val="19E41BC5"/>
    <w:rsid w:val="19EE2A43"/>
    <w:rsid w:val="19F16090"/>
    <w:rsid w:val="19F17E3E"/>
    <w:rsid w:val="19F8741E"/>
    <w:rsid w:val="19FE2289"/>
    <w:rsid w:val="1A056B96"/>
    <w:rsid w:val="1A0610F7"/>
    <w:rsid w:val="1A0810A1"/>
    <w:rsid w:val="1A0E09F0"/>
    <w:rsid w:val="1A0F29BA"/>
    <w:rsid w:val="1A18186E"/>
    <w:rsid w:val="1A1C4B95"/>
    <w:rsid w:val="1A1D0C33"/>
    <w:rsid w:val="1A1E30A1"/>
    <w:rsid w:val="1A2033FC"/>
    <w:rsid w:val="1A2D037C"/>
    <w:rsid w:val="1A3117A0"/>
    <w:rsid w:val="1A322050"/>
    <w:rsid w:val="1A353EDD"/>
    <w:rsid w:val="1A3A7A37"/>
    <w:rsid w:val="1A3D3083"/>
    <w:rsid w:val="1A4274FB"/>
    <w:rsid w:val="1A4B3850"/>
    <w:rsid w:val="1A4E5290"/>
    <w:rsid w:val="1A5227F2"/>
    <w:rsid w:val="1A550A92"/>
    <w:rsid w:val="1A55661F"/>
    <w:rsid w:val="1A560974"/>
    <w:rsid w:val="1A5D54D3"/>
    <w:rsid w:val="1A6041E5"/>
    <w:rsid w:val="1A66082C"/>
    <w:rsid w:val="1A6E5932"/>
    <w:rsid w:val="1A736AA5"/>
    <w:rsid w:val="1A7858C2"/>
    <w:rsid w:val="1A7867B1"/>
    <w:rsid w:val="1A791AAC"/>
    <w:rsid w:val="1A82318C"/>
    <w:rsid w:val="1A8C3D7A"/>
    <w:rsid w:val="1A930EF5"/>
    <w:rsid w:val="1A944491"/>
    <w:rsid w:val="1AA72BF2"/>
    <w:rsid w:val="1AA90718"/>
    <w:rsid w:val="1AAB4227"/>
    <w:rsid w:val="1AB01A95"/>
    <w:rsid w:val="1AB01AA7"/>
    <w:rsid w:val="1AB1581F"/>
    <w:rsid w:val="1AC6751C"/>
    <w:rsid w:val="1ACB4B33"/>
    <w:rsid w:val="1AD4461A"/>
    <w:rsid w:val="1AD559B1"/>
    <w:rsid w:val="1ADE04EB"/>
    <w:rsid w:val="1AE16104"/>
    <w:rsid w:val="1AE17EB2"/>
    <w:rsid w:val="1AE6371B"/>
    <w:rsid w:val="1AE71241"/>
    <w:rsid w:val="1AE87637"/>
    <w:rsid w:val="1AEC7D74"/>
    <w:rsid w:val="1AED2CFB"/>
    <w:rsid w:val="1AED3AD7"/>
    <w:rsid w:val="1AEF22EA"/>
    <w:rsid w:val="1AF614CE"/>
    <w:rsid w:val="1AF751FA"/>
    <w:rsid w:val="1AFA2E3B"/>
    <w:rsid w:val="1AFA7963"/>
    <w:rsid w:val="1AFF22CF"/>
    <w:rsid w:val="1B015550"/>
    <w:rsid w:val="1B02417C"/>
    <w:rsid w:val="1B0342CC"/>
    <w:rsid w:val="1B0A7238"/>
    <w:rsid w:val="1B0D0CA7"/>
    <w:rsid w:val="1B0D6EF9"/>
    <w:rsid w:val="1B166C1F"/>
    <w:rsid w:val="1B180D43"/>
    <w:rsid w:val="1B181539"/>
    <w:rsid w:val="1B1F1F7C"/>
    <w:rsid w:val="1B2630A8"/>
    <w:rsid w:val="1B266B1D"/>
    <w:rsid w:val="1B2758D9"/>
    <w:rsid w:val="1B291859"/>
    <w:rsid w:val="1B2D1349"/>
    <w:rsid w:val="1B414DF5"/>
    <w:rsid w:val="1B431858"/>
    <w:rsid w:val="1B4641B9"/>
    <w:rsid w:val="1B496972"/>
    <w:rsid w:val="1B4E4189"/>
    <w:rsid w:val="1B503372"/>
    <w:rsid w:val="1B504CF3"/>
    <w:rsid w:val="1B520DB0"/>
    <w:rsid w:val="1B523B3A"/>
    <w:rsid w:val="1B5E1503"/>
    <w:rsid w:val="1B601B24"/>
    <w:rsid w:val="1B624E40"/>
    <w:rsid w:val="1B666609"/>
    <w:rsid w:val="1B6B1E72"/>
    <w:rsid w:val="1B7A3E63"/>
    <w:rsid w:val="1B7B693F"/>
    <w:rsid w:val="1B7F5867"/>
    <w:rsid w:val="1B8076CB"/>
    <w:rsid w:val="1B83540D"/>
    <w:rsid w:val="1B84117A"/>
    <w:rsid w:val="1B8847D2"/>
    <w:rsid w:val="1B8F790E"/>
    <w:rsid w:val="1B921801"/>
    <w:rsid w:val="1B96529F"/>
    <w:rsid w:val="1B974A15"/>
    <w:rsid w:val="1B9A62B3"/>
    <w:rsid w:val="1B9B4505"/>
    <w:rsid w:val="1B9C66D9"/>
    <w:rsid w:val="1B9C7BA1"/>
    <w:rsid w:val="1BA17641"/>
    <w:rsid w:val="1BA535D6"/>
    <w:rsid w:val="1BA55384"/>
    <w:rsid w:val="1BAA706E"/>
    <w:rsid w:val="1BAD5FE6"/>
    <w:rsid w:val="1BAF6202"/>
    <w:rsid w:val="1BB05AD7"/>
    <w:rsid w:val="1BB13D28"/>
    <w:rsid w:val="1BB178DA"/>
    <w:rsid w:val="1BB235FD"/>
    <w:rsid w:val="1BB45F46"/>
    <w:rsid w:val="1BB90E2F"/>
    <w:rsid w:val="1BBB0703"/>
    <w:rsid w:val="1BBC447B"/>
    <w:rsid w:val="1BC31CAE"/>
    <w:rsid w:val="1BC752FA"/>
    <w:rsid w:val="1BC84AFD"/>
    <w:rsid w:val="1BD47A17"/>
    <w:rsid w:val="1BD626CF"/>
    <w:rsid w:val="1BDC0D42"/>
    <w:rsid w:val="1BDE4AC9"/>
    <w:rsid w:val="1BE44AFB"/>
    <w:rsid w:val="1BE51C24"/>
    <w:rsid w:val="1BE539D2"/>
    <w:rsid w:val="1BF0018A"/>
    <w:rsid w:val="1BF00B82"/>
    <w:rsid w:val="1BF63E31"/>
    <w:rsid w:val="1BFB4FA4"/>
    <w:rsid w:val="1BFC3514"/>
    <w:rsid w:val="1BFD0D1C"/>
    <w:rsid w:val="1C024584"/>
    <w:rsid w:val="1C0302FC"/>
    <w:rsid w:val="1C071B9A"/>
    <w:rsid w:val="1C077DEC"/>
    <w:rsid w:val="1C087058"/>
    <w:rsid w:val="1C0A3439"/>
    <w:rsid w:val="1C0A7558"/>
    <w:rsid w:val="1C0B09D9"/>
    <w:rsid w:val="1C0C5403"/>
    <w:rsid w:val="1C0E2F29"/>
    <w:rsid w:val="1C0F4EF3"/>
    <w:rsid w:val="1C230AC0"/>
    <w:rsid w:val="1C236F49"/>
    <w:rsid w:val="1C2508AD"/>
    <w:rsid w:val="1C274C78"/>
    <w:rsid w:val="1C346708"/>
    <w:rsid w:val="1C35495A"/>
    <w:rsid w:val="1C36163E"/>
    <w:rsid w:val="1C362480"/>
    <w:rsid w:val="1C392C76"/>
    <w:rsid w:val="1C3E30E2"/>
    <w:rsid w:val="1C4D1647"/>
    <w:rsid w:val="1C513749"/>
    <w:rsid w:val="1C5652EB"/>
    <w:rsid w:val="1C5B7D38"/>
    <w:rsid w:val="1C6012AB"/>
    <w:rsid w:val="1C633A83"/>
    <w:rsid w:val="1C663253"/>
    <w:rsid w:val="1C672BA1"/>
    <w:rsid w:val="1C684366"/>
    <w:rsid w:val="1C6C7C4F"/>
    <w:rsid w:val="1C71170A"/>
    <w:rsid w:val="1C735482"/>
    <w:rsid w:val="1C746570"/>
    <w:rsid w:val="1C7D1E5D"/>
    <w:rsid w:val="1C7F3E11"/>
    <w:rsid w:val="1C856F63"/>
    <w:rsid w:val="1C870B32"/>
    <w:rsid w:val="1C8D6EFF"/>
    <w:rsid w:val="1C9176B6"/>
    <w:rsid w:val="1C962F1E"/>
    <w:rsid w:val="1C9A0C60"/>
    <w:rsid w:val="1C9B22E3"/>
    <w:rsid w:val="1C9C509D"/>
    <w:rsid w:val="1C9F23C3"/>
    <w:rsid w:val="1CA619C0"/>
    <w:rsid w:val="1CB33AD0"/>
    <w:rsid w:val="1CB810E7"/>
    <w:rsid w:val="1CBC0DFD"/>
    <w:rsid w:val="1CBD66FD"/>
    <w:rsid w:val="1CBF06C7"/>
    <w:rsid w:val="1CCC4B92"/>
    <w:rsid w:val="1CCC7285"/>
    <w:rsid w:val="1CD221A8"/>
    <w:rsid w:val="1CD24DB9"/>
    <w:rsid w:val="1CD35AD5"/>
    <w:rsid w:val="1CD37CCF"/>
    <w:rsid w:val="1CD6640E"/>
    <w:rsid w:val="1CD75A11"/>
    <w:rsid w:val="1CDB57B1"/>
    <w:rsid w:val="1CDC4DD5"/>
    <w:rsid w:val="1CE4012E"/>
    <w:rsid w:val="1CE617B0"/>
    <w:rsid w:val="1CF059C8"/>
    <w:rsid w:val="1CF06AD2"/>
    <w:rsid w:val="1CF33ECD"/>
    <w:rsid w:val="1CF57C45"/>
    <w:rsid w:val="1CF85987"/>
    <w:rsid w:val="1CFC4AC2"/>
    <w:rsid w:val="1CFC5631"/>
    <w:rsid w:val="1D0165EA"/>
    <w:rsid w:val="1D083FC4"/>
    <w:rsid w:val="1D085BCA"/>
    <w:rsid w:val="1D091942"/>
    <w:rsid w:val="1D0B56BA"/>
    <w:rsid w:val="1D0D024B"/>
    <w:rsid w:val="1D0D74F4"/>
    <w:rsid w:val="1D18671F"/>
    <w:rsid w:val="1D1C3424"/>
    <w:rsid w:val="1D1D0F4A"/>
    <w:rsid w:val="1D1E761B"/>
    <w:rsid w:val="1D24052A"/>
    <w:rsid w:val="1D3061C4"/>
    <w:rsid w:val="1D394137"/>
    <w:rsid w:val="1D3A5FA0"/>
    <w:rsid w:val="1D497F91"/>
    <w:rsid w:val="1D4A2597"/>
    <w:rsid w:val="1D4C05FD"/>
    <w:rsid w:val="1D547061"/>
    <w:rsid w:val="1D593A28"/>
    <w:rsid w:val="1D660B43"/>
    <w:rsid w:val="1D666D95"/>
    <w:rsid w:val="1D691B85"/>
    <w:rsid w:val="1D6A0633"/>
    <w:rsid w:val="1D6E5B4D"/>
    <w:rsid w:val="1D6F3E9B"/>
    <w:rsid w:val="1D6F5C49"/>
    <w:rsid w:val="1D70551D"/>
    <w:rsid w:val="1D7976F2"/>
    <w:rsid w:val="1D7E40DE"/>
    <w:rsid w:val="1D814B43"/>
    <w:rsid w:val="1D8334A3"/>
    <w:rsid w:val="1D84721B"/>
    <w:rsid w:val="1D8A2A83"/>
    <w:rsid w:val="1D9456B0"/>
    <w:rsid w:val="1D970E98"/>
    <w:rsid w:val="1D9751A0"/>
    <w:rsid w:val="1D992CC6"/>
    <w:rsid w:val="1D9D6FF0"/>
    <w:rsid w:val="1DA23161"/>
    <w:rsid w:val="1DA43419"/>
    <w:rsid w:val="1DA653E3"/>
    <w:rsid w:val="1DA67191"/>
    <w:rsid w:val="1DAD4086"/>
    <w:rsid w:val="1DBC17A3"/>
    <w:rsid w:val="1DC00253"/>
    <w:rsid w:val="1DC31AF1"/>
    <w:rsid w:val="1DC613A8"/>
    <w:rsid w:val="1DCA2E80"/>
    <w:rsid w:val="1DCB797C"/>
    <w:rsid w:val="1DCF0496"/>
    <w:rsid w:val="1DD11428"/>
    <w:rsid w:val="1DD2442A"/>
    <w:rsid w:val="1DD261D8"/>
    <w:rsid w:val="1DDC3BC9"/>
    <w:rsid w:val="1DDC7057"/>
    <w:rsid w:val="1DDD4965"/>
    <w:rsid w:val="1DEB32E2"/>
    <w:rsid w:val="1DF0665E"/>
    <w:rsid w:val="1DF31440"/>
    <w:rsid w:val="1DF443A0"/>
    <w:rsid w:val="1DF64F4E"/>
    <w:rsid w:val="1DFC5003"/>
    <w:rsid w:val="1DFE0D7B"/>
    <w:rsid w:val="1E021388"/>
    <w:rsid w:val="1E05210A"/>
    <w:rsid w:val="1E064D37"/>
    <w:rsid w:val="1E070F1C"/>
    <w:rsid w:val="1E0C13CE"/>
    <w:rsid w:val="1E0C16EA"/>
    <w:rsid w:val="1E0D5462"/>
    <w:rsid w:val="1E153835"/>
    <w:rsid w:val="1E1A74EE"/>
    <w:rsid w:val="1E1C7163"/>
    <w:rsid w:val="1E206F43"/>
    <w:rsid w:val="1E217283"/>
    <w:rsid w:val="1E262080"/>
    <w:rsid w:val="1E2F5F0B"/>
    <w:rsid w:val="1E334B96"/>
    <w:rsid w:val="1E3A0F98"/>
    <w:rsid w:val="1E3E386E"/>
    <w:rsid w:val="1E3E73CA"/>
    <w:rsid w:val="1E3F65B7"/>
    <w:rsid w:val="1E401394"/>
    <w:rsid w:val="1E4075E6"/>
    <w:rsid w:val="1E472722"/>
    <w:rsid w:val="1E481581"/>
    <w:rsid w:val="1E5310C7"/>
    <w:rsid w:val="1E531B84"/>
    <w:rsid w:val="1E544E3F"/>
    <w:rsid w:val="1E550591"/>
    <w:rsid w:val="1E560BB7"/>
    <w:rsid w:val="1E5E181A"/>
    <w:rsid w:val="1E635082"/>
    <w:rsid w:val="1E65417D"/>
    <w:rsid w:val="1E696B3C"/>
    <w:rsid w:val="1E6C025F"/>
    <w:rsid w:val="1E6D40F6"/>
    <w:rsid w:val="1E6F1C79"/>
    <w:rsid w:val="1E7159F1"/>
    <w:rsid w:val="1E777C8C"/>
    <w:rsid w:val="1E7B23CC"/>
    <w:rsid w:val="1E7D4396"/>
    <w:rsid w:val="1E803E86"/>
    <w:rsid w:val="1E85149C"/>
    <w:rsid w:val="1E8817A6"/>
    <w:rsid w:val="1E8B21E1"/>
    <w:rsid w:val="1E8F5E77"/>
    <w:rsid w:val="1E917E41"/>
    <w:rsid w:val="1E9516DF"/>
    <w:rsid w:val="1E9A3804"/>
    <w:rsid w:val="1E9A4F8A"/>
    <w:rsid w:val="1E9B2A6E"/>
    <w:rsid w:val="1E9D67E6"/>
    <w:rsid w:val="1E9F255E"/>
    <w:rsid w:val="1EA90CE7"/>
    <w:rsid w:val="1EAA4A5F"/>
    <w:rsid w:val="1EAF2075"/>
    <w:rsid w:val="1EB31F48"/>
    <w:rsid w:val="1EB42688"/>
    <w:rsid w:val="1EBA7398"/>
    <w:rsid w:val="1EBD0C36"/>
    <w:rsid w:val="1EBD29E4"/>
    <w:rsid w:val="1EC45B21"/>
    <w:rsid w:val="1EC91389"/>
    <w:rsid w:val="1ECB3353"/>
    <w:rsid w:val="1ECC13EB"/>
    <w:rsid w:val="1ECC4FD4"/>
    <w:rsid w:val="1ED31B59"/>
    <w:rsid w:val="1EE53CE9"/>
    <w:rsid w:val="1EE75CB3"/>
    <w:rsid w:val="1EF67CA4"/>
    <w:rsid w:val="1EFD7285"/>
    <w:rsid w:val="1F107FBA"/>
    <w:rsid w:val="1F12681D"/>
    <w:rsid w:val="1F1C384C"/>
    <w:rsid w:val="1F223B52"/>
    <w:rsid w:val="1F262338"/>
    <w:rsid w:val="1F264A2D"/>
    <w:rsid w:val="1F285C5C"/>
    <w:rsid w:val="1F290E1E"/>
    <w:rsid w:val="1F291E28"/>
    <w:rsid w:val="1F295BE6"/>
    <w:rsid w:val="1F2C36C6"/>
    <w:rsid w:val="1F31349D"/>
    <w:rsid w:val="1F334A54"/>
    <w:rsid w:val="1F345CF6"/>
    <w:rsid w:val="1F374545"/>
    <w:rsid w:val="1F394761"/>
    <w:rsid w:val="1F3C1B5B"/>
    <w:rsid w:val="1F3C7DAD"/>
    <w:rsid w:val="1F3D3B25"/>
    <w:rsid w:val="1F3F164B"/>
    <w:rsid w:val="1F400875"/>
    <w:rsid w:val="1F4022B1"/>
    <w:rsid w:val="1F455BDF"/>
    <w:rsid w:val="1F462A3E"/>
    <w:rsid w:val="1F4849A4"/>
    <w:rsid w:val="1F4B065B"/>
    <w:rsid w:val="1F4C1054"/>
    <w:rsid w:val="1F5844BB"/>
    <w:rsid w:val="1F5A6485"/>
    <w:rsid w:val="1F615A66"/>
    <w:rsid w:val="1F6F6855"/>
    <w:rsid w:val="1F7071FC"/>
    <w:rsid w:val="1F770DE5"/>
    <w:rsid w:val="1F77599D"/>
    <w:rsid w:val="1F8452B0"/>
    <w:rsid w:val="1F8B2AE2"/>
    <w:rsid w:val="1F8B4890"/>
    <w:rsid w:val="1F8E414E"/>
    <w:rsid w:val="1F996297"/>
    <w:rsid w:val="1F9A2D26"/>
    <w:rsid w:val="1FA37E2C"/>
    <w:rsid w:val="1FA65CCF"/>
    <w:rsid w:val="1FAB0A8F"/>
    <w:rsid w:val="1FAB4F33"/>
    <w:rsid w:val="1FAD10E7"/>
    <w:rsid w:val="1FAD4807"/>
    <w:rsid w:val="1FB35FE4"/>
    <w:rsid w:val="1FC04BE5"/>
    <w:rsid w:val="1FC31C34"/>
    <w:rsid w:val="1FC3227C"/>
    <w:rsid w:val="1FC36C09"/>
    <w:rsid w:val="1FC55FF4"/>
    <w:rsid w:val="1FCB2EDF"/>
    <w:rsid w:val="1FD04999"/>
    <w:rsid w:val="1FD44489"/>
    <w:rsid w:val="1FD62021"/>
    <w:rsid w:val="1FDC3F0E"/>
    <w:rsid w:val="1FE2799D"/>
    <w:rsid w:val="1FE43FA1"/>
    <w:rsid w:val="1FE741BD"/>
    <w:rsid w:val="1FF24910"/>
    <w:rsid w:val="1FFB37C4"/>
    <w:rsid w:val="1FFF3743"/>
    <w:rsid w:val="200603BB"/>
    <w:rsid w:val="20076BDB"/>
    <w:rsid w:val="20084133"/>
    <w:rsid w:val="200A253D"/>
    <w:rsid w:val="200C59D1"/>
    <w:rsid w:val="20142AD8"/>
    <w:rsid w:val="201F099F"/>
    <w:rsid w:val="20216FA3"/>
    <w:rsid w:val="202251F5"/>
    <w:rsid w:val="20230D39"/>
    <w:rsid w:val="202445B2"/>
    <w:rsid w:val="20254CE5"/>
    <w:rsid w:val="20260924"/>
    <w:rsid w:val="20280C6C"/>
    <w:rsid w:val="2031368A"/>
    <w:rsid w:val="20370574"/>
    <w:rsid w:val="2039253E"/>
    <w:rsid w:val="203C4A21"/>
    <w:rsid w:val="203D237A"/>
    <w:rsid w:val="20475C4E"/>
    <w:rsid w:val="205124B2"/>
    <w:rsid w:val="205472F5"/>
    <w:rsid w:val="20567B7F"/>
    <w:rsid w:val="205729C2"/>
    <w:rsid w:val="205E2895"/>
    <w:rsid w:val="20606FD2"/>
    <w:rsid w:val="206100BC"/>
    <w:rsid w:val="20621A95"/>
    <w:rsid w:val="20672C08"/>
    <w:rsid w:val="20685E4A"/>
    <w:rsid w:val="206A6B9C"/>
    <w:rsid w:val="206D3F96"/>
    <w:rsid w:val="206F41B2"/>
    <w:rsid w:val="206F5F60"/>
    <w:rsid w:val="20713A86"/>
    <w:rsid w:val="2079293B"/>
    <w:rsid w:val="207B2B57"/>
    <w:rsid w:val="20803CC9"/>
    <w:rsid w:val="20833E17"/>
    <w:rsid w:val="20847C5E"/>
    <w:rsid w:val="208D42B5"/>
    <w:rsid w:val="20914128"/>
    <w:rsid w:val="209E23A2"/>
    <w:rsid w:val="20A200E4"/>
    <w:rsid w:val="20B42AB6"/>
    <w:rsid w:val="20B47D69"/>
    <w:rsid w:val="20B7775D"/>
    <w:rsid w:val="20B97F02"/>
    <w:rsid w:val="20BE47F2"/>
    <w:rsid w:val="20C1572D"/>
    <w:rsid w:val="20C52024"/>
    <w:rsid w:val="20D2654D"/>
    <w:rsid w:val="20D64231"/>
    <w:rsid w:val="20DB35F6"/>
    <w:rsid w:val="20E144A0"/>
    <w:rsid w:val="20E976FD"/>
    <w:rsid w:val="20EF1328"/>
    <w:rsid w:val="20F26644"/>
    <w:rsid w:val="20F27AA9"/>
    <w:rsid w:val="20F27AEA"/>
    <w:rsid w:val="20FB5A46"/>
    <w:rsid w:val="20FC2794"/>
    <w:rsid w:val="20FE3C0E"/>
    <w:rsid w:val="21012793"/>
    <w:rsid w:val="210448FA"/>
    <w:rsid w:val="210503C0"/>
    <w:rsid w:val="210764BB"/>
    <w:rsid w:val="210A7A37"/>
    <w:rsid w:val="210C1A01"/>
    <w:rsid w:val="210F3FE9"/>
    <w:rsid w:val="21132D8F"/>
    <w:rsid w:val="211A6786"/>
    <w:rsid w:val="211D776A"/>
    <w:rsid w:val="212925B3"/>
    <w:rsid w:val="21296020"/>
    <w:rsid w:val="212B632B"/>
    <w:rsid w:val="21307AC4"/>
    <w:rsid w:val="21352D06"/>
    <w:rsid w:val="2136082C"/>
    <w:rsid w:val="21366A7E"/>
    <w:rsid w:val="213F4BDE"/>
    <w:rsid w:val="21415216"/>
    <w:rsid w:val="2144119B"/>
    <w:rsid w:val="214621BD"/>
    <w:rsid w:val="21540828"/>
    <w:rsid w:val="21577C0D"/>
    <w:rsid w:val="215B7E71"/>
    <w:rsid w:val="21615477"/>
    <w:rsid w:val="21642211"/>
    <w:rsid w:val="216879BA"/>
    <w:rsid w:val="216A4942"/>
    <w:rsid w:val="216D4E0D"/>
    <w:rsid w:val="2172770A"/>
    <w:rsid w:val="21755CDE"/>
    <w:rsid w:val="217575A6"/>
    <w:rsid w:val="21780E44"/>
    <w:rsid w:val="217D5728"/>
    <w:rsid w:val="21817CF9"/>
    <w:rsid w:val="21843C8D"/>
    <w:rsid w:val="2185786D"/>
    <w:rsid w:val="21894E00"/>
    <w:rsid w:val="218A4378"/>
    <w:rsid w:val="219374E8"/>
    <w:rsid w:val="21973020"/>
    <w:rsid w:val="219A525F"/>
    <w:rsid w:val="219A742A"/>
    <w:rsid w:val="219F0AC7"/>
    <w:rsid w:val="21A164C4"/>
    <w:rsid w:val="21A16C3B"/>
    <w:rsid w:val="21A41C3A"/>
    <w:rsid w:val="21A54889"/>
    <w:rsid w:val="21A7555B"/>
    <w:rsid w:val="21AC2101"/>
    <w:rsid w:val="21AE02C2"/>
    <w:rsid w:val="21B7196D"/>
    <w:rsid w:val="21B77BBF"/>
    <w:rsid w:val="21B87493"/>
    <w:rsid w:val="21B93937"/>
    <w:rsid w:val="21BC51D5"/>
    <w:rsid w:val="21BE719F"/>
    <w:rsid w:val="21C30312"/>
    <w:rsid w:val="21C422DC"/>
    <w:rsid w:val="21C66054"/>
    <w:rsid w:val="21C83D65"/>
    <w:rsid w:val="21CB33B2"/>
    <w:rsid w:val="21D20555"/>
    <w:rsid w:val="21D249F9"/>
    <w:rsid w:val="21DC13D3"/>
    <w:rsid w:val="21E07ECE"/>
    <w:rsid w:val="21F7207A"/>
    <w:rsid w:val="21F93D33"/>
    <w:rsid w:val="21FC3824"/>
    <w:rsid w:val="21FD7F66"/>
    <w:rsid w:val="220403EC"/>
    <w:rsid w:val="220B3A67"/>
    <w:rsid w:val="22163AA9"/>
    <w:rsid w:val="2217240B"/>
    <w:rsid w:val="221C51C0"/>
    <w:rsid w:val="221F7512"/>
    <w:rsid w:val="22217496"/>
    <w:rsid w:val="222D60D3"/>
    <w:rsid w:val="22300EFC"/>
    <w:rsid w:val="223B61CF"/>
    <w:rsid w:val="223F0E12"/>
    <w:rsid w:val="224559E8"/>
    <w:rsid w:val="224D0523"/>
    <w:rsid w:val="224D17D5"/>
    <w:rsid w:val="225B0AA5"/>
    <w:rsid w:val="22603DB2"/>
    <w:rsid w:val="22626850"/>
    <w:rsid w:val="22692842"/>
    <w:rsid w:val="226A69DF"/>
    <w:rsid w:val="22791318"/>
    <w:rsid w:val="227B6E3E"/>
    <w:rsid w:val="227F502D"/>
    <w:rsid w:val="228435FE"/>
    <w:rsid w:val="22853819"/>
    <w:rsid w:val="22873A35"/>
    <w:rsid w:val="228A0B41"/>
    <w:rsid w:val="228E7EB1"/>
    <w:rsid w:val="228F4698"/>
    <w:rsid w:val="229121BE"/>
    <w:rsid w:val="229323DA"/>
    <w:rsid w:val="22971EC7"/>
    <w:rsid w:val="229E2B2D"/>
    <w:rsid w:val="22A068A5"/>
    <w:rsid w:val="22A31EF1"/>
    <w:rsid w:val="22A85759"/>
    <w:rsid w:val="22AA14D2"/>
    <w:rsid w:val="22AA7723"/>
    <w:rsid w:val="22B20B0D"/>
    <w:rsid w:val="22B30D72"/>
    <w:rsid w:val="22B67E76"/>
    <w:rsid w:val="22B8126D"/>
    <w:rsid w:val="22B91715"/>
    <w:rsid w:val="22B97967"/>
    <w:rsid w:val="22C205C9"/>
    <w:rsid w:val="22C32C83"/>
    <w:rsid w:val="22C5455D"/>
    <w:rsid w:val="22C57930"/>
    <w:rsid w:val="22CA56D0"/>
    <w:rsid w:val="22D95913"/>
    <w:rsid w:val="22DA2391"/>
    <w:rsid w:val="22DA73E1"/>
    <w:rsid w:val="22E20C6B"/>
    <w:rsid w:val="22E24A55"/>
    <w:rsid w:val="22E9024C"/>
    <w:rsid w:val="22EC1AEA"/>
    <w:rsid w:val="22ED71A3"/>
    <w:rsid w:val="22EE5A07"/>
    <w:rsid w:val="22F10EAE"/>
    <w:rsid w:val="22F664C5"/>
    <w:rsid w:val="22F866E1"/>
    <w:rsid w:val="22FB3ADB"/>
    <w:rsid w:val="23007343"/>
    <w:rsid w:val="230340B3"/>
    <w:rsid w:val="23090CFC"/>
    <w:rsid w:val="2309444A"/>
    <w:rsid w:val="230B6414"/>
    <w:rsid w:val="230E3CDF"/>
    <w:rsid w:val="230E7E11"/>
    <w:rsid w:val="231057D9"/>
    <w:rsid w:val="23146F5C"/>
    <w:rsid w:val="2318468D"/>
    <w:rsid w:val="23284559"/>
    <w:rsid w:val="233157B8"/>
    <w:rsid w:val="2335009A"/>
    <w:rsid w:val="233658BF"/>
    <w:rsid w:val="23397A8A"/>
    <w:rsid w:val="233B1741"/>
    <w:rsid w:val="233F5C35"/>
    <w:rsid w:val="23445482"/>
    <w:rsid w:val="23452FA8"/>
    <w:rsid w:val="235229D8"/>
    <w:rsid w:val="235800EB"/>
    <w:rsid w:val="235A6A54"/>
    <w:rsid w:val="23607DE2"/>
    <w:rsid w:val="23645B24"/>
    <w:rsid w:val="236812D2"/>
    <w:rsid w:val="236C6787"/>
    <w:rsid w:val="236F4466"/>
    <w:rsid w:val="23711FEF"/>
    <w:rsid w:val="237211AA"/>
    <w:rsid w:val="23743A0F"/>
    <w:rsid w:val="23764731"/>
    <w:rsid w:val="237815D0"/>
    <w:rsid w:val="237A70F6"/>
    <w:rsid w:val="23823F76"/>
    <w:rsid w:val="238735C1"/>
    <w:rsid w:val="238910E7"/>
    <w:rsid w:val="2398116E"/>
    <w:rsid w:val="23996B76"/>
    <w:rsid w:val="239C1E04"/>
    <w:rsid w:val="239F1652"/>
    <w:rsid w:val="23B6137F"/>
    <w:rsid w:val="23B87490"/>
    <w:rsid w:val="23BD584F"/>
    <w:rsid w:val="23C4134F"/>
    <w:rsid w:val="23C76D49"/>
    <w:rsid w:val="23CC324D"/>
    <w:rsid w:val="23CD36CA"/>
    <w:rsid w:val="23D031BA"/>
    <w:rsid w:val="23D27417"/>
    <w:rsid w:val="23D33361"/>
    <w:rsid w:val="23D507D0"/>
    <w:rsid w:val="23DC6B89"/>
    <w:rsid w:val="23DD1433"/>
    <w:rsid w:val="23E000DA"/>
    <w:rsid w:val="23E629DD"/>
    <w:rsid w:val="23E9602A"/>
    <w:rsid w:val="23EE3640"/>
    <w:rsid w:val="23F51BFB"/>
    <w:rsid w:val="23F83DE2"/>
    <w:rsid w:val="23FA3D93"/>
    <w:rsid w:val="23FC5D5D"/>
    <w:rsid w:val="24013808"/>
    <w:rsid w:val="24026CBB"/>
    <w:rsid w:val="240D7D94"/>
    <w:rsid w:val="241867AF"/>
    <w:rsid w:val="241A2687"/>
    <w:rsid w:val="241C1BCE"/>
    <w:rsid w:val="241F2868"/>
    <w:rsid w:val="2423377C"/>
    <w:rsid w:val="24253506"/>
    <w:rsid w:val="2428330D"/>
    <w:rsid w:val="24296E70"/>
    <w:rsid w:val="242B6642"/>
    <w:rsid w:val="242D5F16"/>
    <w:rsid w:val="242F7BB9"/>
    <w:rsid w:val="242F7EE0"/>
    <w:rsid w:val="24343910"/>
    <w:rsid w:val="243609F0"/>
    <w:rsid w:val="243F3E9B"/>
    <w:rsid w:val="24405F33"/>
    <w:rsid w:val="24452975"/>
    <w:rsid w:val="2446522A"/>
    <w:rsid w:val="244A0278"/>
    <w:rsid w:val="244F40DF"/>
    <w:rsid w:val="245175A0"/>
    <w:rsid w:val="24557F4B"/>
    <w:rsid w:val="24594F5D"/>
    <w:rsid w:val="245B0CD5"/>
    <w:rsid w:val="245B6F27"/>
    <w:rsid w:val="245D2E5E"/>
    <w:rsid w:val="245F009A"/>
    <w:rsid w:val="246064CF"/>
    <w:rsid w:val="24710E79"/>
    <w:rsid w:val="2472601F"/>
    <w:rsid w:val="24752A5D"/>
    <w:rsid w:val="247578BD"/>
    <w:rsid w:val="247C0C4C"/>
    <w:rsid w:val="2480698E"/>
    <w:rsid w:val="24816262"/>
    <w:rsid w:val="24832256"/>
    <w:rsid w:val="248C5333"/>
    <w:rsid w:val="248D62F6"/>
    <w:rsid w:val="248F6BD1"/>
    <w:rsid w:val="24957F99"/>
    <w:rsid w:val="249D12EE"/>
    <w:rsid w:val="24A00DDE"/>
    <w:rsid w:val="24A8657A"/>
    <w:rsid w:val="24AD7057"/>
    <w:rsid w:val="24B108F5"/>
    <w:rsid w:val="24B14D99"/>
    <w:rsid w:val="24B2466D"/>
    <w:rsid w:val="24B45500"/>
    <w:rsid w:val="24B959FC"/>
    <w:rsid w:val="24C30629"/>
    <w:rsid w:val="24C820E3"/>
    <w:rsid w:val="24CA5E5B"/>
    <w:rsid w:val="24D41746"/>
    <w:rsid w:val="24D942F0"/>
    <w:rsid w:val="24DB3BC4"/>
    <w:rsid w:val="24DD3347"/>
    <w:rsid w:val="24DD5B8E"/>
    <w:rsid w:val="24DE1906"/>
    <w:rsid w:val="24E36195"/>
    <w:rsid w:val="24E567F1"/>
    <w:rsid w:val="24EA2059"/>
    <w:rsid w:val="24EC18B2"/>
    <w:rsid w:val="24FD7FDE"/>
    <w:rsid w:val="24FE5B05"/>
    <w:rsid w:val="250331B8"/>
    <w:rsid w:val="25034EC9"/>
    <w:rsid w:val="2507074A"/>
    <w:rsid w:val="25195B74"/>
    <w:rsid w:val="251E45CA"/>
    <w:rsid w:val="25207829"/>
    <w:rsid w:val="2524556B"/>
    <w:rsid w:val="25284930"/>
    <w:rsid w:val="25292B82"/>
    <w:rsid w:val="252C08C4"/>
    <w:rsid w:val="252F5CBE"/>
    <w:rsid w:val="253024AD"/>
    <w:rsid w:val="2533204A"/>
    <w:rsid w:val="25496D80"/>
    <w:rsid w:val="254A0D4A"/>
    <w:rsid w:val="254C061E"/>
    <w:rsid w:val="254C2D14"/>
    <w:rsid w:val="255120D8"/>
    <w:rsid w:val="255A4445"/>
    <w:rsid w:val="255E0351"/>
    <w:rsid w:val="25657932"/>
    <w:rsid w:val="25665602"/>
    <w:rsid w:val="256736AA"/>
    <w:rsid w:val="25675458"/>
    <w:rsid w:val="25695674"/>
    <w:rsid w:val="256C2A6E"/>
    <w:rsid w:val="256E4A38"/>
    <w:rsid w:val="257007B0"/>
    <w:rsid w:val="25706A02"/>
    <w:rsid w:val="257162D7"/>
    <w:rsid w:val="25743C1F"/>
    <w:rsid w:val="257D5A51"/>
    <w:rsid w:val="258364F5"/>
    <w:rsid w:val="25841ECF"/>
    <w:rsid w:val="25853B30"/>
    <w:rsid w:val="25891872"/>
    <w:rsid w:val="25947B28"/>
    <w:rsid w:val="25957857"/>
    <w:rsid w:val="259721EF"/>
    <w:rsid w:val="2599327D"/>
    <w:rsid w:val="259A47CA"/>
    <w:rsid w:val="259C15A5"/>
    <w:rsid w:val="259C23B8"/>
    <w:rsid w:val="25A16BBC"/>
    <w:rsid w:val="25A42216"/>
    <w:rsid w:val="25A510E5"/>
    <w:rsid w:val="25A71CF8"/>
    <w:rsid w:val="25A95A70"/>
    <w:rsid w:val="25AF34C8"/>
    <w:rsid w:val="25B06DFF"/>
    <w:rsid w:val="25B30DF9"/>
    <w:rsid w:val="25B508B9"/>
    <w:rsid w:val="25B57FAE"/>
    <w:rsid w:val="25B6018D"/>
    <w:rsid w:val="25B66FA3"/>
    <w:rsid w:val="25B67E89"/>
    <w:rsid w:val="25BB0DEA"/>
    <w:rsid w:val="25BF34E6"/>
    <w:rsid w:val="25C40AFC"/>
    <w:rsid w:val="25C64874"/>
    <w:rsid w:val="25C823BF"/>
    <w:rsid w:val="25C84E90"/>
    <w:rsid w:val="25CC2205"/>
    <w:rsid w:val="25D32AED"/>
    <w:rsid w:val="25D54D40"/>
    <w:rsid w:val="25D94206"/>
    <w:rsid w:val="25DA4D4D"/>
    <w:rsid w:val="25E06AE7"/>
    <w:rsid w:val="25E116AE"/>
    <w:rsid w:val="25E847EB"/>
    <w:rsid w:val="25F0369F"/>
    <w:rsid w:val="25F25669"/>
    <w:rsid w:val="25F364FC"/>
    <w:rsid w:val="25F81E87"/>
    <w:rsid w:val="25FA2770"/>
    <w:rsid w:val="25FA451E"/>
    <w:rsid w:val="2605419E"/>
    <w:rsid w:val="26077CE1"/>
    <w:rsid w:val="260C28AB"/>
    <w:rsid w:val="260C4691"/>
    <w:rsid w:val="2610789E"/>
    <w:rsid w:val="26121AF9"/>
    <w:rsid w:val="2613738E"/>
    <w:rsid w:val="261A071C"/>
    <w:rsid w:val="261A696E"/>
    <w:rsid w:val="261B675B"/>
    <w:rsid w:val="261C4494"/>
    <w:rsid w:val="261F3F85"/>
    <w:rsid w:val="26215F4F"/>
    <w:rsid w:val="26252182"/>
    <w:rsid w:val="26284BE7"/>
    <w:rsid w:val="26286395"/>
    <w:rsid w:val="262C513B"/>
    <w:rsid w:val="262F241A"/>
    <w:rsid w:val="26321E88"/>
    <w:rsid w:val="263334A8"/>
    <w:rsid w:val="2634202A"/>
    <w:rsid w:val="26360D53"/>
    <w:rsid w:val="26377520"/>
    <w:rsid w:val="263878EA"/>
    <w:rsid w:val="263C6091"/>
    <w:rsid w:val="264659B5"/>
    <w:rsid w:val="264B2FCC"/>
    <w:rsid w:val="264E44FF"/>
    <w:rsid w:val="265359DC"/>
    <w:rsid w:val="265453B2"/>
    <w:rsid w:val="265579A6"/>
    <w:rsid w:val="26585DF2"/>
    <w:rsid w:val="26597496"/>
    <w:rsid w:val="265E2CFF"/>
    <w:rsid w:val="2661634B"/>
    <w:rsid w:val="266876DA"/>
    <w:rsid w:val="26696E1F"/>
    <w:rsid w:val="266A3AD4"/>
    <w:rsid w:val="266B71CA"/>
    <w:rsid w:val="266D4CF0"/>
    <w:rsid w:val="266D6A9E"/>
    <w:rsid w:val="267442D0"/>
    <w:rsid w:val="26747E2C"/>
    <w:rsid w:val="26760048"/>
    <w:rsid w:val="26781E41"/>
    <w:rsid w:val="267918E7"/>
    <w:rsid w:val="26793695"/>
    <w:rsid w:val="267B565F"/>
    <w:rsid w:val="26803FF9"/>
    <w:rsid w:val="26812549"/>
    <w:rsid w:val="2686038F"/>
    <w:rsid w:val="268E20DF"/>
    <w:rsid w:val="268F6768"/>
    <w:rsid w:val="269229A8"/>
    <w:rsid w:val="26962499"/>
    <w:rsid w:val="26A61FB0"/>
    <w:rsid w:val="26A85D28"/>
    <w:rsid w:val="26AA1AA0"/>
    <w:rsid w:val="26AD77E2"/>
    <w:rsid w:val="26AF5F64"/>
    <w:rsid w:val="26B02E2F"/>
    <w:rsid w:val="26BA01AA"/>
    <w:rsid w:val="26BC17D3"/>
    <w:rsid w:val="26BE379D"/>
    <w:rsid w:val="26BE72FA"/>
    <w:rsid w:val="26BF163F"/>
    <w:rsid w:val="26C30DB4"/>
    <w:rsid w:val="26C37E58"/>
    <w:rsid w:val="26C830D1"/>
    <w:rsid w:val="26C860FD"/>
    <w:rsid w:val="26D20FF7"/>
    <w:rsid w:val="26D73785"/>
    <w:rsid w:val="26DB434F"/>
    <w:rsid w:val="26DE174A"/>
    <w:rsid w:val="26DF15AD"/>
    <w:rsid w:val="26E86B94"/>
    <w:rsid w:val="26EA4592"/>
    <w:rsid w:val="26EF429B"/>
    <w:rsid w:val="26F251F5"/>
    <w:rsid w:val="26F40F6D"/>
    <w:rsid w:val="26F975C1"/>
    <w:rsid w:val="26FA3C9F"/>
    <w:rsid w:val="26FE069B"/>
    <w:rsid w:val="2702368A"/>
    <w:rsid w:val="27042DBE"/>
    <w:rsid w:val="27106F98"/>
    <w:rsid w:val="271B0BF0"/>
    <w:rsid w:val="272555CB"/>
    <w:rsid w:val="27277595"/>
    <w:rsid w:val="27282155"/>
    <w:rsid w:val="272A2BE1"/>
    <w:rsid w:val="272C0707"/>
    <w:rsid w:val="272C7748"/>
    <w:rsid w:val="272D447F"/>
    <w:rsid w:val="2731461E"/>
    <w:rsid w:val="27365A78"/>
    <w:rsid w:val="2737407C"/>
    <w:rsid w:val="273E6CA5"/>
    <w:rsid w:val="27400656"/>
    <w:rsid w:val="27427F2B"/>
    <w:rsid w:val="27435A51"/>
    <w:rsid w:val="2749750B"/>
    <w:rsid w:val="2751016E"/>
    <w:rsid w:val="27514612"/>
    <w:rsid w:val="275A162F"/>
    <w:rsid w:val="275D4D64"/>
    <w:rsid w:val="275D7F8C"/>
    <w:rsid w:val="276460F3"/>
    <w:rsid w:val="2767173F"/>
    <w:rsid w:val="276854B7"/>
    <w:rsid w:val="276948C3"/>
    <w:rsid w:val="276E51C4"/>
    <w:rsid w:val="2774265A"/>
    <w:rsid w:val="27762DD8"/>
    <w:rsid w:val="27765E26"/>
    <w:rsid w:val="277B168E"/>
    <w:rsid w:val="277F2F2D"/>
    <w:rsid w:val="27856146"/>
    <w:rsid w:val="27893099"/>
    <w:rsid w:val="278A6ED0"/>
    <w:rsid w:val="278B7BAE"/>
    <w:rsid w:val="278C564A"/>
    <w:rsid w:val="278F299A"/>
    <w:rsid w:val="2790513A"/>
    <w:rsid w:val="27914A0E"/>
    <w:rsid w:val="27985D9D"/>
    <w:rsid w:val="279927AA"/>
    <w:rsid w:val="279D7857"/>
    <w:rsid w:val="27AB3D22"/>
    <w:rsid w:val="27AE55C0"/>
    <w:rsid w:val="27AE736E"/>
    <w:rsid w:val="27B01338"/>
    <w:rsid w:val="27B1214D"/>
    <w:rsid w:val="27B30D9F"/>
    <w:rsid w:val="27B664A1"/>
    <w:rsid w:val="27BB5E5F"/>
    <w:rsid w:val="27BD5803"/>
    <w:rsid w:val="27C1288D"/>
    <w:rsid w:val="27C22E19"/>
    <w:rsid w:val="27C313CD"/>
    <w:rsid w:val="27C941A8"/>
    <w:rsid w:val="27D112AE"/>
    <w:rsid w:val="27D81921"/>
    <w:rsid w:val="27D8263D"/>
    <w:rsid w:val="27DF1C1D"/>
    <w:rsid w:val="27DF39CB"/>
    <w:rsid w:val="27E30014"/>
    <w:rsid w:val="27E3389B"/>
    <w:rsid w:val="27EB0E95"/>
    <w:rsid w:val="27ED462C"/>
    <w:rsid w:val="27F531EF"/>
    <w:rsid w:val="27FA25B3"/>
    <w:rsid w:val="280276BA"/>
    <w:rsid w:val="28041684"/>
    <w:rsid w:val="280519ED"/>
    <w:rsid w:val="280608AF"/>
    <w:rsid w:val="28072F22"/>
    <w:rsid w:val="28074CD0"/>
    <w:rsid w:val="28081174"/>
    <w:rsid w:val="28090A48"/>
    <w:rsid w:val="281178FD"/>
    <w:rsid w:val="2815563F"/>
    <w:rsid w:val="28194899"/>
    <w:rsid w:val="2826784C"/>
    <w:rsid w:val="28282E8D"/>
    <w:rsid w:val="282A2BD4"/>
    <w:rsid w:val="282B2122"/>
    <w:rsid w:val="283006CB"/>
    <w:rsid w:val="28327F9F"/>
    <w:rsid w:val="283B2C34"/>
    <w:rsid w:val="283E2C54"/>
    <w:rsid w:val="283F0080"/>
    <w:rsid w:val="28425D08"/>
    <w:rsid w:val="28433F5A"/>
    <w:rsid w:val="28441A80"/>
    <w:rsid w:val="284631B1"/>
    <w:rsid w:val="28481571"/>
    <w:rsid w:val="28487B83"/>
    <w:rsid w:val="284C045D"/>
    <w:rsid w:val="284E0B51"/>
    <w:rsid w:val="285048C9"/>
    <w:rsid w:val="28551EE0"/>
    <w:rsid w:val="285E6FE6"/>
    <w:rsid w:val="28610884"/>
    <w:rsid w:val="286176F2"/>
    <w:rsid w:val="28620159"/>
    <w:rsid w:val="28650375"/>
    <w:rsid w:val="28665E9B"/>
    <w:rsid w:val="286B1703"/>
    <w:rsid w:val="286C1A6C"/>
    <w:rsid w:val="286D7229"/>
    <w:rsid w:val="28722B47"/>
    <w:rsid w:val="288053A3"/>
    <w:rsid w:val="28810F26"/>
    <w:rsid w:val="288325A9"/>
    <w:rsid w:val="288602EB"/>
    <w:rsid w:val="288B5901"/>
    <w:rsid w:val="28914D8E"/>
    <w:rsid w:val="289305F5"/>
    <w:rsid w:val="289522DC"/>
    <w:rsid w:val="289D11E7"/>
    <w:rsid w:val="28A16ED3"/>
    <w:rsid w:val="28A40771"/>
    <w:rsid w:val="28AE25A9"/>
    <w:rsid w:val="28AE29E5"/>
    <w:rsid w:val="28B46C06"/>
    <w:rsid w:val="28B5297E"/>
    <w:rsid w:val="28B704A4"/>
    <w:rsid w:val="28B906C0"/>
    <w:rsid w:val="28BC5ABB"/>
    <w:rsid w:val="28BE7A85"/>
    <w:rsid w:val="28C52BC1"/>
    <w:rsid w:val="28CC6B72"/>
    <w:rsid w:val="28CF12C9"/>
    <w:rsid w:val="28D728F5"/>
    <w:rsid w:val="28D84BE3"/>
    <w:rsid w:val="28DC58E2"/>
    <w:rsid w:val="28DE743B"/>
    <w:rsid w:val="28E1686B"/>
    <w:rsid w:val="28E219C5"/>
    <w:rsid w:val="28E30FAC"/>
    <w:rsid w:val="28E55011"/>
    <w:rsid w:val="28E84B02"/>
    <w:rsid w:val="28E868B0"/>
    <w:rsid w:val="28EA6ACC"/>
    <w:rsid w:val="28EA77EA"/>
    <w:rsid w:val="28ED3EC6"/>
    <w:rsid w:val="28F504EF"/>
    <w:rsid w:val="29023E15"/>
    <w:rsid w:val="29057B0C"/>
    <w:rsid w:val="29064E07"/>
    <w:rsid w:val="290D27BA"/>
    <w:rsid w:val="29111AAD"/>
    <w:rsid w:val="291309CF"/>
    <w:rsid w:val="291432B8"/>
    <w:rsid w:val="291A6247"/>
    <w:rsid w:val="291B0A33"/>
    <w:rsid w:val="291B4ED7"/>
    <w:rsid w:val="291E6775"/>
    <w:rsid w:val="29237D8D"/>
    <w:rsid w:val="292F07F4"/>
    <w:rsid w:val="293164A9"/>
    <w:rsid w:val="29353D69"/>
    <w:rsid w:val="29361D11"/>
    <w:rsid w:val="293816AB"/>
    <w:rsid w:val="293B7327"/>
    <w:rsid w:val="293C58D2"/>
    <w:rsid w:val="293D4E4D"/>
    <w:rsid w:val="293E2974"/>
    <w:rsid w:val="2944442E"/>
    <w:rsid w:val="294465C8"/>
    <w:rsid w:val="29475CCC"/>
    <w:rsid w:val="294C5091"/>
    <w:rsid w:val="294D7198"/>
    <w:rsid w:val="294F2DD3"/>
    <w:rsid w:val="29515869"/>
    <w:rsid w:val="29520FD1"/>
    <w:rsid w:val="295B1019"/>
    <w:rsid w:val="295B1778"/>
    <w:rsid w:val="295F4884"/>
    <w:rsid w:val="29600B3C"/>
    <w:rsid w:val="29620D93"/>
    <w:rsid w:val="29626662"/>
    <w:rsid w:val="2964062C"/>
    <w:rsid w:val="29695C42"/>
    <w:rsid w:val="2969779D"/>
    <w:rsid w:val="297B3BC8"/>
    <w:rsid w:val="297E5A9E"/>
    <w:rsid w:val="298011DE"/>
    <w:rsid w:val="298068D7"/>
    <w:rsid w:val="299171FE"/>
    <w:rsid w:val="29932CBF"/>
    <w:rsid w:val="29954C89"/>
    <w:rsid w:val="2996744B"/>
    <w:rsid w:val="299B2F17"/>
    <w:rsid w:val="299F1664"/>
    <w:rsid w:val="29A50C45"/>
    <w:rsid w:val="29A54F4F"/>
    <w:rsid w:val="29A7676B"/>
    <w:rsid w:val="29A9038D"/>
    <w:rsid w:val="29B40B47"/>
    <w:rsid w:val="29BA46F0"/>
    <w:rsid w:val="29BC4E82"/>
    <w:rsid w:val="29BD1AEA"/>
    <w:rsid w:val="29C423C5"/>
    <w:rsid w:val="29C53533"/>
    <w:rsid w:val="29CA1CB1"/>
    <w:rsid w:val="29CC61D1"/>
    <w:rsid w:val="29CF12F9"/>
    <w:rsid w:val="29D4357D"/>
    <w:rsid w:val="29D46E34"/>
    <w:rsid w:val="29DD218D"/>
    <w:rsid w:val="29DF3C67"/>
    <w:rsid w:val="29DF430E"/>
    <w:rsid w:val="29E076C6"/>
    <w:rsid w:val="29E27698"/>
    <w:rsid w:val="29E545B2"/>
    <w:rsid w:val="29E754BD"/>
    <w:rsid w:val="29E928DF"/>
    <w:rsid w:val="29EF3C6E"/>
    <w:rsid w:val="29F319B0"/>
    <w:rsid w:val="29F51284"/>
    <w:rsid w:val="29FD638B"/>
    <w:rsid w:val="2A0238A5"/>
    <w:rsid w:val="2A02676A"/>
    <w:rsid w:val="2A027E45"/>
    <w:rsid w:val="2A080346"/>
    <w:rsid w:val="2A0A1E74"/>
    <w:rsid w:val="2A135BAE"/>
    <w:rsid w:val="2A1373DB"/>
    <w:rsid w:val="2A187669"/>
    <w:rsid w:val="2A1A0CEB"/>
    <w:rsid w:val="2A1D07DB"/>
    <w:rsid w:val="2A206B2C"/>
    <w:rsid w:val="2A22427F"/>
    <w:rsid w:val="2A241E9E"/>
    <w:rsid w:val="2A265400"/>
    <w:rsid w:val="2A2A1C5A"/>
    <w:rsid w:val="2A2A7EE7"/>
    <w:rsid w:val="2A2D4EC2"/>
    <w:rsid w:val="2A306760"/>
    <w:rsid w:val="2A314286"/>
    <w:rsid w:val="2A337FFE"/>
    <w:rsid w:val="2A3A75DF"/>
    <w:rsid w:val="2A3F0751"/>
    <w:rsid w:val="2A41271B"/>
    <w:rsid w:val="2A426494"/>
    <w:rsid w:val="2A486EB6"/>
    <w:rsid w:val="2A4D2AFF"/>
    <w:rsid w:val="2A4D7312"/>
    <w:rsid w:val="2A585CB7"/>
    <w:rsid w:val="2A5B0949"/>
    <w:rsid w:val="2A5D0D77"/>
    <w:rsid w:val="2A623994"/>
    <w:rsid w:val="2A636B36"/>
    <w:rsid w:val="2A650990"/>
    <w:rsid w:val="2A6650DE"/>
    <w:rsid w:val="2A677CA8"/>
    <w:rsid w:val="2A781EB5"/>
    <w:rsid w:val="2A7A572F"/>
    <w:rsid w:val="2A8139A6"/>
    <w:rsid w:val="2A82381C"/>
    <w:rsid w:val="2A855636"/>
    <w:rsid w:val="2A866380"/>
    <w:rsid w:val="2A88034A"/>
    <w:rsid w:val="2A8B3997"/>
    <w:rsid w:val="2A8D3BB3"/>
    <w:rsid w:val="2A9036A3"/>
    <w:rsid w:val="2A950CB9"/>
    <w:rsid w:val="2A9860B3"/>
    <w:rsid w:val="2A9A46CB"/>
    <w:rsid w:val="2A9A62D0"/>
    <w:rsid w:val="2A9E191C"/>
    <w:rsid w:val="2A9E6968"/>
    <w:rsid w:val="2AA902C1"/>
    <w:rsid w:val="2AB2171E"/>
    <w:rsid w:val="2AB70C30"/>
    <w:rsid w:val="2ABA24CE"/>
    <w:rsid w:val="2ABB0720"/>
    <w:rsid w:val="2AC24A20"/>
    <w:rsid w:val="2AC31382"/>
    <w:rsid w:val="2AC375D4"/>
    <w:rsid w:val="2AC86999"/>
    <w:rsid w:val="2AC96EBF"/>
    <w:rsid w:val="2AD02254"/>
    <w:rsid w:val="2AD215C5"/>
    <w:rsid w:val="2AD6555A"/>
    <w:rsid w:val="2ADE0716"/>
    <w:rsid w:val="2AE33248"/>
    <w:rsid w:val="2AEA7036"/>
    <w:rsid w:val="2AEF03C9"/>
    <w:rsid w:val="2AF83B75"/>
    <w:rsid w:val="2AFC2AE6"/>
    <w:rsid w:val="2B011EAB"/>
    <w:rsid w:val="2B05199B"/>
    <w:rsid w:val="2B053749"/>
    <w:rsid w:val="2B065713"/>
    <w:rsid w:val="2B0A0D5F"/>
    <w:rsid w:val="2B1238BD"/>
    <w:rsid w:val="2B141BDE"/>
    <w:rsid w:val="2B147E30"/>
    <w:rsid w:val="2B156972"/>
    <w:rsid w:val="2B161BD2"/>
    <w:rsid w:val="2B1704D5"/>
    <w:rsid w:val="2B181AFD"/>
    <w:rsid w:val="2B184107"/>
    <w:rsid w:val="2B1A4D1A"/>
    <w:rsid w:val="2B1E480B"/>
    <w:rsid w:val="2B236CB2"/>
    <w:rsid w:val="2B283D01"/>
    <w:rsid w:val="2B297250"/>
    <w:rsid w:val="2B312678"/>
    <w:rsid w:val="2B384CD1"/>
    <w:rsid w:val="2B395AE8"/>
    <w:rsid w:val="2B400C25"/>
    <w:rsid w:val="2B4104F9"/>
    <w:rsid w:val="2B41674B"/>
    <w:rsid w:val="2B430715"/>
    <w:rsid w:val="2B434271"/>
    <w:rsid w:val="2B45448D"/>
    <w:rsid w:val="2B597F39"/>
    <w:rsid w:val="2B5E554F"/>
    <w:rsid w:val="2B5E72FD"/>
    <w:rsid w:val="2B606BD1"/>
    <w:rsid w:val="2B65068C"/>
    <w:rsid w:val="2B667F60"/>
    <w:rsid w:val="2B681F2A"/>
    <w:rsid w:val="2B6E7333"/>
    <w:rsid w:val="2B746B21"/>
    <w:rsid w:val="2B7B43DC"/>
    <w:rsid w:val="2B7E4F09"/>
    <w:rsid w:val="2B7E52A9"/>
    <w:rsid w:val="2B845F06"/>
    <w:rsid w:val="2B9C7CCD"/>
    <w:rsid w:val="2B9E38FC"/>
    <w:rsid w:val="2BA74800"/>
    <w:rsid w:val="2BA90700"/>
    <w:rsid w:val="2BAF692B"/>
    <w:rsid w:val="2BB138D1"/>
    <w:rsid w:val="2BB60A79"/>
    <w:rsid w:val="2BB648C1"/>
    <w:rsid w:val="2BB67139"/>
    <w:rsid w:val="2BBA09D7"/>
    <w:rsid w:val="2BBB5BC8"/>
    <w:rsid w:val="2BBE7D9C"/>
    <w:rsid w:val="2BC2788C"/>
    <w:rsid w:val="2BCC5000"/>
    <w:rsid w:val="2BCF1FA9"/>
    <w:rsid w:val="2BD17ACF"/>
    <w:rsid w:val="2BD33847"/>
    <w:rsid w:val="2BD4251D"/>
    <w:rsid w:val="2BD61589"/>
    <w:rsid w:val="2BE05F64"/>
    <w:rsid w:val="2BE9306B"/>
    <w:rsid w:val="2BE94E19"/>
    <w:rsid w:val="2BEE79DE"/>
    <w:rsid w:val="2BF65878"/>
    <w:rsid w:val="2BFA4991"/>
    <w:rsid w:val="2C0642D9"/>
    <w:rsid w:val="2C0E6F0A"/>
    <w:rsid w:val="2C146544"/>
    <w:rsid w:val="2C1904F1"/>
    <w:rsid w:val="2C1E13C2"/>
    <w:rsid w:val="2C2552A5"/>
    <w:rsid w:val="2C271F76"/>
    <w:rsid w:val="2C273DE3"/>
    <w:rsid w:val="2C2A71DF"/>
    <w:rsid w:val="2C2B3683"/>
    <w:rsid w:val="2C2B5340"/>
    <w:rsid w:val="2C3021EB"/>
    <w:rsid w:val="2C3D431F"/>
    <w:rsid w:val="2C3D6F12"/>
    <w:rsid w:val="2C3F0EDD"/>
    <w:rsid w:val="2C4E2ECE"/>
    <w:rsid w:val="2C534988"/>
    <w:rsid w:val="2C561A0A"/>
    <w:rsid w:val="2C567FD4"/>
    <w:rsid w:val="2C5F2DB9"/>
    <w:rsid w:val="2C683709"/>
    <w:rsid w:val="2C701096"/>
    <w:rsid w:val="2C7212B2"/>
    <w:rsid w:val="2C7448E7"/>
    <w:rsid w:val="2C7768C8"/>
    <w:rsid w:val="2C79279A"/>
    <w:rsid w:val="2C7C5241"/>
    <w:rsid w:val="2C7C7A3B"/>
    <w:rsid w:val="2C842ED1"/>
    <w:rsid w:val="2C8608B9"/>
    <w:rsid w:val="2C874AAF"/>
    <w:rsid w:val="2C892158"/>
    <w:rsid w:val="2C8A0A16"/>
    <w:rsid w:val="2C8E66A6"/>
    <w:rsid w:val="2C8F2E0C"/>
    <w:rsid w:val="2C972AC7"/>
    <w:rsid w:val="2C9B0FA1"/>
    <w:rsid w:val="2C9F7BCD"/>
    <w:rsid w:val="2CA41F62"/>
    <w:rsid w:val="2CA451E4"/>
    <w:rsid w:val="2CA4764A"/>
    <w:rsid w:val="2CA810E4"/>
    <w:rsid w:val="2CAC1C67"/>
    <w:rsid w:val="2CAF5168"/>
    <w:rsid w:val="2CB27900"/>
    <w:rsid w:val="2CB52F4D"/>
    <w:rsid w:val="2CB91A1B"/>
    <w:rsid w:val="2CC32497"/>
    <w:rsid w:val="2CD07DA8"/>
    <w:rsid w:val="2CD741EB"/>
    <w:rsid w:val="2CD921C8"/>
    <w:rsid w:val="2CD930DF"/>
    <w:rsid w:val="2CDD4252"/>
    <w:rsid w:val="2CDF7092"/>
    <w:rsid w:val="2CE05A90"/>
    <w:rsid w:val="2CE162EF"/>
    <w:rsid w:val="2CEB33F2"/>
    <w:rsid w:val="2CF03F85"/>
    <w:rsid w:val="2CF458E3"/>
    <w:rsid w:val="2CF63C91"/>
    <w:rsid w:val="2CFB12A7"/>
    <w:rsid w:val="2D0042AB"/>
    <w:rsid w:val="2D016192"/>
    <w:rsid w:val="2D03015C"/>
    <w:rsid w:val="2D0619FA"/>
    <w:rsid w:val="2D087520"/>
    <w:rsid w:val="2D0B5263"/>
    <w:rsid w:val="2D0D4B37"/>
    <w:rsid w:val="2D0F6B01"/>
    <w:rsid w:val="2D102879"/>
    <w:rsid w:val="2D1759B5"/>
    <w:rsid w:val="2D1B234D"/>
    <w:rsid w:val="2D1E783E"/>
    <w:rsid w:val="2D200D0E"/>
    <w:rsid w:val="2D2307FE"/>
    <w:rsid w:val="2D2325AC"/>
    <w:rsid w:val="2D2709DF"/>
    <w:rsid w:val="2D291E76"/>
    <w:rsid w:val="2D2A1248"/>
    <w:rsid w:val="2D300825"/>
    <w:rsid w:val="2D3F798F"/>
    <w:rsid w:val="2D400AAF"/>
    <w:rsid w:val="2D406CBA"/>
    <w:rsid w:val="2D434F93"/>
    <w:rsid w:val="2D450775"/>
    <w:rsid w:val="2D470296"/>
    <w:rsid w:val="2D4C1B03"/>
    <w:rsid w:val="2D4D7629"/>
    <w:rsid w:val="2D4F6EFD"/>
    <w:rsid w:val="2D502C75"/>
    <w:rsid w:val="2D5409B8"/>
    <w:rsid w:val="2D556D50"/>
    <w:rsid w:val="2D595FCE"/>
    <w:rsid w:val="2D5C2DC3"/>
    <w:rsid w:val="2D60735C"/>
    <w:rsid w:val="2D6329A9"/>
    <w:rsid w:val="2D6365D7"/>
    <w:rsid w:val="2D636E4D"/>
    <w:rsid w:val="2D6C5D01"/>
    <w:rsid w:val="2D6D7CCB"/>
    <w:rsid w:val="2D734A66"/>
    <w:rsid w:val="2D766B80"/>
    <w:rsid w:val="2D796670"/>
    <w:rsid w:val="2D7D5F4E"/>
    <w:rsid w:val="2D825525"/>
    <w:rsid w:val="2D8C0151"/>
    <w:rsid w:val="2D8F379E"/>
    <w:rsid w:val="2D8F7C42"/>
    <w:rsid w:val="2D910DED"/>
    <w:rsid w:val="2D9708A4"/>
    <w:rsid w:val="2D97782D"/>
    <w:rsid w:val="2D994B41"/>
    <w:rsid w:val="2D9C580E"/>
    <w:rsid w:val="2DA01E4F"/>
    <w:rsid w:val="2DA134D1"/>
    <w:rsid w:val="2DA8567F"/>
    <w:rsid w:val="2DAB1B97"/>
    <w:rsid w:val="2DB11966"/>
    <w:rsid w:val="2DB256DE"/>
    <w:rsid w:val="2DB459A4"/>
    <w:rsid w:val="2DB662BF"/>
    <w:rsid w:val="2DB72CF5"/>
    <w:rsid w:val="2DBB27E5"/>
    <w:rsid w:val="2DBB702F"/>
    <w:rsid w:val="2DBD47AF"/>
    <w:rsid w:val="2DC01BA9"/>
    <w:rsid w:val="2DCF44E2"/>
    <w:rsid w:val="2DD27884"/>
    <w:rsid w:val="2DD43711"/>
    <w:rsid w:val="2DF31F7F"/>
    <w:rsid w:val="2DF33D2D"/>
    <w:rsid w:val="2DF47AA5"/>
    <w:rsid w:val="2DF571D8"/>
    <w:rsid w:val="2DF6381D"/>
    <w:rsid w:val="2DF950BB"/>
    <w:rsid w:val="2DFB7085"/>
    <w:rsid w:val="2DFD2DFD"/>
    <w:rsid w:val="2E0917A2"/>
    <w:rsid w:val="2E0C4DEE"/>
    <w:rsid w:val="2E0F72FE"/>
    <w:rsid w:val="2E11214C"/>
    <w:rsid w:val="2E132621"/>
    <w:rsid w:val="2E153B22"/>
    <w:rsid w:val="2E1A2D65"/>
    <w:rsid w:val="2E25629D"/>
    <w:rsid w:val="2E293BF2"/>
    <w:rsid w:val="2E2C1951"/>
    <w:rsid w:val="2E2C5491"/>
    <w:rsid w:val="2E2C723F"/>
    <w:rsid w:val="2E344345"/>
    <w:rsid w:val="2E3662A3"/>
    <w:rsid w:val="2E3A195C"/>
    <w:rsid w:val="2E3A7BAD"/>
    <w:rsid w:val="2E3B56D4"/>
    <w:rsid w:val="2E3D31FA"/>
    <w:rsid w:val="2E3E48F7"/>
    <w:rsid w:val="2E456552"/>
    <w:rsid w:val="2E505623"/>
    <w:rsid w:val="2E52246D"/>
    <w:rsid w:val="2E536EC1"/>
    <w:rsid w:val="2E556795"/>
    <w:rsid w:val="2E5D564A"/>
    <w:rsid w:val="2E5E1208"/>
    <w:rsid w:val="2E5F5866"/>
    <w:rsid w:val="2E615640"/>
    <w:rsid w:val="2E683F57"/>
    <w:rsid w:val="2E7028C0"/>
    <w:rsid w:val="2E754C62"/>
    <w:rsid w:val="2E76495E"/>
    <w:rsid w:val="2E781716"/>
    <w:rsid w:val="2E7A271B"/>
    <w:rsid w:val="2E8C4365"/>
    <w:rsid w:val="2E951288"/>
    <w:rsid w:val="2E96207A"/>
    <w:rsid w:val="2E9854B0"/>
    <w:rsid w:val="2EA133EA"/>
    <w:rsid w:val="2EA47C39"/>
    <w:rsid w:val="2EA6182F"/>
    <w:rsid w:val="2EA63495"/>
    <w:rsid w:val="2EAB2859"/>
    <w:rsid w:val="2EAE59EC"/>
    <w:rsid w:val="2EB21E3A"/>
    <w:rsid w:val="2EB32ECF"/>
    <w:rsid w:val="2EB37960"/>
    <w:rsid w:val="2EB45BB2"/>
    <w:rsid w:val="2EB55486"/>
    <w:rsid w:val="2EB857DB"/>
    <w:rsid w:val="2EBA6F40"/>
    <w:rsid w:val="2EBB3BBD"/>
    <w:rsid w:val="2EBC05C2"/>
    <w:rsid w:val="2EBD258D"/>
    <w:rsid w:val="2EC60079"/>
    <w:rsid w:val="2EC7216D"/>
    <w:rsid w:val="2EC93631"/>
    <w:rsid w:val="2ECE02F6"/>
    <w:rsid w:val="2ECF5432"/>
    <w:rsid w:val="2ECF72D3"/>
    <w:rsid w:val="2ED07181"/>
    <w:rsid w:val="2ED55B28"/>
    <w:rsid w:val="2ED70C18"/>
    <w:rsid w:val="2EDC2A13"/>
    <w:rsid w:val="2EDD6A3A"/>
    <w:rsid w:val="2EDF0755"/>
    <w:rsid w:val="2EE30245"/>
    <w:rsid w:val="2EE80B85"/>
    <w:rsid w:val="2EEE0998"/>
    <w:rsid w:val="2EF51D26"/>
    <w:rsid w:val="2EF835C5"/>
    <w:rsid w:val="2EFF6E29"/>
    <w:rsid w:val="2F097580"/>
    <w:rsid w:val="2F0B32F8"/>
    <w:rsid w:val="2F0F103A"/>
    <w:rsid w:val="2F0F3752"/>
    <w:rsid w:val="2F115F90"/>
    <w:rsid w:val="2F1321AD"/>
    <w:rsid w:val="2F13458E"/>
    <w:rsid w:val="2F1970ED"/>
    <w:rsid w:val="2F25085E"/>
    <w:rsid w:val="2F260132"/>
    <w:rsid w:val="2F3101F7"/>
    <w:rsid w:val="2F320885"/>
    <w:rsid w:val="2F370591"/>
    <w:rsid w:val="2F383F1D"/>
    <w:rsid w:val="2F3E1B2D"/>
    <w:rsid w:val="2F3E7229"/>
    <w:rsid w:val="2F3E7BCE"/>
    <w:rsid w:val="2F414F6C"/>
    <w:rsid w:val="2F430CE4"/>
    <w:rsid w:val="2F464330"/>
    <w:rsid w:val="2F4F58DB"/>
    <w:rsid w:val="2F50459F"/>
    <w:rsid w:val="2F545110"/>
    <w:rsid w:val="2F560A17"/>
    <w:rsid w:val="2F5C3B54"/>
    <w:rsid w:val="2F5E5B1E"/>
    <w:rsid w:val="2F5E795C"/>
    <w:rsid w:val="2F603644"/>
    <w:rsid w:val="2F6824F8"/>
    <w:rsid w:val="2F6A2714"/>
    <w:rsid w:val="2F6C023B"/>
    <w:rsid w:val="2F6D7B0F"/>
    <w:rsid w:val="2F7075FF"/>
    <w:rsid w:val="2F764200"/>
    <w:rsid w:val="2F7B047E"/>
    <w:rsid w:val="2F7C3E2D"/>
    <w:rsid w:val="2F833124"/>
    <w:rsid w:val="2F835584"/>
    <w:rsid w:val="2F8A6913"/>
    <w:rsid w:val="2F9260FA"/>
    <w:rsid w:val="2F95018C"/>
    <w:rsid w:val="2F994DA8"/>
    <w:rsid w:val="2F9C6646"/>
    <w:rsid w:val="2F9E416C"/>
    <w:rsid w:val="2F9E7071"/>
    <w:rsid w:val="2F9F469B"/>
    <w:rsid w:val="2FA44D35"/>
    <w:rsid w:val="2FA5374C"/>
    <w:rsid w:val="2FAB0637"/>
    <w:rsid w:val="2FAE38A6"/>
    <w:rsid w:val="2FB05DE1"/>
    <w:rsid w:val="2FB219C5"/>
    <w:rsid w:val="2FB41BE1"/>
    <w:rsid w:val="2FB80A3A"/>
    <w:rsid w:val="2FB971F8"/>
    <w:rsid w:val="2FBA46B3"/>
    <w:rsid w:val="2FBB7AC5"/>
    <w:rsid w:val="2FC242FE"/>
    <w:rsid w:val="2FC5794B"/>
    <w:rsid w:val="2FC62F36"/>
    <w:rsid w:val="2FCE2CA3"/>
    <w:rsid w:val="2FDD2BAB"/>
    <w:rsid w:val="2FE204FD"/>
    <w:rsid w:val="2FE45773"/>
    <w:rsid w:val="2FE65D04"/>
    <w:rsid w:val="2FE92571"/>
    <w:rsid w:val="2FEE6EA1"/>
    <w:rsid w:val="2FF201F9"/>
    <w:rsid w:val="2FF36362"/>
    <w:rsid w:val="2FF64D44"/>
    <w:rsid w:val="2FFA3A98"/>
    <w:rsid w:val="300761B5"/>
    <w:rsid w:val="30093A79"/>
    <w:rsid w:val="30093CDB"/>
    <w:rsid w:val="300A7E47"/>
    <w:rsid w:val="300D4E4E"/>
    <w:rsid w:val="300E12F2"/>
    <w:rsid w:val="300F506A"/>
    <w:rsid w:val="30125514"/>
    <w:rsid w:val="30185CCC"/>
    <w:rsid w:val="30191A45"/>
    <w:rsid w:val="301E705B"/>
    <w:rsid w:val="302208F9"/>
    <w:rsid w:val="302C5C1C"/>
    <w:rsid w:val="302E4680"/>
    <w:rsid w:val="30316D8E"/>
    <w:rsid w:val="30325153"/>
    <w:rsid w:val="30354AD0"/>
    <w:rsid w:val="303B19BB"/>
    <w:rsid w:val="30443FDF"/>
    <w:rsid w:val="30464B3A"/>
    <w:rsid w:val="30470360"/>
    <w:rsid w:val="304A7E50"/>
    <w:rsid w:val="304C5976"/>
    <w:rsid w:val="3050489E"/>
    <w:rsid w:val="305A4537"/>
    <w:rsid w:val="305B205D"/>
    <w:rsid w:val="305E56A9"/>
    <w:rsid w:val="30610848"/>
    <w:rsid w:val="30623545"/>
    <w:rsid w:val="306A530B"/>
    <w:rsid w:val="306C426A"/>
    <w:rsid w:val="30717AD3"/>
    <w:rsid w:val="30744ECD"/>
    <w:rsid w:val="30792963"/>
    <w:rsid w:val="30833C33"/>
    <w:rsid w:val="3086532C"/>
    <w:rsid w:val="30865F8D"/>
    <w:rsid w:val="308C2EA1"/>
    <w:rsid w:val="309335A5"/>
    <w:rsid w:val="309C68FD"/>
    <w:rsid w:val="30A2256F"/>
    <w:rsid w:val="30A25EDE"/>
    <w:rsid w:val="30A27C8C"/>
    <w:rsid w:val="30A43A04"/>
    <w:rsid w:val="30A532D8"/>
    <w:rsid w:val="30B17ECF"/>
    <w:rsid w:val="30B26121"/>
    <w:rsid w:val="30B33C47"/>
    <w:rsid w:val="30B5176D"/>
    <w:rsid w:val="30B66F10"/>
    <w:rsid w:val="30B8300C"/>
    <w:rsid w:val="30BA4248"/>
    <w:rsid w:val="30BF083E"/>
    <w:rsid w:val="30C213F8"/>
    <w:rsid w:val="30C6397A"/>
    <w:rsid w:val="30C81DC6"/>
    <w:rsid w:val="30CB2D3F"/>
    <w:rsid w:val="30CE6CD3"/>
    <w:rsid w:val="30DA7426"/>
    <w:rsid w:val="30DC4F4C"/>
    <w:rsid w:val="30E16777"/>
    <w:rsid w:val="30E67B79"/>
    <w:rsid w:val="30EE2ED1"/>
    <w:rsid w:val="30F06C49"/>
    <w:rsid w:val="30F524B2"/>
    <w:rsid w:val="30FA3624"/>
    <w:rsid w:val="310413CD"/>
    <w:rsid w:val="310426F5"/>
    <w:rsid w:val="31046251"/>
    <w:rsid w:val="310821E5"/>
    <w:rsid w:val="310873CE"/>
    <w:rsid w:val="310E70CF"/>
    <w:rsid w:val="310F409A"/>
    <w:rsid w:val="31117DE1"/>
    <w:rsid w:val="311A1F18"/>
    <w:rsid w:val="31216E03"/>
    <w:rsid w:val="3135465C"/>
    <w:rsid w:val="31376626"/>
    <w:rsid w:val="31434FCB"/>
    <w:rsid w:val="31447414"/>
    <w:rsid w:val="314B20D2"/>
    <w:rsid w:val="31504113"/>
    <w:rsid w:val="31554CFE"/>
    <w:rsid w:val="315B6C26"/>
    <w:rsid w:val="315E1C0B"/>
    <w:rsid w:val="31664999"/>
    <w:rsid w:val="31684A32"/>
    <w:rsid w:val="316867E0"/>
    <w:rsid w:val="317073A0"/>
    <w:rsid w:val="3172765E"/>
    <w:rsid w:val="317509A3"/>
    <w:rsid w:val="31750EFD"/>
    <w:rsid w:val="317A6513"/>
    <w:rsid w:val="317B29B7"/>
    <w:rsid w:val="31824E35"/>
    <w:rsid w:val="3184693F"/>
    <w:rsid w:val="31855BF5"/>
    <w:rsid w:val="31864EB8"/>
    <w:rsid w:val="31886E82"/>
    <w:rsid w:val="318A3C6F"/>
    <w:rsid w:val="318E35A9"/>
    <w:rsid w:val="318F0210"/>
    <w:rsid w:val="318F6462"/>
    <w:rsid w:val="31945827"/>
    <w:rsid w:val="3195334D"/>
    <w:rsid w:val="3196159F"/>
    <w:rsid w:val="319677F1"/>
    <w:rsid w:val="319B6364"/>
    <w:rsid w:val="31A00094"/>
    <w:rsid w:val="31A6430B"/>
    <w:rsid w:val="31AA504A"/>
    <w:rsid w:val="31AD0696"/>
    <w:rsid w:val="31AF440F"/>
    <w:rsid w:val="31B17B44"/>
    <w:rsid w:val="31B21B99"/>
    <w:rsid w:val="31B6569D"/>
    <w:rsid w:val="31B71515"/>
    <w:rsid w:val="31C559E0"/>
    <w:rsid w:val="31C77513"/>
    <w:rsid w:val="31D1752A"/>
    <w:rsid w:val="31D268CB"/>
    <w:rsid w:val="31D420C7"/>
    <w:rsid w:val="31D50D5D"/>
    <w:rsid w:val="31DB16A7"/>
    <w:rsid w:val="31DB3667"/>
    <w:rsid w:val="31DD71CE"/>
    <w:rsid w:val="31DE2F46"/>
    <w:rsid w:val="31E3055C"/>
    <w:rsid w:val="31E367AE"/>
    <w:rsid w:val="31E7004C"/>
    <w:rsid w:val="31E71DFA"/>
    <w:rsid w:val="31EA35E4"/>
    <w:rsid w:val="31F0156A"/>
    <w:rsid w:val="31F2254D"/>
    <w:rsid w:val="31F562BB"/>
    <w:rsid w:val="31F84007"/>
    <w:rsid w:val="31FB7654"/>
    <w:rsid w:val="31FE2BDC"/>
    <w:rsid w:val="31FF6CBB"/>
    <w:rsid w:val="3200110E"/>
    <w:rsid w:val="32037BD4"/>
    <w:rsid w:val="32067112"/>
    <w:rsid w:val="320B0C20"/>
    <w:rsid w:val="320F1351"/>
    <w:rsid w:val="32116E77"/>
    <w:rsid w:val="32144BB9"/>
    <w:rsid w:val="32146967"/>
    <w:rsid w:val="3216448E"/>
    <w:rsid w:val="32172E24"/>
    <w:rsid w:val="32177A3A"/>
    <w:rsid w:val="32180206"/>
    <w:rsid w:val="32221084"/>
    <w:rsid w:val="32234990"/>
    <w:rsid w:val="32236BAB"/>
    <w:rsid w:val="322A1CE7"/>
    <w:rsid w:val="322E25BB"/>
    <w:rsid w:val="322F2095"/>
    <w:rsid w:val="32325B12"/>
    <w:rsid w:val="32335390"/>
    <w:rsid w:val="32382656"/>
    <w:rsid w:val="324A4137"/>
    <w:rsid w:val="324D06DE"/>
    <w:rsid w:val="324E1E79"/>
    <w:rsid w:val="325849A0"/>
    <w:rsid w:val="325D20BC"/>
    <w:rsid w:val="326A2A2B"/>
    <w:rsid w:val="326A6587"/>
    <w:rsid w:val="326C0551"/>
    <w:rsid w:val="3271443C"/>
    <w:rsid w:val="327411B4"/>
    <w:rsid w:val="327A2C6E"/>
    <w:rsid w:val="327C0EF5"/>
    <w:rsid w:val="327C67A9"/>
    <w:rsid w:val="327E4110"/>
    <w:rsid w:val="32807B59"/>
    <w:rsid w:val="32847649"/>
    <w:rsid w:val="32852601"/>
    <w:rsid w:val="32867865"/>
    <w:rsid w:val="32877139"/>
    <w:rsid w:val="32892EB1"/>
    <w:rsid w:val="32911D66"/>
    <w:rsid w:val="32917FB8"/>
    <w:rsid w:val="329973E9"/>
    <w:rsid w:val="32AB3018"/>
    <w:rsid w:val="32AC4DF2"/>
    <w:rsid w:val="32AE0B6A"/>
    <w:rsid w:val="32B83797"/>
    <w:rsid w:val="32BD0DAD"/>
    <w:rsid w:val="32C24615"/>
    <w:rsid w:val="32CA4F1E"/>
    <w:rsid w:val="32CB5278"/>
    <w:rsid w:val="32CC2D9E"/>
    <w:rsid w:val="32CF5773"/>
    <w:rsid w:val="32D61E6F"/>
    <w:rsid w:val="32E517F9"/>
    <w:rsid w:val="32E620B2"/>
    <w:rsid w:val="32E623C4"/>
    <w:rsid w:val="32EB76C8"/>
    <w:rsid w:val="32EE0F67"/>
    <w:rsid w:val="32F6565F"/>
    <w:rsid w:val="32FC18D5"/>
    <w:rsid w:val="32FD11AA"/>
    <w:rsid w:val="33010C9A"/>
    <w:rsid w:val="33042538"/>
    <w:rsid w:val="330A3DC4"/>
    <w:rsid w:val="330B38C7"/>
    <w:rsid w:val="330C6232"/>
    <w:rsid w:val="3315746B"/>
    <w:rsid w:val="331A1C3F"/>
    <w:rsid w:val="331D7A9E"/>
    <w:rsid w:val="331F3816"/>
    <w:rsid w:val="332E1CAB"/>
    <w:rsid w:val="33356B95"/>
    <w:rsid w:val="333B6C47"/>
    <w:rsid w:val="33400F03"/>
    <w:rsid w:val="334107CE"/>
    <w:rsid w:val="334119DE"/>
    <w:rsid w:val="33437504"/>
    <w:rsid w:val="33446DD8"/>
    <w:rsid w:val="334B63B9"/>
    <w:rsid w:val="334E4FDC"/>
    <w:rsid w:val="33525999"/>
    <w:rsid w:val="33552D94"/>
    <w:rsid w:val="33570431"/>
    <w:rsid w:val="33603153"/>
    <w:rsid w:val="3364747B"/>
    <w:rsid w:val="33727DEA"/>
    <w:rsid w:val="33775400"/>
    <w:rsid w:val="337A0A4C"/>
    <w:rsid w:val="337C2A16"/>
    <w:rsid w:val="338077DC"/>
    <w:rsid w:val="3385430D"/>
    <w:rsid w:val="338D4C23"/>
    <w:rsid w:val="33910F9C"/>
    <w:rsid w:val="33940099"/>
    <w:rsid w:val="33946095"/>
    <w:rsid w:val="33953AD8"/>
    <w:rsid w:val="33955886"/>
    <w:rsid w:val="339D28D9"/>
    <w:rsid w:val="339F6A9E"/>
    <w:rsid w:val="33AB50A9"/>
    <w:rsid w:val="33B2468A"/>
    <w:rsid w:val="33B379AD"/>
    <w:rsid w:val="33B51A84"/>
    <w:rsid w:val="33B65F04"/>
    <w:rsid w:val="33BA21DB"/>
    <w:rsid w:val="33BA52ED"/>
    <w:rsid w:val="33BB1C1D"/>
    <w:rsid w:val="33BB719D"/>
    <w:rsid w:val="33C00B55"/>
    <w:rsid w:val="33C30645"/>
    <w:rsid w:val="33C70135"/>
    <w:rsid w:val="33C97851"/>
    <w:rsid w:val="33CC574C"/>
    <w:rsid w:val="33CF0D98"/>
    <w:rsid w:val="33CF6FEA"/>
    <w:rsid w:val="33D04B10"/>
    <w:rsid w:val="33D14B42"/>
    <w:rsid w:val="33D22636"/>
    <w:rsid w:val="33D77C4D"/>
    <w:rsid w:val="33E30779"/>
    <w:rsid w:val="33E365F1"/>
    <w:rsid w:val="33E505BB"/>
    <w:rsid w:val="33ED56C2"/>
    <w:rsid w:val="33F37A79"/>
    <w:rsid w:val="33F97BCD"/>
    <w:rsid w:val="33FE27B0"/>
    <w:rsid w:val="33FE435F"/>
    <w:rsid w:val="33FE78CF"/>
    <w:rsid w:val="34000311"/>
    <w:rsid w:val="340071A3"/>
    <w:rsid w:val="340229DF"/>
    <w:rsid w:val="3403606D"/>
    <w:rsid w:val="34057CD5"/>
    <w:rsid w:val="34074F7F"/>
    <w:rsid w:val="340A1DD0"/>
    <w:rsid w:val="340B089E"/>
    <w:rsid w:val="340D18C0"/>
    <w:rsid w:val="34117602"/>
    <w:rsid w:val="34126ED7"/>
    <w:rsid w:val="341C0E3B"/>
    <w:rsid w:val="34237336"/>
    <w:rsid w:val="34267D52"/>
    <w:rsid w:val="342C61EA"/>
    <w:rsid w:val="342D3D10"/>
    <w:rsid w:val="342F1837"/>
    <w:rsid w:val="34302283"/>
    <w:rsid w:val="3431735D"/>
    <w:rsid w:val="343230D5"/>
    <w:rsid w:val="343D5A50"/>
    <w:rsid w:val="34403A44"/>
    <w:rsid w:val="344352E2"/>
    <w:rsid w:val="34446EC8"/>
    <w:rsid w:val="34472A8F"/>
    <w:rsid w:val="34476B80"/>
    <w:rsid w:val="344921BD"/>
    <w:rsid w:val="344B0E48"/>
    <w:rsid w:val="344C063B"/>
    <w:rsid w:val="344C23E9"/>
    <w:rsid w:val="344E78F1"/>
    <w:rsid w:val="34514C89"/>
    <w:rsid w:val="3453298E"/>
    <w:rsid w:val="345519EA"/>
    <w:rsid w:val="34643202"/>
    <w:rsid w:val="34727AF2"/>
    <w:rsid w:val="34732BC1"/>
    <w:rsid w:val="34733E19"/>
    <w:rsid w:val="347418D4"/>
    <w:rsid w:val="34767465"/>
    <w:rsid w:val="34772E16"/>
    <w:rsid w:val="34776692"/>
    <w:rsid w:val="347844BF"/>
    <w:rsid w:val="34787CDF"/>
    <w:rsid w:val="34831B82"/>
    <w:rsid w:val="34842DE4"/>
    <w:rsid w:val="348E387D"/>
    <w:rsid w:val="3492696B"/>
    <w:rsid w:val="3495041B"/>
    <w:rsid w:val="34967B08"/>
    <w:rsid w:val="349C2517"/>
    <w:rsid w:val="349D0E96"/>
    <w:rsid w:val="349F4C0E"/>
    <w:rsid w:val="34A2025B"/>
    <w:rsid w:val="34A239D4"/>
    <w:rsid w:val="34A568D8"/>
    <w:rsid w:val="34AB5F2C"/>
    <w:rsid w:val="34AE4E51"/>
    <w:rsid w:val="34B302FA"/>
    <w:rsid w:val="34BD32E6"/>
    <w:rsid w:val="34BE37C2"/>
    <w:rsid w:val="34BF705E"/>
    <w:rsid w:val="34C046C0"/>
    <w:rsid w:val="34C1630D"/>
    <w:rsid w:val="34C55BEC"/>
    <w:rsid w:val="34C65CA3"/>
    <w:rsid w:val="34CA155F"/>
    <w:rsid w:val="34D10B40"/>
    <w:rsid w:val="34D249DE"/>
    <w:rsid w:val="34D67F04"/>
    <w:rsid w:val="34D94D83"/>
    <w:rsid w:val="34DA5C46"/>
    <w:rsid w:val="34DD7391"/>
    <w:rsid w:val="34E42621"/>
    <w:rsid w:val="34E70631"/>
    <w:rsid w:val="34EA2EB6"/>
    <w:rsid w:val="34EA39B0"/>
    <w:rsid w:val="34EB7E53"/>
    <w:rsid w:val="34F07218"/>
    <w:rsid w:val="34F34F5A"/>
    <w:rsid w:val="34FF56AD"/>
    <w:rsid w:val="35026026"/>
    <w:rsid w:val="350B0F2C"/>
    <w:rsid w:val="351153E0"/>
    <w:rsid w:val="35131158"/>
    <w:rsid w:val="351A24E7"/>
    <w:rsid w:val="351A6043"/>
    <w:rsid w:val="351F7AFD"/>
    <w:rsid w:val="35215623"/>
    <w:rsid w:val="353115DE"/>
    <w:rsid w:val="35330AB9"/>
    <w:rsid w:val="3533180D"/>
    <w:rsid w:val="35371A5D"/>
    <w:rsid w:val="353A054E"/>
    <w:rsid w:val="353E4E8E"/>
    <w:rsid w:val="354237EC"/>
    <w:rsid w:val="35472BB0"/>
    <w:rsid w:val="35473E89"/>
    <w:rsid w:val="354A4FEA"/>
    <w:rsid w:val="355157DD"/>
    <w:rsid w:val="355317F6"/>
    <w:rsid w:val="355344E3"/>
    <w:rsid w:val="355359F9"/>
    <w:rsid w:val="355633FB"/>
    <w:rsid w:val="35574ED2"/>
    <w:rsid w:val="35577297"/>
    <w:rsid w:val="355C6F62"/>
    <w:rsid w:val="355D23D3"/>
    <w:rsid w:val="355F279D"/>
    <w:rsid w:val="355F439E"/>
    <w:rsid w:val="35635C3C"/>
    <w:rsid w:val="356B4AF0"/>
    <w:rsid w:val="356F257B"/>
    <w:rsid w:val="35702309"/>
    <w:rsid w:val="35725E7F"/>
    <w:rsid w:val="35792C91"/>
    <w:rsid w:val="357E0CC8"/>
    <w:rsid w:val="358D2CB9"/>
    <w:rsid w:val="359151BB"/>
    <w:rsid w:val="3592089F"/>
    <w:rsid w:val="359C114E"/>
    <w:rsid w:val="359E6C74"/>
    <w:rsid w:val="359F29EC"/>
    <w:rsid w:val="359F6247"/>
    <w:rsid w:val="35A04DED"/>
    <w:rsid w:val="35A1282F"/>
    <w:rsid w:val="35A40EA8"/>
    <w:rsid w:val="35A41DB0"/>
    <w:rsid w:val="35A67C02"/>
    <w:rsid w:val="35AD6EB7"/>
    <w:rsid w:val="35B20971"/>
    <w:rsid w:val="35B244CD"/>
    <w:rsid w:val="35B60280"/>
    <w:rsid w:val="35BA2F7B"/>
    <w:rsid w:val="35BA7826"/>
    <w:rsid w:val="35C365E6"/>
    <w:rsid w:val="35CF1523"/>
    <w:rsid w:val="35D0643C"/>
    <w:rsid w:val="35D15138"/>
    <w:rsid w:val="35D24B6F"/>
    <w:rsid w:val="35D6469B"/>
    <w:rsid w:val="35E0450C"/>
    <w:rsid w:val="35E054DE"/>
    <w:rsid w:val="35E86141"/>
    <w:rsid w:val="35EC0748"/>
    <w:rsid w:val="35ED19A9"/>
    <w:rsid w:val="35EF127D"/>
    <w:rsid w:val="35F40026"/>
    <w:rsid w:val="35F9034E"/>
    <w:rsid w:val="35F93ED4"/>
    <w:rsid w:val="35FA7C22"/>
    <w:rsid w:val="35FB52CC"/>
    <w:rsid w:val="35FC1151"/>
    <w:rsid w:val="36015455"/>
    <w:rsid w:val="360A255B"/>
    <w:rsid w:val="36105698"/>
    <w:rsid w:val="36166992"/>
    <w:rsid w:val="361B6DEA"/>
    <w:rsid w:val="361F414E"/>
    <w:rsid w:val="36203B2D"/>
    <w:rsid w:val="36220A3F"/>
    <w:rsid w:val="36233EDC"/>
    <w:rsid w:val="36237179"/>
    <w:rsid w:val="3627310D"/>
    <w:rsid w:val="3628478F"/>
    <w:rsid w:val="362D5BDB"/>
    <w:rsid w:val="362F5B1E"/>
    <w:rsid w:val="36301896"/>
    <w:rsid w:val="363B067A"/>
    <w:rsid w:val="363B0967"/>
    <w:rsid w:val="363B09E9"/>
    <w:rsid w:val="363C023B"/>
    <w:rsid w:val="363D5FAB"/>
    <w:rsid w:val="363E1199"/>
    <w:rsid w:val="36435A6D"/>
    <w:rsid w:val="3643685C"/>
    <w:rsid w:val="36453593"/>
    <w:rsid w:val="364610BA"/>
    <w:rsid w:val="36486BE0"/>
    <w:rsid w:val="364A2958"/>
    <w:rsid w:val="364A6DFC"/>
    <w:rsid w:val="364C4922"/>
    <w:rsid w:val="36547BA8"/>
    <w:rsid w:val="36555259"/>
    <w:rsid w:val="365C2BAC"/>
    <w:rsid w:val="365F1D70"/>
    <w:rsid w:val="36617CA1"/>
    <w:rsid w:val="36657792"/>
    <w:rsid w:val="3666059D"/>
    <w:rsid w:val="366B77A3"/>
    <w:rsid w:val="366E2AEA"/>
    <w:rsid w:val="36754B7C"/>
    <w:rsid w:val="367564D2"/>
    <w:rsid w:val="36785717"/>
    <w:rsid w:val="3679148F"/>
    <w:rsid w:val="36794FEB"/>
    <w:rsid w:val="367C6B7E"/>
    <w:rsid w:val="36851BE2"/>
    <w:rsid w:val="3687718E"/>
    <w:rsid w:val="369462C9"/>
    <w:rsid w:val="36962041"/>
    <w:rsid w:val="36A63183"/>
    <w:rsid w:val="36A75FFC"/>
    <w:rsid w:val="36B129D7"/>
    <w:rsid w:val="36B6361B"/>
    <w:rsid w:val="36B81FB7"/>
    <w:rsid w:val="36B9254D"/>
    <w:rsid w:val="36BA1D46"/>
    <w:rsid w:val="36BB1AA7"/>
    <w:rsid w:val="36C13A95"/>
    <w:rsid w:val="36C208FF"/>
    <w:rsid w:val="36C24BE4"/>
    <w:rsid w:val="36CC5A63"/>
    <w:rsid w:val="36CD3E9A"/>
    <w:rsid w:val="36CD6216"/>
    <w:rsid w:val="36D13079"/>
    <w:rsid w:val="36D16B63"/>
    <w:rsid w:val="36D36DF1"/>
    <w:rsid w:val="36DB3EF8"/>
    <w:rsid w:val="36E43036"/>
    <w:rsid w:val="36E7464B"/>
    <w:rsid w:val="36EE59D9"/>
    <w:rsid w:val="36EF2870"/>
    <w:rsid w:val="36EF52AD"/>
    <w:rsid w:val="36F823B4"/>
    <w:rsid w:val="36FB00F6"/>
    <w:rsid w:val="36FF3AD9"/>
    <w:rsid w:val="37046FAB"/>
    <w:rsid w:val="37094303"/>
    <w:rsid w:val="370C40B1"/>
    <w:rsid w:val="37117919"/>
    <w:rsid w:val="37133441"/>
    <w:rsid w:val="371425D1"/>
    <w:rsid w:val="37177A8A"/>
    <w:rsid w:val="371A4A20"/>
    <w:rsid w:val="371B49F9"/>
    <w:rsid w:val="371F4121"/>
    <w:rsid w:val="37270EEB"/>
    <w:rsid w:val="37272C99"/>
    <w:rsid w:val="37294C63"/>
    <w:rsid w:val="37296A11"/>
    <w:rsid w:val="372B09DB"/>
    <w:rsid w:val="372E04CB"/>
    <w:rsid w:val="372E2279"/>
    <w:rsid w:val="372E4027"/>
    <w:rsid w:val="37337890"/>
    <w:rsid w:val="373C3AA1"/>
    <w:rsid w:val="373C4996"/>
    <w:rsid w:val="37492C0F"/>
    <w:rsid w:val="374B2E2B"/>
    <w:rsid w:val="374B5E63"/>
    <w:rsid w:val="374E0226"/>
    <w:rsid w:val="37517604"/>
    <w:rsid w:val="37557806"/>
    <w:rsid w:val="3758535C"/>
    <w:rsid w:val="37585548"/>
    <w:rsid w:val="375A4D36"/>
    <w:rsid w:val="375B253A"/>
    <w:rsid w:val="37610E55"/>
    <w:rsid w:val="3763752E"/>
    <w:rsid w:val="37655736"/>
    <w:rsid w:val="37694F63"/>
    <w:rsid w:val="376E2676"/>
    <w:rsid w:val="377063EE"/>
    <w:rsid w:val="37732382"/>
    <w:rsid w:val="37757EA8"/>
    <w:rsid w:val="377625F9"/>
    <w:rsid w:val="37774D6F"/>
    <w:rsid w:val="377834F5"/>
    <w:rsid w:val="377C1237"/>
    <w:rsid w:val="377C36CE"/>
    <w:rsid w:val="37847C2A"/>
    <w:rsid w:val="37977E1F"/>
    <w:rsid w:val="37985945"/>
    <w:rsid w:val="37991DE9"/>
    <w:rsid w:val="379E11AD"/>
    <w:rsid w:val="379E6AAE"/>
    <w:rsid w:val="37A10C9D"/>
    <w:rsid w:val="37A4253C"/>
    <w:rsid w:val="37A83DDA"/>
    <w:rsid w:val="37B3277F"/>
    <w:rsid w:val="37B704C1"/>
    <w:rsid w:val="37BD7150"/>
    <w:rsid w:val="37CB7AC8"/>
    <w:rsid w:val="37D22C05"/>
    <w:rsid w:val="37D30956"/>
    <w:rsid w:val="37D32078"/>
    <w:rsid w:val="37D44BCF"/>
    <w:rsid w:val="37D827C8"/>
    <w:rsid w:val="37D921E5"/>
    <w:rsid w:val="37E063FC"/>
    <w:rsid w:val="37E40B8A"/>
    <w:rsid w:val="37E5630E"/>
    <w:rsid w:val="37EB1F18"/>
    <w:rsid w:val="37ED5C91"/>
    <w:rsid w:val="37F04EB7"/>
    <w:rsid w:val="37F0752F"/>
    <w:rsid w:val="37F4701F"/>
    <w:rsid w:val="37FF7772"/>
    <w:rsid w:val="38042FDA"/>
    <w:rsid w:val="3808478E"/>
    <w:rsid w:val="38086A4E"/>
    <w:rsid w:val="380A0E48"/>
    <w:rsid w:val="3814146F"/>
    <w:rsid w:val="3815177D"/>
    <w:rsid w:val="38156F95"/>
    <w:rsid w:val="38170F5F"/>
    <w:rsid w:val="38174ABC"/>
    <w:rsid w:val="381B27FE"/>
    <w:rsid w:val="381C0324"/>
    <w:rsid w:val="381C47C8"/>
    <w:rsid w:val="38207E14"/>
    <w:rsid w:val="38237904"/>
    <w:rsid w:val="382947EF"/>
    <w:rsid w:val="382E2E63"/>
    <w:rsid w:val="38333BBA"/>
    <w:rsid w:val="383601D2"/>
    <w:rsid w:val="383733B0"/>
    <w:rsid w:val="38376F0C"/>
    <w:rsid w:val="383D0B98"/>
    <w:rsid w:val="38406CB4"/>
    <w:rsid w:val="38501BC0"/>
    <w:rsid w:val="38523CA7"/>
    <w:rsid w:val="38534971"/>
    <w:rsid w:val="38547A46"/>
    <w:rsid w:val="38553D15"/>
    <w:rsid w:val="385C6972"/>
    <w:rsid w:val="385D2078"/>
    <w:rsid w:val="385E093C"/>
    <w:rsid w:val="3862667F"/>
    <w:rsid w:val="38677F3D"/>
    <w:rsid w:val="38683569"/>
    <w:rsid w:val="3872263A"/>
    <w:rsid w:val="387243E8"/>
    <w:rsid w:val="38767769"/>
    <w:rsid w:val="3879301A"/>
    <w:rsid w:val="387F1851"/>
    <w:rsid w:val="388271D8"/>
    <w:rsid w:val="388603D7"/>
    <w:rsid w:val="388A44E5"/>
    <w:rsid w:val="388E07E1"/>
    <w:rsid w:val="38934A8A"/>
    <w:rsid w:val="38991974"/>
    <w:rsid w:val="389B393F"/>
    <w:rsid w:val="38A71544"/>
    <w:rsid w:val="38A81BB8"/>
    <w:rsid w:val="38A8605B"/>
    <w:rsid w:val="38AA1B3D"/>
    <w:rsid w:val="38C033A5"/>
    <w:rsid w:val="38CA7D80"/>
    <w:rsid w:val="38CC1D4A"/>
    <w:rsid w:val="38CD0F8C"/>
    <w:rsid w:val="38CD4ED7"/>
    <w:rsid w:val="38D155B2"/>
    <w:rsid w:val="38D44413"/>
    <w:rsid w:val="38DF4F13"/>
    <w:rsid w:val="38E455B7"/>
    <w:rsid w:val="38E52E0C"/>
    <w:rsid w:val="38E57EC0"/>
    <w:rsid w:val="38E726E0"/>
    <w:rsid w:val="38EA21D0"/>
    <w:rsid w:val="38F36F42"/>
    <w:rsid w:val="38F44DFD"/>
    <w:rsid w:val="38F86112"/>
    <w:rsid w:val="390019F4"/>
    <w:rsid w:val="390239BE"/>
    <w:rsid w:val="39071953"/>
    <w:rsid w:val="39072D82"/>
    <w:rsid w:val="39074B30"/>
    <w:rsid w:val="39094D4C"/>
    <w:rsid w:val="390C65EA"/>
    <w:rsid w:val="39177752"/>
    <w:rsid w:val="39182A92"/>
    <w:rsid w:val="391B682D"/>
    <w:rsid w:val="391D25A6"/>
    <w:rsid w:val="391D40DB"/>
    <w:rsid w:val="3921753F"/>
    <w:rsid w:val="3922196A"/>
    <w:rsid w:val="39237490"/>
    <w:rsid w:val="39243934"/>
    <w:rsid w:val="3925145A"/>
    <w:rsid w:val="392751D2"/>
    <w:rsid w:val="392A081F"/>
    <w:rsid w:val="392A50F9"/>
    <w:rsid w:val="392A6A70"/>
    <w:rsid w:val="392B7033"/>
    <w:rsid w:val="39333B77"/>
    <w:rsid w:val="393A4F06"/>
    <w:rsid w:val="393F42CA"/>
    <w:rsid w:val="3942025E"/>
    <w:rsid w:val="3942200C"/>
    <w:rsid w:val="39484E43"/>
    <w:rsid w:val="39495149"/>
    <w:rsid w:val="394B0F02"/>
    <w:rsid w:val="394B64EB"/>
    <w:rsid w:val="394D4917"/>
    <w:rsid w:val="39513FFD"/>
    <w:rsid w:val="395301C6"/>
    <w:rsid w:val="395F7B34"/>
    <w:rsid w:val="39620DB2"/>
    <w:rsid w:val="39671A73"/>
    <w:rsid w:val="39685583"/>
    <w:rsid w:val="39694629"/>
    <w:rsid w:val="396B3311"/>
    <w:rsid w:val="396E05FD"/>
    <w:rsid w:val="39711B3C"/>
    <w:rsid w:val="3977257D"/>
    <w:rsid w:val="39777F08"/>
    <w:rsid w:val="39783EEE"/>
    <w:rsid w:val="397F500E"/>
    <w:rsid w:val="39803F30"/>
    <w:rsid w:val="39846181"/>
    <w:rsid w:val="3987611A"/>
    <w:rsid w:val="39893797"/>
    <w:rsid w:val="398960D8"/>
    <w:rsid w:val="398E34A3"/>
    <w:rsid w:val="399D5552"/>
    <w:rsid w:val="39A24859"/>
    <w:rsid w:val="39A44A75"/>
    <w:rsid w:val="39AE76A2"/>
    <w:rsid w:val="39BA6046"/>
    <w:rsid w:val="39BC591B"/>
    <w:rsid w:val="39BD1693"/>
    <w:rsid w:val="39BE5F6D"/>
    <w:rsid w:val="39BF2C5D"/>
    <w:rsid w:val="39BF608C"/>
    <w:rsid w:val="39C14A52"/>
    <w:rsid w:val="39C24EFB"/>
    <w:rsid w:val="39C649EB"/>
    <w:rsid w:val="39C80763"/>
    <w:rsid w:val="39D0733C"/>
    <w:rsid w:val="39D30EB6"/>
    <w:rsid w:val="39D32C64"/>
    <w:rsid w:val="39D72754"/>
    <w:rsid w:val="39D8471E"/>
    <w:rsid w:val="39DA3FF3"/>
    <w:rsid w:val="39DE7172"/>
    <w:rsid w:val="39E249FB"/>
    <w:rsid w:val="39E76710"/>
    <w:rsid w:val="39EC1415"/>
    <w:rsid w:val="39EC7A08"/>
    <w:rsid w:val="39F2758E"/>
    <w:rsid w:val="39F57E6B"/>
    <w:rsid w:val="39F94DC1"/>
    <w:rsid w:val="39F96B6F"/>
    <w:rsid w:val="39FD4154"/>
    <w:rsid w:val="3A0A0D7C"/>
    <w:rsid w:val="3A0B4AF4"/>
    <w:rsid w:val="3A0D261A"/>
    <w:rsid w:val="3A0E1EEE"/>
    <w:rsid w:val="3A0F7D08"/>
    <w:rsid w:val="3A134E7D"/>
    <w:rsid w:val="3A175F4F"/>
    <w:rsid w:val="3A1C022D"/>
    <w:rsid w:val="3A1D7D60"/>
    <w:rsid w:val="3A1F40FB"/>
    <w:rsid w:val="3A233940"/>
    <w:rsid w:val="3A362051"/>
    <w:rsid w:val="3A3B7187"/>
    <w:rsid w:val="3A3E0A25"/>
    <w:rsid w:val="3A3E4582"/>
    <w:rsid w:val="3A417244"/>
    <w:rsid w:val="3A430DC5"/>
    <w:rsid w:val="3A4D6EBA"/>
    <w:rsid w:val="3A5169AB"/>
    <w:rsid w:val="3A5948B6"/>
    <w:rsid w:val="3A5B3385"/>
    <w:rsid w:val="3A5E2E76"/>
    <w:rsid w:val="3A6164C2"/>
    <w:rsid w:val="3A616CB3"/>
    <w:rsid w:val="3A6366DE"/>
    <w:rsid w:val="3A661D2A"/>
    <w:rsid w:val="3A6A3C90"/>
    <w:rsid w:val="3A6A7A6C"/>
    <w:rsid w:val="3A6F0BDF"/>
    <w:rsid w:val="3A7026C0"/>
    <w:rsid w:val="3A7A7CE8"/>
    <w:rsid w:val="3A7C154E"/>
    <w:rsid w:val="3A814C06"/>
    <w:rsid w:val="3A886145"/>
    <w:rsid w:val="3A887EF3"/>
    <w:rsid w:val="3A940645"/>
    <w:rsid w:val="3A962504"/>
    <w:rsid w:val="3A971EE4"/>
    <w:rsid w:val="3A976388"/>
    <w:rsid w:val="3A9B44DE"/>
    <w:rsid w:val="3AA12D62"/>
    <w:rsid w:val="3AA254FB"/>
    <w:rsid w:val="3AA50AA5"/>
    <w:rsid w:val="3AA74DFC"/>
    <w:rsid w:val="3AA80595"/>
    <w:rsid w:val="3AAA7E69"/>
    <w:rsid w:val="3AB147AE"/>
    <w:rsid w:val="3AB24F6F"/>
    <w:rsid w:val="3ABC74D0"/>
    <w:rsid w:val="3ABF3D79"/>
    <w:rsid w:val="3AC32CD9"/>
    <w:rsid w:val="3AC737E5"/>
    <w:rsid w:val="3AC84793"/>
    <w:rsid w:val="3ACA4067"/>
    <w:rsid w:val="3ADD1FEC"/>
    <w:rsid w:val="3AE2320C"/>
    <w:rsid w:val="3AE27603"/>
    <w:rsid w:val="3AED7D56"/>
    <w:rsid w:val="3AEF3ACE"/>
    <w:rsid w:val="3AEF7F72"/>
    <w:rsid w:val="3AF13CEA"/>
    <w:rsid w:val="3AFB7663"/>
    <w:rsid w:val="3B053544"/>
    <w:rsid w:val="3B070E17"/>
    <w:rsid w:val="3B106B2E"/>
    <w:rsid w:val="3B11613A"/>
    <w:rsid w:val="3B143534"/>
    <w:rsid w:val="3B1B329B"/>
    <w:rsid w:val="3B1F2605"/>
    <w:rsid w:val="3B251BE5"/>
    <w:rsid w:val="3B262559"/>
    <w:rsid w:val="3B2848D3"/>
    <w:rsid w:val="3B2B5D6A"/>
    <w:rsid w:val="3B345C1D"/>
    <w:rsid w:val="3B4404BC"/>
    <w:rsid w:val="3B490AA2"/>
    <w:rsid w:val="3B510914"/>
    <w:rsid w:val="3B561D9F"/>
    <w:rsid w:val="3B583F6F"/>
    <w:rsid w:val="3B5A188F"/>
    <w:rsid w:val="3B61315C"/>
    <w:rsid w:val="3B64380F"/>
    <w:rsid w:val="3B677B08"/>
    <w:rsid w:val="3B697D24"/>
    <w:rsid w:val="3B6B1FB1"/>
    <w:rsid w:val="3B7B2482"/>
    <w:rsid w:val="3B7F24D9"/>
    <w:rsid w:val="3B822519"/>
    <w:rsid w:val="3B8425F7"/>
    <w:rsid w:val="3B84690C"/>
    <w:rsid w:val="3B850E9A"/>
    <w:rsid w:val="3B852B91"/>
    <w:rsid w:val="3B861D71"/>
    <w:rsid w:val="3B862684"/>
    <w:rsid w:val="3B951A5F"/>
    <w:rsid w:val="3BA05B03"/>
    <w:rsid w:val="3BA174BE"/>
    <w:rsid w:val="3BA26D92"/>
    <w:rsid w:val="3BA96372"/>
    <w:rsid w:val="3BB30F9F"/>
    <w:rsid w:val="3BB644B4"/>
    <w:rsid w:val="3BB85D98"/>
    <w:rsid w:val="3BBE659E"/>
    <w:rsid w:val="3BC44F5A"/>
    <w:rsid w:val="3BCC5A66"/>
    <w:rsid w:val="3BCD2541"/>
    <w:rsid w:val="3BCD4059"/>
    <w:rsid w:val="3BD258C9"/>
    <w:rsid w:val="3BD333EF"/>
    <w:rsid w:val="3BDA29D0"/>
    <w:rsid w:val="3BE21884"/>
    <w:rsid w:val="3BE36F7E"/>
    <w:rsid w:val="3BE50B4F"/>
    <w:rsid w:val="3BE60C30"/>
    <w:rsid w:val="3BE7491A"/>
    <w:rsid w:val="3BE74A70"/>
    <w:rsid w:val="3BE94E5D"/>
    <w:rsid w:val="3BF35840"/>
    <w:rsid w:val="3BF515B8"/>
    <w:rsid w:val="3C027831"/>
    <w:rsid w:val="3C0356A1"/>
    <w:rsid w:val="3C067321"/>
    <w:rsid w:val="3C092149"/>
    <w:rsid w:val="3C0D06AF"/>
    <w:rsid w:val="3C0E4427"/>
    <w:rsid w:val="3C1063F2"/>
    <w:rsid w:val="3C1A101E"/>
    <w:rsid w:val="3C1C08F2"/>
    <w:rsid w:val="3C237ED3"/>
    <w:rsid w:val="3C2E6878"/>
    <w:rsid w:val="3C326368"/>
    <w:rsid w:val="3C3E432E"/>
    <w:rsid w:val="3C3E4D0D"/>
    <w:rsid w:val="3C400349"/>
    <w:rsid w:val="3C437D23"/>
    <w:rsid w:val="3C4E12C7"/>
    <w:rsid w:val="3C5067EE"/>
    <w:rsid w:val="3C5462DE"/>
    <w:rsid w:val="3C574020"/>
    <w:rsid w:val="3C575DCE"/>
    <w:rsid w:val="3C5A0E5E"/>
    <w:rsid w:val="3C5A58BF"/>
    <w:rsid w:val="3C5E53AF"/>
    <w:rsid w:val="3C6109FB"/>
    <w:rsid w:val="3C636521"/>
    <w:rsid w:val="3C6504EB"/>
    <w:rsid w:val="3C672627"/>
    <w:rsid w:val="3C6A6E4F"/>
    <w:rsid w:val="3C6F136A"/>
    <w:rsid w:val="3C710AE1"/>
    <w:rsid w:val="3C720C49"/>
    <w:rsid w:val="3C720E5A"/>
    <w:rsid w:val="3C7324DC"/>
    <w:rsid w:val="3C797AF3"/>
    <w:rsid w:val="3C85293C"/>
    <w:rsid w:val="3C89072F"/>
    <w:rsid w:val="3C8E3D9D"/>
    <w:rsid w:val="3C932F87"/>
    <w:rsid w:val="3C9A53AC"/>
    <w:rsid w:val="3CA134EE"/>
    <w:rsid w:val="3CA46B9A"/>
    <w:rsid w:val="3CA52FDE"/>
    <w:rsid w:val="3CAA05F4"/>
    <w:rsid w:val="3CAC30A0"/>
    <w:rsid w:val="3CB32EA4"/>
    <w:rsid w:val="3CB43221"/>
    <w:rsid w:val="3CB72AF8"/>
    <w:rsid w:val="3CB72D11"/>
    <w:rsid w:val="3CB83E5F"/>
    <w:rsid w:val="3CB96358"/>
    <w:rsid w:val="3CBB7969"/>
    <w:rsid w:val="3CCB04A6"/>
    <w:rsid w:val="3CCF3A9D"/>
    <w:rsid w:val="3CD13DD3"/>
    <w:rsid w:val="3CD37326"/>
    <w:rsid w:val="3CD613E9"/>
    <w:rsid w:val="3CD94A35"/>
    <w:rsid w:val="3CE21EBF"/>
    <w:rsid w:val="3CE31410"/>
    <w:rsid w:val="3CE73242"/>
    <w:rsid w:val="3CF370AD"/>
    <w:rsid w:val="3CF97B9B"/>
    <w:rsid w:val="3CFE26EE"/>
    <w:rsid w:val="3D000214"/>
    <w:rsid w:val="3D0108B6"/>
    <w:rsid w:val="3D015D3A"/>
    <w:rsid w:val="3D053A7C"/>
    <w:rsid w:val="3D074D6B"/>
    <w:rsid w:val="3D097605"/>
    <w:rsid w:val="3D0B661E"/>
    <w:rsid w:val="3D0D2931"/>
    <w:rsid w:val="3D107477"/>
    <w:rsid w:val="3D112FA1"/>
    <w:rsid w:val="3D136199"/>
    <w:rsid w:val="3D1B3AA0"/>
    <w:rsid w:val="3D1C4922"/>
    <w:rsid w:val="3D1D0DC6"/>
    <w:rsid w:val="3D1E069A"/>
    <w:rsid w:val="3D1F3A58"/>
    <w:rsid w:val="3D205912"/>
    <w:rsid w:val="3D21646D"/>
    <w:rsid w:val="3D235CB1"/>
    <w:rsid w:val="3D240381"/>
    <w:rsid w:val="3D25680A"/>
    <w:rsid w:val="3D2C1009"/>
    <w:rsid w:val="3D2D6B2F"/>
    <w:rsid w:val="3D326187"/>
    <w:rsid w:val="3D337B5A"/>
    <w:rsid w:val="3D393726"/>
    <w:rsid w:val="3D3E2AEA"/>
    <w:rsid w:val="3D4129FD"/>
    <w:rsid w:val="3D477BF1"/>
    <w:rsid w:val="3D491BBB"/>
    <w:rsid w:val="3D4A5933"/>
    <w:rsid w:val="3D4C5207"/>
    <w:rsid w:val="3D583BAC"/>
    <w:rsid w:val="3D5A01A3"/>
    <w:rsid w:val="3D5A4182"/>
    <w:rsid w:val="3D5F3D2B"/>
    <w:rsid w:val="3D6467F1"/>
    <w:rsid w:val="3D785FFC"/>
    <w:rsid w:val="3D7B429B"/>
    <w:rsid w:val="3D7D3613"/>
    <w:rsid w:val="3D801355"/>
    <w:rsid w:val="3D876422"/>
    <w:rsid w:val="3D886B26"/>
    <w:rsid w:val="3D8E3FF0"/>
    <w:rsid w:val="3D902F83"/>
    <w:rsid w:val="3D93111C"/>
    <w:rsid w:val="3D960B78"/>
    <w:rsid w:val="3DA05553"/>
    <w:rsid w:val="3DA212CB"/>
    <w:rsid w:val="3DAD3C5C"/>
    <w:rsid w:val="3DAF5796"/>
    <w:rsid w:val="3DBC11B7"/>
    <w:rsid w:val="3DBE7384"/>
    <w:rsid w:val="3DBF3C2B"/>
    <w:rsid w:val="3DD0488A"/>
    <w:rsid w:val="3DDA71AB"/>
    <w:rsid w:val="3DDC2A2F"/>
    <w:rsid w:val="3DDF0A02"/>
    <w:rsid w:val="3DE840CE"/>
    <w:rsid w:val="3DE91F16"/>
    <w:rsid w:val="3DE9514C"/>
    <w:rsid w:val="3DEB0EC4"/>
    <w:rsid w:val="3DF07218"/>
    <w:rsid w:val="3DF137F1"/>
    <w:rsid w:val="3DF24001"/>
    <w:rsid w:val="3DF34201"/>
    <w:rsid w:val="3DF35FE3"/>
    <w:rsid w:val="3DF77869"/>
    <w:rsid w:val="3DF83031"/>
    <w:rsid w:val="3DF8538F"/>
    <w:rsid w:val="3DFF227A"/>
    <w:rsid w:val="3E025D44"/>
    <w:rsid w:val="3E077648"/>
    <w:rsid w:val="3E083824"/>
    <w:rsid w:val="3E097DBF"/>
    <w:rsid w:val="3E165305"/>
    <w:rsid w:val="3E18333B"/>
    <w:rsid w:val="3E1E2F48"/>
    <w:rsid w:val="3E21415B"/>
    <w:rsid w:val="3E261EFC"/>
    <w:rsid w:val="3E287A22"/>
    <w:rsid w:val="3E2B306F"/>
    <w:rsid w:val="3E2C636E"/>
    <w:rsid w:val="3E3233C7"/>
    <w:rsid w:val="3E353EED"/>
    <w:rsid w:val="3E377B7C"/>
    <w:rsid w:val="3E3A59A8"/>
    <w:rsid w:val="3E432AAE"/>
    <w:rsid w:val="3E442382"/>
    <w:rsid w:val="3E4B1963"/>
    <w:rsid w:val="3E506F79"/>
    <w:rsid w:val="3E5314ED"/>
    <w:rsid w:val="3E5527E2"/>
    <w:rsid w:val="3E5A7DF8"/>
    <w:rsid w:val="3E5E1696"/>
    <w:rsid w:val="3E645821"/>
    <w:rsid w:val="3E6842C3"/>
    <w:rsid w:val="3E695BB7"/>
    <w:rsid w:val="3E6B4A90"/>
    <w:rsid w:val="3E6D18D9"/>
    <w:rsid w:val="3E7013C9"/>
    <w:rsid w:val="3E725142"/>
    <w:rsid w:val="3E7358EE"/>
    <w:rsid w:val="3E7A14AF"/>
    <w:rsid w:val="3E7D2A9D"/>
    <w:rsid w:val="3E8F7AA2"/>
    <w:rsid w:val="3E9B175F"/>
    <w:rsid w:val="3EA13331"/>
    <w:rsid w:val="3EA3354D"/>
    <w:rsid w:val="3EAB0654"/>
    <w:rsid w:val="3EAB45EF"/>
    <w:rsid w:val="3EAD7F28"/>
    <w:rsid w:val="3EB15CC0"/>
    <w:rsid w:val="3EB20E72"/>
    <w:rsid w:val="3EB2553E"/>
    <w:rsid w:val="3EB367B8"/>
    <w:rsid w:val="3EB602D6"/>
    <w:rsid w:val="3EB76FF8"/>
    <w:rsid w:val="3EB957BC"/>
    <w:rsid w:val="3EBA2645"/>
    <w:rsid w:val="3EC60FE9"/>
    <w:rsid w:val="3EC82FB3"/>
    <w:rsid w:val="3ECA0ADA"/>
    <w:rsid w:val="3ECA21A1"/>
    <w:rsid w:val="3ECB4852"/>
    <w:rsid w:val="3ECD05CA"/>
    <w:rsid w:val="3ED15B69"/>
    <w:rsid w:val="3ED2798E"/>
    <w:rsid w:val="3ED36AD5"/>
    <w:rsid w:val="3ED43706"/>
    <w:rsid w:val="3ED731F7"/>
    <w:rsid w:val="3ED929DD"/>
    <w:rsid w:val="3EDB4A95"/>
    <w:rsid w:val="3EDF3E59"/>
    <w:rsid w:val="3EE1037F"/>
    <w:rsid w:val="3EE37DED"/>
    <w:rsid w:val="3EEA117C"/>
    <w:rsid w:val="3EEB3D23"/>
    <w:rsid w:val="3EEE052C"/>
    <w:rsid w:val="3EEE558E"/>
    <w:rsid w:val="3EF20030"/>
    <w:rsid w:val="3EF32C54"/>
    <w:rsid w:val="3EF73899"/>
    <w:rsid w:val="3F060F8B"/>
    <w:rsid w:val="3F074409"/>
    <w:rsid w:val="3F0833B0"/>
    <w:rsid w:val="3F1735F3"/>
    <w:rsid w:val="3F1C50AD"/>
    <w:rsid w:val="3F1C6E5B"/>
    <w:rsid w:val="3F2006FA"/>
    <w:rsid w:val="3F2521B4"/>
    <w:rsid w:val="3F2F4DE1"/>
    <w:rsid w:val="3F316F59"/>
    <w:rsid w:val="3F3411E7"/>
    <w:rsid w:val="3F3E2E2A"/>
    <w:rsid w:val="3F422D66"/>
    <w:rsid w:val="3F4310BB"/>
    <w:rsid w:val="3F436657"/>
    <w:rsid w:val="3F484CFB"/>
    <w:rsid w:val="3F496971"/>
    <w:rsid w:val="3F4B7904"/>
    <w:rsid w:val="3F4C63B7"/>
    <w:rsid w:val="3F4D34B9"/>
    <w:rsid w:val="3F5260C3"/>
    <w:rsid w:val="3F534A8D"/>
    <w:rsid w:val="3F5B5BD6"/>
    <w:rsid w:val="3F5D4601"/>
    <w:rsid w:val="3F685733"/>
    <w:rsid w:val="3F6A5047"/>
    <w:rsid w:val="3F6E3B5B"/>
    <w:rsid w:val="3F6E75E1"/>
    <w:rsid w:val="3F6F2427"/>
    <w:rsid w:val="3F6F58D5"/>
    <w:rsid w:val="3F700E43"/>
    <w:rsid w:val="3F7074C7"/>
    <w:rsid w:val="3F710232"/>
    <w:rsid w:val="3F7614A8"/>
    <w:rsid w:val="3F7722E4"/>
    <w:rsid w:val="3F7A2500"/>
    <w:rsid w:val="3F7D3D9E"/>
    <w:rsid w:val="3F7D5B4C"/>
    <w:rsid w:val="3F890995"/>
    <w:rsid w:val="3F8D3F69"/>
    <w:rsid w:val="3F9065B6"/>
    <w:rsid w:val="3F921DB0"/>
    <w:rsid w:val="3F9904AC"/>
    <w:rsid w:val="3F992D51"/>
    <w:rsid w:val="3F9B5FD2"/>
    <w:rsid w:val="3FA7706D"/>
    <w:rsid w:val="3FAB26E1"/>
    <w:rsid w:val="3FC11602"/>
    <w:rsid w:val="3FC4619C"/>
    <w:rsid w:val="3FC86385"/>
    <w:rsid w:val="3FCD3F2B"/>
    <w:rsid w:val="3FCF015B"/>
    <w:rsid w:val="3FCF2120"/>
    <w:rsid w:val="3FD339BE"/>
    <w:rsid w:val="3FDA4D4C"/>
    <w:rsid w:val="3FE1257F"/>
    <w:rsid w:val="3FE200A5"/>
    <w:rsid w:val="3FE91433"/>
    <w:rsid w:val="3FE95AE1"/>
    <w:rsid w:val="3FEC2DEE"/>
    <w:rsid w:val="3FEF7D8E"/>
    <w:rsid w:val="3FF04570"/>
    <w:rsid w:val="3FF10940"/>
    <w:rsid w:val="3FF56BCB"/>
    <w:rsid w:val="4001677D"/>
    <w:rsid w:val="40020664"/>
    <w:rsid w:val="4004626D"/>
    <w:rsid w:val="40054904"/>
    <w:rsid w:val="400973E0"/>
    <w:rsid w:val="4013200C"/>
    <w:rsid w:val="401D10DD"/>
    <w:rsid w:val="40210BCD"/>
    <w:rsid w:val="402514B9"/>
    <w:rsid w:val="402932CE"/>
    <w:rsid w:val="402E3643"/>
    <w:rsid w:val="40307062"/>
    <w:rsid w:val="40354679"/>
    <w:rsid w:val="40384169"/>
    <w:rsid w:val="403D52DB"/>
    <w:rsid w:val="403F72A5"/>
    <w:rsid w:val="4041301D"/>
    <w:rsid w:val="4044604D"/>
    <w:rsid w:val="40512B35"/>
    <w:rsid w:val="40520D87"/>
    <w:rsid w:val="40532D51"/>
    <w:rsid w:val="4058264D"/>
    <w:rsid w:val="4061721C"/>
    <w:rsid w:val="40624D42"/>
    <w:rsid w:val="40670DCC"/>
    <w:rsid w:val="406E7B8B"/>
    <w:rsid w:val="407F6327"/>
    <w:rsid w:val="4081341A"/>
    <w:rsid w:val="408338D7"/>
    <w:rsid w:val="40864ED4"/>
    <w:rsid w:val="408973D9"/>
    <w:rsid w:val="408A152D"/>
    <w:rsid w:val="409444EC"/>
    <w:rsid w:val="40970E8F"/>
    <w:rsid w:val="409B5D91"/>
    <w:rsid w:val="409D0057"/>
    <w:rsid w:val="409F2538"/>
    <w:rsid w:val="40A37834"/>
    <w:rsid w:val="40A62E81"/>
    <w:rsid w:val="40AB66E9"/>
    <w:rsid w:val="40AE6D3C"/>
    <w:rsid w:val="40AF442B"/>
    <w:rsid w:val="40B16D4C"/>
    <w:rsid w:val="40B66557"/>
    <w:rsid w:val="40C21D30"/>
    <w:rsid w:val="40C63523"/>
    <w:rsid w:val="40C81049"/>
    <w:rsid w:val="40C854ED"/>
    <w:rsid w:val="40C8729B"/>
    <w:rsid w:val="40C94DC1"/>
    <w:rsid w:val="40CB0B39"/>
    <w:rsid w:val="40CC536A"/>
    <w:rsid w:val="40CF23D7"/>
    <w:rsid w:val="40D24753"/>
    <w:rsid w:val="40D507A3"/>
    <w:rsid w:val="40DA51B9"/>
    <w:rsid w:val="40DC2D46"/>
    <w:rsid w:val="40E016DD"/>
    <w:rsid w:val="40E02836"/>
    <w:rsid w:val="40E1210B"/>
    <w:rsid w:val="40E37C31"/>
    <w:rsid w:val="40E655D8"/>
    <w:rsid w:val="40E8793D"/>
    <w:rsid w:val="40ED4F53"/>
    <w:rsid w:val="40F10356"/>
    <w:rsid w:val="40F37365"/>
    <w:rsid w:val="40F57964"/>
    <w:rsid w:val="40FB20DC"/>
    <w:rsid w:val="40FE59EA"/>
    <w:rsid w:val="410265EE"/>
    <w:rsid w:val="410B3574"/>
    <w:rsid w:val="410B7944"/>
    <w:rsid w:val="410E458E"/>
    <w:rsid w:val="41107CF5"/>
    <w:rsid w:val="41160006"/>
    <w:rsid w:val="411961B0"/>
    <w:rsid w:val="411B4114"/>
    <w:rsid w:val="411B561D"/>
    <w:rsid w:val="41212F3B"/>
    <w:rsid w:val="41250249"/>
    <w:rsid w:val="41285B87"/>
    <w:rsid w:val="412A3F1E"/>
    <w:rsid w:val="412E744C"/>
    <w:rsid w:val="412F3A1A"/>
    <w:rsid w:val="41362456"/>
    <w:rsid w:val="413D1A37"/>
    <w:rsid w:val="41412BA9"/>
    <w:rsid w:val="414203CD"/>
    <w:rsid w:val="414601C0"/>
    <w:rsid w:val="414C1C7A"/>
    <w:rsid w:val="414E54B9"/>
    <w:rsid w:val="41511ED7"/>
    <w:rsid w:val="41512E99"/>
    <w:rsid w:val="41546D80"/>
    <w:rsid w:val="415F3F89"/>
    <w:rsid w:val="41634BFA"/>
    <w:rsid w:val="416843E3"/>
    <w:rsid w:val="416A0352"/>
    <w:rsid w:val="416C20F1"/>
    <w:rsid w:val="4171348E"/>
    <w:rsid w:val="417265A7"/>
    <w:rsid w:val="4172782E"/>
    <w:rsid w:val="41744D2D"/>
    <w:rsid w:val="41791F64"/>
    <w:rsid w:val="417E45EC"/>
    <w:rsid w:val="418A1DD0"/>
    <w:rsid w:val="419378A9"/>
    <w:rsid w:val="41997E3F"/>
    <w:rsid w:val="41A01FC6"/>
    <w:rsid w:val="41A03D74"/>
    <w:rsid w:val="41A53138"/>
    <w:rsid w:val="41A970CC"/>
    <w:rsid w:val="41A97A3E"/>
    <w:rsid w:val="41AA2E44"/>
    <w:rsid w:val="41B15F81"/>
    <w:rsid w:val="41B25325"/>
    <w:rsid w:val="41B31CF9"/>
    <w:rsid w:val="41B65345"/>
    <w:rsid w:val="41B8730F"/>
    <w:rsid w:val="41BB0BAE"/>
    <w:rsid w:val="41BE5866"/>
    <w:rsid w:val="41C537DA"/>
    <w:rsid w:val="41D43A1D"/>
    <w:rsid w:val="41D81760"/>
    <w:rsid w:val="41DD6D76"/>
    <w:rsid w:val="41DF5526"/>
    <w:rsid w:val="41E62F32"/>
    <w:rsid w:val="41F3380A"/>
    <w:rsid w:val="41F77DC8"/>
    <w:rsid w:val="42042C8C"/>
    <w:rsid w:val="420C39E0"/>
    <w:rsid w:val="420E387E"/>
    <w:rsid w:val="4210232B"/>
    <w:rsid w:val="42194789"/>
    <w:rsid w:val="421B4F35"/>
    <w:rsid w:val="42220C2D"/>
    <w:rsid w:val="42262B46"/>
    <w:rsid w:val="42350960"/>
    <w:rsid w:val="42356343"/>
    <w:rsid w:val="42375347"/>
    <w:rsid w:val="423D6B08"/>
    <w:rsid w:val="423F358D"/>
    <w:rsid w:val="42402E61"/>
    <w:rsid w:val="42417305"/>
    <w:rsid w:val="424340B4"/>
    <w:rsid w:val="424C5CAA"/>
    <w:rsid w:val="424F7EBA"/>
    <w:rsid w:val="425608D6"/>
    <w:rsid w:val="42562684"/>
    <w:rsid w:val="425863FC"/>
    <w:rsid w:val="425A3F23"/>
    <w:rsid w:val="425C39FA"/>
    <w:rsid w:val="42621029"/>
    <w:rsid w:val="42641245"/>
    <w:rsid w:val="42660B19"/>
    <w:rsid w:val="4267157B"/>
    <w:rsid w:val="426923B8"/>
    <w:rsid w:val="426B25D4"/>
    <w:rsid w:val="426C3C56"/>
    <w:rsid w:val="427174BE"/>
    <w:rsid w:val="42770F78"/>
    <w:rsid w:val="4278084D"/>
    <w:rsid w:val="42784CF1"/>
    <w:rsid w:val="42785825"/>
    <w:rsid w:val="427A6373"/>
    <w:rsid w:val="427B20EB"/>
    <w:rsid w:val="427B79FF"/>
    <w:rsid w:val="427D00E9"/>
    <w:rsid w:val="427D44F7"/>
    <w:rsid w:val="428349E6"/>
    <w:rsid w:val="42876CE2"/>
    <w:rsid w:val="428D254A"/>
    <w:rsid w:val="428E62C2"/>
    <w:rsid w:val="42925DB2"/>
    <w:rsid w:val="42957651"/>
    <w:rsid w:val="42965B6C"/>
    <w:rsid w:val="42982C9D"/>
    <w:rsid w:val="429C278D"/>
    <w:rsid w:val="429C4277"/>
    <w:rsid w:val="429F402B"/>
    <w:rsid w:val="42A12E26"/>
    <w:rsid w:val="42A31D6D"/>
    <w:rsid w:val="42A45ECC"/>
    <w:rsid w:val="42A46751"/>
    <w:rsid w:val="42AE426E"/>
    <w:rsid w:val="42B31885"/>
    <w:rsid w:val="42BB0371"/>
    <w:rsid w:val="42BE749A"/>
    <w:rsid w:val="42C3367C"/>
    <w:rsid w:val="42C35F6C"/>
    <w:rsid w:val="42C44580"/>
    <w:rsid w:val="42C95B75"/>
    <w:rsid w:val="42CF2ADA"/>
    <w:rsid w:val="42CF6C96"/>
    <w:rsid w:val="42D0784E"/>
    <w:rsid w:val="42DD6902"/>
    <w:rsid w:val="42E65561"/>
    <w:rsid w:val="42FC1E0B"/>
    <w:rsid w:val="42FE51F6"/>
    <w:rsid w:val="43016A94"/>
    <w:rsid w:val="4303280C"/>
    <w:rsid w:val="43095949"/>
    <w:rsid w:val="430D5439"/>
    <w:rsid w:val="430D6E87"/>
    <w:rsid w:val="430F2484"/>
    <w:rsid w:val="43104F29"/>
    <w:rsid w:val="43120CA1"/>
    <w:rsid w:val="431B5DA8"/>
    <w:rsid w:val="431C2EE2"/>
    <w:rsid w:val="431E1663"/>
    <w:rsid w:val="43217B5F"/>
    <w:rsid w:val="43225492"/>
    <w:rsid w:val="43240DD6"/>
    <w:rsid w:val="432602A9"/>
    <w:rsid w:val="4326474D"/>
    <w:rsid w:val="432725C0"/>
    <w:rsid w:val="43301127"/>
    <w:rsid w:val="43326C4D"/>
    <w:rsid w:val="433B01F8"/>
    <w:rsid w:val="433C0531"/>
    <w:rsid w:val="43412058"/>
    <w:rsid w:val="43454823"/>
    <w:rsid w:val="434607F3"/>
    <w:rsid w:val="4347655B"/>
    <w:rsid w:val="434A3F97"/>
    <w:rsid w:val="434C1AD3"/>
    <w:rsid w:val="434D2AFA"/>
    <w:rsid w:val="4352308B"/>
    <w:rsid w:val="43525542"/>
    <w:rsid w:val="43560B8E"/>
    <w:rsid w:val="436808C1"/>
    <w:rsid w:val="43696E89"/>
    <w:rsid w:val="43790ED0"/>
    <w:rsid w:val="437A12B7"/>
    <w:rsid w:val="43803E5D"/>
    <w:rsid w:val="43836937"/>
    <w:rsid w:val="438975B5"/>
    <w:rsid w:val="438F22F2"/>
    <w:rsid w:val="4391626F"/>
    <w:rsid w:val="439210A0"/>
    <w:rsid w:val="43931DE2"/>
    <w:rsid w:val="43983FD4"/>
    <w:rsid w:val="43994F1E"/>
    <w:rsid w:val="43A10E97"/>
    <w:rsid w:val="43A713E9"/>
    <w:rsid w:val="43AF4742"/>
    <w:rsid w:val="43B3737F"/>
    <w:rsid w:val="43C03935"/>
    <w:rsid w:val="43CA5DDF"/>
    <w:rsid w:val="43CC0E50"/>
    <w:rsid w:val="43CE202B"/>
    <w:rsid w:val="43CF26EE"/>
    <w:rsid w:val="43D1290A"/>
    <w:rsid w:val="43E443EC"/>
    <w:rsid w:val="43E60423"/>
    <w:rsid w:val="43E82525"/>
    <w:rsid w:val="43EA28C0"/>
    <w:rsid w:val="43EB3C42"/>
    <w:rsid w:val="43EC7C04"/>
    <w:rsid w:val="43F16B09"/>
    <w:rsid w:val="43F6411F"/>
    <w:rsid w:val="43F65E3B"/>
    <w:rsid w:val="43F65ECD"/>
    <w:rsid w:val="43FD36FF"/>
    <w:rsid w:val="43FF1225"/>
    <w:rsid w:val="44000AFA"/>
    <w:rsid w:val="4400399D"/>
    <w:rsid w:val="44003E61"/>
    <w:rsid w:val="44022AC4"/>
    <w:rsid w:val="440A7C9F"/>
    <w:rsid w:val="440B1130"/>
    <w:rsid w:val="440C56F0"/>
    <w:rsid w:val="440E3217"/>
    <w:rsid w:val="44197D80"/>
    <w:rsid w:val="441D16AC"/>
    <w:rsid w:val="44224F14"/>
    <w:rsid w:val="442347E8"/>
    <w:rsid w:val="44254A04"/>
    <w:rsid w:val="442C7846"/>
    <w:rsid w:val="442E38B9"/>
    <w:rsid w:val="44315157"/>
    <w:rsid w:val="443432DB"/>
    <w:rsid w:val="4437014D"/>
    <w:rsid w:val="443D3AFC"/>
    <w:rsid w:val="443F5AC6"/>
    <w:rsid w:val="444035EC"/>
    <w:rsid w:val="44427364"/>
    <w:rsid w:val="44440FEE"/>
    <w:rsid w:val="44481561"/>
    <w:rsid w:val="44496945"/>
    <w:rsid w:val="44497B6C"/>
    <w:rsid w:val="444C3D3F"/>
    <w:rsid w:val="4450382F"/>
    <w:rsid w:val="445E565C"/>
    <w:rsid w:val="44615A3C"/>
    <w:rsid w:val="446170DF"/>
    <w:rsid w:val="44617124"/>
    <w:rsid w:val="44641089"/>
    <w:rsid w:val="446C43E1"/>
    <w:rsid w:val="4472121E"/>
    <w:rsid w:val="44782D86"/>
    <w:rsid w:val="44792AF7"/>
    <w:rsid w:val="447F4114"/>
    <w:rsid w:val="44806410"/>
    <w:rsid w:val="448516C9"/>
    <w:rsid w:val="44883994"/>
    <w:rsid w:val="44896D41"/>
    <w:rsid w:val="448E6105"/>
    <w:rsid w:val="44914628"/>
    <w:rsid w:val="44916C8D"/>
    <w:rsid w:val="4492209A"/>
    <w:rsid w:val="44935E12"/>
    <w:rsid w:val="449A6429"/>
    <w:rsid w:val="449B0071"/>
    <w:rsid w:val="449C6A74"/>
    <w:rsid w:val="44A2751C"/>
    <w:rsid w:val="44A82642"/>
    <w:rsid w:val="44AD6ED3"/>
    <w:rsid w:val="44B15770"/>
    <w:rsid w:val="44B52DD7"/>
    <w:rsid w:val="44BA514C"/>
    <w:rsid w:val="44BC2883"/>
    <w:rsid w:val="44C04251"/>
    <w:rsid w:val="44C91833"/>
    <w:rsid w:val="44CB55AC"/>
    <w:rsid w:val="44CD5952"/>
    <w:rsid w:val="44D3620E"/>
    <w:rsid w:val="44D97CC8"/>
    <w:rsid w:val="44E30C93"/>
    <w:rsid w:val="44E346A3"/>
    <w:rsid w:val="44E65F41"/>
    <w:rsid w:val="44EC2DB6"/>
    <w:rsid w:val="44F22B38"/>
    <w:rsid w:val="44F93EC7"/>
    <w:rsid w:val="44FC5765"/>
    <w:rsid w:val="450308A1"/>
    <w:rsid w:val="450A60D4"/>
    <w:rsid w:val="45124285"/>
    <w:rsid w:val="451602B5"/>
    <w:rsid w:val="4517434D"/>
    <w:rsid w:val="4518028E"/>
    <w:rsid w:val="451C55A7"/>
    <w:rsid w:val="451D00EB"/>
    <w:rsid w:val="45210FB2"/>
    <w:rsid w:val="45214ECC"/>
    <w:rsid w:val="45217913"/>
    <w:rsid w:val="4527671F"/>
    <w:rsid w:val="452877AC"/>
    <w:rsid w:val="452B7DF8"/>
    <w:rsid w:val="452D591E"/>
    <w:rsid w:val="45322F35"/>
    <w:rsid w:val="45380C3F"/>
    <w:rsid w:val="45394FB5"/>
    <w:rsid w:val="454669E0"/>
    <w:rsid w:val="454A4722"/>
    <w:rsid w:val="454B3FF6"/>
    <w:rsid w:val="455235D7"/>
    <w:rsid w:val="45555D50"/>
    <w:rsid w:val="45591F92"/>
    <w:rsid w:val="455E01CE"/>
    <w:rsid w:val="45611A6C"/>
    <w:rsid w:val="456236F6"/>
    <w:rsid w:val="456652D4"/>
    <w:rsid w:val="45684BA8"/>
    <w:rsid w:val="456D6663"/>
    <w:rsid w:val="45723C79"/>
    <w:rsid w:val="45742F95"/>
    <w:rsid w:val="45790B64"/>
    <w:rsid w:val="45797315"/>
    <w:rsid w:val="457B0D80"/>
    <w:rsid w:val="45810B39"/>
    <w:rsid w:val="458539AC"/>
    <w:rsid w:val="45890DC2"/>
    <w:rsid w:val="458A4B1F"/>
    <w:rsid w:val="458D2861"/>
    <w:rsid w:val="4597723C"/>
    <w:rsid w:val="459B4987"/>
    <w:rsid w:val="459C0CF6"/>
    <w:rsid w:val="45A04342"/>
    <w:rsid w:val="45A07343"/>
    <w:rsid w:val="45A1630C"/>
    <w:rsid w:val="45A42F3B"/>
    <w:rsid w:val="45AF0A29"/>
    <w:rsid w:val="45AF30FD"/>
    <w:rsid w:val="45B61DB8"/>
    <w:rsid w:val="45BC6CA2"/>
    <w:rsid w:val="45BE4798"/>
    <w:rsid w:val="45C03FE8"/>
    <w:rsid w:val="45C06792"/>
    <w:rsid w:val="45C1250B"/>
    <w:rsid w:val="45C24633"/>
    <w:rsid w:val="45C36283"/>
    <w:rsid w:val="45CA5863"/>
    <w:rsid w:val="45CA7611"/>
    <w:rsid w:val="45CE444A"/>
    <w:rsid w:val="45D264C6"/>
    <w:rsid w:val="45D61B06"/>
    <w:rsid w:val="45D65FB6"/>
    <w:rsid w:val="45D93B5D"/>
    <w:rsid w:val="45DE64AE"/>
    <w:rsid w:val="45DF2CC3"/>
    <w:rsid w:val="45E32481"/>
    <w:rsid w:val="45E701C3"/>
    <w:rsid w:val="45EA1A61"/>
    <w:rsid w:val="45EE4150"/>
    <w:rsid w:val="45F13F21"/>
    <w:rsid w:val="45F45513"/>
    <w:rsid w:val="45F94A82"/>
    <w:rsid w:val="45FF375F"/>
    <w:rsid w:val="46024FFD"/>
    <w:rsid w:val="46144D30"/>
    <w:rsid w:val="46162856"/>
    <w:rsid w:val="46206466"/>
    <w:rsid w:val="46222FA9"/>
    <w:rsid w:val="46274A64"/>
    <w:rsid w:val="46284338"/>
    <w:rsid w:val="462B78A6"/>
    <w:rsid w:val="462E1D0B"/>
    <w:rsid w:val="462F56C6"/>
    <w:rsid w:val="463158E2"/>
    <w:rsid w:val="463827CD"/>
    <w:rsid w:val="463B406B"/>
    <w:rsid w:val="46470C62"/>
    <w:rsid w:val="464A0752"/>
    <w:rsid w:val="46582E6F"/>
    <w:rsid w:val="465B470D"/>
    <w:rsid w:val="465B64BB"/>
    <w:rsid w:val="4665755C"/>
    <w:rsid w:val="46662087"/>
    <w:rsid w:val="46696B3C"/>
    <w:rsid w:val="466E2692"/>
    <w:rsid w:val="466E76AF"/>
    <w:rsid w:val="46715CDF"/>
    <w:rsid w:val="46731A57"/>
    <w:rsid w:val="46794B93"/>
    <w:rsid w:val="467A58A7"/>
    <w:rsid w:val="467B6B5D"/>
    <w:rsid w:val="46870CC8"/>
    <w:rsid w:val="46940E76"/>
    <w:rsid w:val="46940EAA"/>
    <w:rsid w:val="46963997"/>
    <w:rsid w:val="4698770F"/>
    <w:rsid w:val="469B0FAE"/>
    <w:rsid w:val="469D0882"/>
    <w:rsid w:val="469E501B"/>
    <w:rsid w:val="46A14816"/>
    <w:rsid w:val="46A165C4"/>
    <w:rsid w:val="46A240EA"/>
    <w:rsid w:val="46AA2F9F"/>
    <w:rsid w:val="46B81658"/>
    <w:rsid w:val="46BC1650"/>
    <w:rsid w:val="46C11D38"/>
    <w:rsid w:val="46C2478C"/>
    <w:rsid w:val="46CA0A98"/>
    <w:rsid w:val="46D70238"/>
    <w:rsid w:val="46D85D5E"/>
    <w:rsid w:val="46DA11A4"/>
    <w:rsid w:val="46E01909"/>
    <w:rsid w:val="46E213ED"/>
    <w:rsid w:val="46E22739"/>
    <w:rsid w:val="46E878B4"/>
    <w:rsid w:val="46E97F6B"/>
    <w:rsid w:val="46E97FFF"/>
    <w:rsid w:val="46EE10DD"/>
    <w:rsid w:val="46F0039E"/>
    <w:rsid w:val="46F34520"/>
    <w:rsid w:val="46F4065A"/>
    <w:rsid w:val="46F43360"/>
    <w:rsid w:val="46F54B62"/>
    <w:rsid w:val="47044496"/>
    <w:rsid w:val="47060B1D"/>
    <w:rsid w:val="47064679"/>
    <w:rsid w:val="470C33D7"/>
    <w:rsid w:val="471A6376"/>
    <w:rsid w:val="472114B3"/>
    <w:rsid w:val="47274D62"/>
    <w:rsid w:val="472F5293"/>
    <w:rsid w:val="4730408D"/>
    <w:rsid w:val="473236C0"/>
    <w:rsid w:val="4738011B"/>
    <w:rsid w:val="473C234F"/>
    <w:rsid w:val="473C62ED"/>
    <w:rsid w:val="473D1F5D"/>
    <w:rsid w:val="474653BD"/>
    <w:rsid w:val="474B2AA4"/>
    <w:rsid w:val="47543636"/>
    <w:rsid w:val="47555600"/>
    <w:rsid w:val="475A2C17"/>
    <w:rsid w:val="475F022D"/>
    <w:rsid w:val="47631ACB"/>
    <w:rsid w:val="47637D1D"/>
    <w:rsid w:val="476E221E"/>
    <w:rsid w:val="477535AD"/>
    <w:rsid w:val="47801D13"/>
    <w:rsid w:val="47847385"/>
    <w:rsid w:val="478B1022"/>
    <w:rsid w:val="47915A59"/>
    <w:rsid w:val="47923860"/>
    <w:rsid w:val="47975C19"/>
    <w:rsid w:val="479B0C48"/>
    <w:rsid w:val="479B1265"/>
    <w:rsid w:val="479B634A"/>
    <w:rsid w:val="479D3574"/>
    <w:rsid w:val="479F0EFC"/>
    <w:rsid w:val="47A85730"/>
    <w:rsid w:val="47AB2947"/>
    <w:rsid w:val="47AD0F98"/>
    <w:rsid w:val="47AD2D46"/>
    <w:rsid w:val="47B10A89"/>
    <w:rsid w:val="47B42327"/>
    <w:rsid w:val="47B440D5"/>
    <w:rsid w:val="47B56318"/>
    <w:rsid w:val="47BA2B49"/>
    <w:rsid w:val="47BB1907"/>
    <w:rsid w:val="47BD5D6D"/>
    <w:rsid w:val="47BE512C"/>
    <w:rsid w:val="47BE6D02"/>
    <w:rsid w:val="47C02A7A"/>
    <w:rsid w:val="47C06F1E"/>
    <w:rsid w:val="47C54534"/>
    <w:rsid w:val="47C87B80"/>
    <w:rsid w:val="47D06A35"/>
    <w:rsid w:val="47D50A07"/>
    <w:rsid w:val="47D74267"/>
    <w:rsid w:val="47D97FDF"/>
    <w:rsid w:val="47DB0FE0"/>
    <w:rsid w:val="47E04ECA"/>
    <w:rsid w:val="47ED5839"/>
    <w:rsid w:val="47EF7803"/>
    <w:rsid w:val="47F61DC2"/>
    <w:rsid w:val="47F97336"/>
    <w:rsid w:val="47FC189C"/>
    <w:rsid w:val="48030BB8"/>
    <w:rsid w:val="4804495C"/>
    <w:rsid w:val="480876D4"/>
    <w:rsid w:val="480A1F47"/>
    <w:rsid w:val="48117257"/>
    <w:rsid w:val="481458A7"/>
    <w:rsid w:val="48147269"/>
    <w:rsid w:val="4819662E"/>
    <w:rsid w:val="481E1E96"/>
    <w:rsid w:val="482079BC"/>
    <w:rsid w:val="48220A79"/>
    <w:rsid w:val="482570AD"/>
    <w:rsid w:val="482800C7"/>
    <w:rsid w:val="48284AC3"/>
    <w:rsid w:val="482F19AD"/>
    <w:rsid w:val="483620DA"/>
    <w:rsid w:val="483B43F8"/>
    <w:rsid w:val="483B65A4"/>
    <w:rsid w:val="483D056E"/>
    <w:rsid w:val="483E7E42"/>
    <w:rsid w:val="48400D5B"/>
    <w:rsid w:val="4848391D"/>
    <w:rsid w:val="484F2050"/>
    <w:rsid w:val="48510BF8"/>
    <w:rsid w:val="48580F04"/>
    <w:rsid w:val="48587156"/>
    <w:rsid w:val="485B293A"/>
    <w:rsid w:val="485D6C33"/>
    <w:rsid w:val="48683F32"/>
    <w:rsid w:val="48697DD8"/>
    <w:rsid w:val="486B694B"/>
    <w:rsid w:val="486C2C02"/>
    <w:rsid w:val="487321E2"/>
    <w:rsid w:val="48775329"/>
    <w:rsid w:val="48805D27"/>
    <w:rsid w:val="488241D3"/>
    <w:rsid w:val="488672C0"/>
    <w:rsid w:val="48876AAE"/>
    <w:rsid w:val="48897310"/>
    <w:rsid w:val="48897EEF"/>
    <w:rsid w:val="488C32A4"/>
    <w:rsid w:val="48964855"/>
    <w:rsid w:val="489A1D60"/>
    <w:rsid w:val="48A91760"/>
    <w:rsid w:val="48AB570C"/>
    <w:rsid w:val="48AC74A2"/>
    <w:rsid w:val="48B14AB8"/>
    <w:rsid w:val="48B30830"/>
    <w:rsid w:val="48B44BA4"/>
    <w:rsid w:val="48B52FCC"/>
    <w:rsid w:val="48B84099"/>
    <w:rsid w:val="48B85E47"/>
    <w:rsid w:val="48BF28BE"/>
    <w:rsid w:val="48BF71D5"/>
    <w:rsid w:val="48C42A3E"/>
    <w:rsid w:val="48C447EC"/>
    <w:rsid w:val="48CC3B01"/>
    <w:rsid w:val="48D367DD"/>
    <w:rsid w:val="48D72771"/>
    <w:rsid w:val="48DD58AD"/>
    <w:rsid w:val="48E629B4"/>
    <w:rsid w:val="48E763D9"/>
    <w:rsid w:val="48EC789E"/>
    <w:rsid w:val="48EF0D54"/>
    <w:rsid w:val="48F03833"/>
    <w:rsid w:val="48F13107"/>
    <w:rsid w:val="48F21359"/>
    <w:rsid w:val="48F30C2D"/>
    <w:rsid w:val="48FF53A3"/>
    <w:rsid w:val="4904108C"/>
    <w:rsid w:val="49042E3A"/>
    <w:rsid w:val="49067645"/>
    <w:rsid w:val="49083481"/>
    <w:rsid w:val="49094561"/>
    <w:rsid w:val="49105C83"/>
    <w:rsid w:val="491339E7"/>
    <w:rsid w:val="49233B80"/>
    <w:rsid w:val="492B278B"/>
    <w:rsid w:val="492C2211"/>
    <w:rsid w:val="492F77CB"/>
    <w:rsid w:val="4931104B"/>
    <w:rsid w:val="4933371F"/>
    <w:rsid w:val="4934224E"/>
    <w:rsid w:val="49342FD4"/>
    <w:rsid w:val="49356356"/>
    <w:rsid w:val="49373210"/>
    <w:rsid w:val="493A685C"/>
    <w:rsid w:val="493C25D4"/>
    <w:rsid w:val="493D38A1"/>
    <w:rsid w:val="493D5513"/>
    <w:rsid w:val="493E0C5A"/>
    <w:rsid w:val="49442815"/>
    <w:rsid w:val="494E0559"/>
    <w:rsid w:val="49507E2D"/>
    <w:rsid w:val="495519BB"/>
    <w:rsid w:val="49555444"/>
    <w:rsid w:val="495809DF"/>
    <w:rsid w:val="49584F34"/>
    <w:rsid w:val="495F3B27"/>
    <w:rsid w:val="49621276"/>
    <w:rsid w:val="496438D9"/>
    <w:rsid w:val="496E6505"/>
    <w:rsid w:val="497C0C22"/>
    <w:rsid w:val="497C5BEB"/>
    <w:rsid w:val="497E15C6"/>
    <w:rsid w:val="497E3A5E"/>
    <w:rsid w:val="49875199"/>
    <w:rsid w:val="498D2CEB"/>
    <w:rsid w:val="498F4DFA"/>
    <w:rsid w:val="49971E70"/>
    <w:rsid w:val="4998304B"/>
    <w:rsid w:val="499A72FA"/>
    <w:rsid w:val="499C0594"/>
    <w:rsid w:val="49A168DB"/>
    <w:rsid w:val="49A62143"/>
    <w:rsid w:val="49AA39E1"/>
    <w:rsid w:val="49AC40D3"/>
    <w:rsid w:val="49AD34D2"/>
    <w:rsid w:val="49AF724A"/>
    <w:rsid w:val="49B04D70"/>
    <w:rsid w:val="49B756CF"/>
    <w:rsid w:val="49BB4D64"/>
    <w:rsid w:val="49C16F7D"/>
    <w:rsid w:val="49C5081B"/>
    <w:rsid w:val="49CA1C17"/>
    <w:rsid w:val="49CA4084"/>
    <w:rsid w:val="49CA7BE0"/>
    <w:rsid w:val="49D11065"/>
    <w:rsid w:val="49D55C98"/>
    <w:rsid w:val="49D70D92"/>
    <w:rsid w:val="49D7251E"/>
    <w:rsid w:val="49D96075"/>
    <w:rsid w:val="49DE368B"/>
    <w:rsid w:val="49E14F29"/>
    <w:rsid w:val="49E27B93"/>
    <w:rsid w:val="49E36EF3"/>
    <w:rsid w:val="49E54A1A"/>
    <w:rsid w:val="49F006A5"/>
    <w:rsid w:val="49F20EE5"/>
    <w:rsid w:val="49F3091A"/>
    <w:rsid w:val="49FC32D2"/>
    <w:rsid w:val="49FE675C"/>
    <w:rsid w:val="4A003601"/>
    <w:rsid w:val="4A0550BC"/>
    <w:rsid w:val="4A0B6360"/>
    <w:rsid w:val="4A0D5D1E"/>
    <w:rsid w:val="4A0F39E7"/>
    <w:rsid w:val="4A10311B"/>
    <w:rsid w:val="4A273284"/>
    <w:rsid w:val="4A275032"/>
    <w:rsid w:val="4A291795"/>
    <w:rsid w:val="4A2A4B22"/>
    <w:rsid w:val="4A2F3EE7"/>
    <w:rsid w:val="4A3C7093"/>
    <w:rsid w:val="4A3E412A"/>
    <w:rsid w:val="4A484FA8"/>
    <w:rsid w:val="4A4D25BF"/>
    <w:rsid w:val="4A4D5136"/>
    <w:rsid w:val="4A513E5D"/>
    <w:rsid w:val="4A527BD5"/>
    <w:rsid w:val="4A5E3AD4"/>
    <w:rsid w:val="4A6873F9"/>
    <w:rsid w:val="4A6C5D7D"/>
    <w:rsid w:val="4A7144FF"/>
    <w:rsid w:val="4A7162AD"/>
    <w:rsid w:val="4A7364C9"/>
    <w:rsid w:val="4A7A5F4D"/>
    <w:rsid w:val="4A7A6602"/>
    <w:rsid w:val="4A7D2EA4"/>
    <w:rsid w:val="4A836A63"/>
    <w:rsid w:val="4A8B369F"/>
    <w:rsid w:val="4A8E50B1"/>
    <w:rsid w:val="4A8F2BD7"/>
    <w:rsid w:val="4A9005A3"/>
    <w:rsid w:val="4A96408A"/>
    <w:rsid w:val="4A9B77CE"/>
    <w:rsid w:val="4AA06B93"/>
    <w:rsid w:val="4AA20CB9"/>
    <w:rsid w:val="4AA2290B"/>
    <w:rsid w:val="4AA30431"/>
    <w:rsid w:val="4AA356C2"/>
    <w:rsid w:val="4AAA17BF"/>
    <w:rsid w:val="4AAE12AF"/>
    <w:rsid w:val="4AAF3DB9"/>
    <w:rsid w:val="4AB275F7"/>
    <w:rsid w:val="4AC62A9D"/>
    <w:rsid w:val="4AC97E97"/>
    <w:rsid w:val="4ACF1226"/>
    <w:rsid w:val="4ACF7478"/>
    <w:rsid w:val="4AD02714"/>
    <w:rsid w:val="4AD11442"/>
    <w:rsid w:val="4ADA02F6"/>
    <w:rsid w:val="4ADD3943"/>
    <w:rsid w:val="4AEC002A"/>
    <w:rsid w:val="4AED5B0A"/>
    <w:rsid w:val="4AF173EE"/>
    <w:rsid w:val="4AF8077D"/>
    <w:rsid w:val="4AFA44F5"/>
    <w:rsid w:val="4AFD5D93"/>
    <w:rsid w:val="4B005883"/>
    <w:rsid w:val="4B052E99"/>
    <w:rsid w:val="4B0709C0"/>
    <w:rsid w:val="4B076C12"/>
    <w:rsid w:val="4B0B4954"/>
    <w:rsid w:val="4B0D15CD"/>
    <w:rsid w:val="4B100A0B"/>
    <w:rsid w:val="4B1156CF"/>
    <w:rsid w:val="4B1423C5"/>
    <w:rsid w:val="4B147C3D"/>
    <w:rsid w:val="4B180E1F"/>
    <w:rsid w:val="4B1A6945"/>
    <w:rsid w:val="4B1B26BD"/>
    <w:rsid w:val="4B1C090F"/>
    <w:rsid w:val="4B1F3F5B"/>
    <w:rsid w:val="4B221C9D"/>
    <w:rsid w:val="4B2705D4"/>
    <w:rsid w:val="4B2B0B52"/>
    <w:rsid w:val="4B2C48CA"/>
    <w:rsid w:val="4B337A07"/>
    <w:rsid w:val="4B35377F"/>
    <w:rsid w:val="4B3612A5"/>
    <w:rsid w:val="4B37483D"/>
    <w:rsid w:val="4B3814C1"/>
    <w:rsid w:val="4B3A3F2D"/>
    <w:rsid w:val="4B3D6AD7"/>
    <w:rsid w:val="4B404E9B"/>
    <w:rsid w:val="4B4B11F4"/>
    <w:rsid w:val="4B4B2FA2"/>
    <w:rsid w:val="4B4B4B6F"/>
    <w:rsid w:val="4B524331"/>
    <w:rsid w:val="4B547742"/>
    <w:rsid w:val="4B5637B5"/>
    <w:rsid w:val="4B5E0F27"/>
    <w:rsid w:val="4B5F07FC"/>
    <w:rsid w:val="4B6422B6"/>
    <w:rsid w:val="4B644064"/>
    <w:rsid w:val="4B650BDA"/>
    <w:rsid w:val="4B664237"/>
    <w:rsid w:val="4B6718F8"/>
    <w:rsid w:val="4B68307C"/>
    <w:rsid w:val="4B6E4EE3"/>
    <w:rsid w:val="4B773D97"/>
    <w:rsid w:val="4B7A73E4"/>
    <w:rsid w:val="4B810772"/>
    <w:rsid w:val="4B814C16"/>
    <w:rsid w:val="4B8244EA"/>
    <w:rsid w:val="4B8A433D"/>
    <w:rsid w:val="4B8D5369"/>
    <w:rsid w:val="4B8E10E1"/>
    <w:rsid w:val="4B8E2E8F"/>
    <w:rsid w:val="4B9506C1"/>
    <w:rsid w:val="4B977F95"/>
    <w:rsid w:val="4B9F53FB"/>
    <w:rsid w:val="4BA32DDE"/>
    <w:rsid w:val="4BA578B4"/>
    <w:rsid w:val="4BA67EE3"/>
    <w:rsid w:val="4BA821A3"/>
    <w:rsid w:val="4BAB57EF"/>
    <w:rsid w:val="4BBA3C84"/>
    <w:rsid w:val="4BBE279B"/>
    <w:rsid w:val="4BC30D8B"/>
    <w:rsid w:val="4BC33625"/>
    <w:rsid w:val="4BC630EC"/>
    <w:rsid w:val="4BD40884"/>
    <w:rsid w:val="4BE32977"/>
    <w:rsid w:val="4BEA27BB"/>
    <w:rsid w:val="4BEF2FB9"/>
    <w:rsid w:val="4BF215A6"/>
    <w:rsid w:val="4BF54CBC"/>
    <w:rsid w:val="4BF87DE1"/>
    <w:rsid w:val="4BFA5E5A"/>
    <w:rsid w:val="4BFB24BF"/>
    <w:rsid w:val="4BFB49C8"/>
    <w:rsid w:val="4BFE1333"/>
    <w:rsid w:val="4BFE4BE9"/>
    <w:rsid w:val="4BFF6D94"/>
    <w:rsid w:val="4C003D8D"/>
    <w:rsid w:val="4C010369"/>
    <w:rsid w:val="4C097EB1"/>
    <w:rsid w:val="4C0B2731"/>
    <w:rsid w:val="4C0C31F6"/>
    <w:rsid w:val="4C121D12"/>
    <w:rsid w:val="4C13672B"/>
    <w:rsid w:val="4C235CCD"/>
    <w:rsid w:val="4C2537F3"/>
    <w:rsid w:val="4C2555A1"/>
    <w:rsid w:val="4C261319"/>
    <w:rsid w:val="4C26756B"/>
    <w:rsid w:val="4C286E40"/>
    <w:rsid w:val="4C2B6930"/>
    <w:rsid w:val="4C2C2DD4"/>
    <w:rsid w:val="4C2D08FA"/>
    <w:rsid w:val="4C353BBA"/>
    <w:rsid w:val="4C38085A"/>
    <w:rsid w:val="4C3A6B73"/>
    <w:rsid w:val="4C3C0B3D"/>
    <w:rsid w:val="4C3C4A65"/>
    <w:rsid w:val="4C404189"/>
    <w:rsid w:val="4C417F01"/>
    <w:rsid w:val="4C431ECB"/>
    <w:rsid w:val="4C46376A"/>
    <w:rsid w:val="4C470721"/>
    <w:rsid w:val="4C4750D8"/>
    <w:rsid w:val="4C5135D4"/>
    <w:rsid w:val="4C520071"/>
    <w:rsid w:val="4C52651D"/>
    <w:rsid w:val="4C581B68"/>
    <w:rsid w:val="4C5C34FF"/>
    <w:rsid w:val="4C5D41B8"/>
    <w:rsid w:val="4C6205A3"/>
    <w:rsid w:val="4C69488A"/>
    <w:rsid w:val="4C6A7458"/>
    <w:rsid w:val="4C83676C"/>
    <w:rsid w:val="4C867600"/>
    <w:rsid w:val="4C871DB8"/>
    <w:rsid w:val="4C8B4644"/>
    <w:rsid w:val="4C92075D"/>
    <w:rsid w:val="4C940979"/>
    <w:rsid w:val="4C950747"/>
    <w:rsid w:val="4C9A4FBF"/>
    <w:rsid w:val="4C9D5A7F"/>
    <w:rsid w:val="4CA232EE"/>
    <w:rsid w:val="4CA30BBC"/>
    <w:rsid w:val="4CA706AC"/>
    <w:rsid w:val="4CA961D2"/>
    <w:rsid w:val="4CB025C4"/>
    <w:rsid w:val="4CB05FA7"/>
    <w:rsid w:val="4CB132D9"/>
    <w:rsid w:val="4CBC7256"/>
    <w:rsid w:val="4CC45FC9"/>
    <w:rsid w:val="4CCA7EF7"/>
    <w:rsid w:val="4CCD07B8"/>
    <w:rsid w:val="4CD40D75"/>
    <w:rsid w:val="4CDA2830"/>
    <w:rsid w:val="4CDB0356"/>
    <w:rsid w:val="4CE4545C"/>
    <w:rsid w:val="4CEE62DB"/>
    <w:rsid w:val="4CEF23B4"/>
    <w:rsid w:val="4CF02398"/>
    <w:rsid w:val="4CF3744D"/>
    <w:rsid w:val="4CF431C6"/>
    <w:rsid w:val="4CF475EA"/>
    <w:rsid w:val="4CF80F08"/>
    <w:rsid w:val="4CF8329C"/>
    <w:rsid w:val="4CFA6A2E"/>
    <w:rsid w:val="4CFB773A"/>
    <w:rsid w:val="4D021D86"/>
    <w:rsid w:val="4D027691"/>
    <w:rsid w:val="4D057181"/>
    <w:rsid w:val="4D063625"/>
    <w:rsid w:val="4D07114B"/>
    <w:rsid w:val="4D090A1F"/>
    <w:rsid w:val="4D0921B3"/>
    <w:rsid w:val="4D095F03"/>
    <w:rsid w:val="4D0B0B91"/>
    <w:rsid w:val="4D186EB4"/>
    <w:rsid w:val="4D19093F"/>
    <w:rsid w:val="4D1D44CA"/>
    <w:rsid w:val="4D1E6FEC"/>
    <w:rsid w:val="4D266E6B"/>
    <w:rsid w:val="4D2C0BB1"/>
    <w:rsid w:val="4D2E60D3"/>
    <w:rsid w:val="4D31441A"/>
    <w:rsid w:val="4D341814"/>
    <w:rsid w:val="4D355CB8"/>
    <w:rsid w:val="4D374E84"/>
    <w:rsid w:val="4D3C22DD"/>
    <w:rsid w:val="4D3D7108"/>
    <w:rsid w:val="4D453A21"/>
    <w:rsid w:val="4D461C73"/>
    <w:rsid w:val="4D471547"/>
    <w:rsid w:val="4D493511"/>
    <w:rsid w:val="4D5F6B61"/>
    <w:rsid w:val="4D662315"/>
    <w:rsid w:val="4D673998"/>
    <w:rsid w:val="4D697710"/>
    <w:rsid w:val="4D6E4D26"/>
    <w:rsid w:val="4D6F3DD5"/>
    <w:rsid w:val="4D720CBA"/>
    <w:rsid w:val="4D722A68"/>
    <w:rsid w:val="4D7B7211"/>
    <w:rsid w:val="4D8056D5"/>
    <w:rsid w:val="4D826A23"/>
    <w:rsid w:val="4D897DB2"/>
    <w:rsid w:val="4D8B1B8E"/>
    <w:rsid w:val="4D9A1FBF"/>
    <w:rsid w:val="4D9D03F9"/>
    <w:rsid w:val="4D9E1AAF"/>
    <w:rsid w:val="4D9E423B"/>
    <w:rsid w:val="4D9F75D5"/>
    <w:rsid w:val="4DA62712"/>
    <w:rsid w:val="4DA7444B"/>
    <w:rsid w:val="4DAE15C6"/>
    <w:rsid w:val="4DB406BE"/>
    <w:rsid w:val="4DB52955"/>
    <w:rsid w:val="4DBA6055"/>
    <w:rsid w:val="4DBA7F6B"/>
    <w:rsid w:val="4DBC0187"/>
    <w:rsid w:val="4DC1579E"/>
    <w:rsid w:val="4DC82688"/>
    <w:rsid w:val="4DCF7EBB"/>
    <w:rsid w:val="4DD51249"/>
    <w:rsid w:val="4DD94895"/>
    <w:rsid w:val="4DDC6134"/>
    <w:rsid w:val="4DDF3E76"/>
    <w:rsid w:val="4DE82D2A"/>
    <w:rsid w:val="4DF07E31"/>
    <w:rsid w:val="4DF1707F"/>
    <w:rsid w:val="4DF55447"/>
    <w:rsid w:val="4DFC03F6"/>
    <w:rsid w:val="4DFC1A92"/>
    <w:rsid w:val="4DFF0074"/>
    <w:rsid w:val="4E031183"/>
    <w:rsid w:val="4E071DA8"/>
    <w:rsid w:val="4E0833CC"/>
    <w:rsid w:val="4E0F3741"/>
    <w:rsid w:val="4E102281"/>
    <w:rsid w:val="4E1C0C26"/>
    <w:rsid w:val="4E1E04FA"/>
    <w:rsid w:val="4E1E499E"/>
    <w:rsid w:val="4E2077F1"/>
    <w:rsid w:val="4E2170A2"/>
    <w:rsid w:val="4E233D62"/>
    <w:rsid w:val="4E257ADB"/>
    <w:rsid w:val="4E281C0F"/>
    <w:rsid w:val="4E2A3343"/>
    <w:rsid w:val="4E2B0E69"/>
    <w:rsid w:val="4E3046D1"/>
    <w:rsid w:val="4E3441C2"/>
    <w:rsid w:val="4E460794"/>
    <w:rsid w:val="4E4B5067"/>
    <w:rsid w:val="4E4D0DDF"/>
    <w:rsid w:val="4E4E1F23"/>
    <w:rsid w:val="4E516B22"/>
    <w:rsid w:val="4E5B174E"/>
    <w:rsid w:val="4E606D65"/>
    <w:rsid w:val="4E6525CD"/>
    <w:rsid w:val="4E695F2D"/>
    <w:rsid w:val="4E6D3230"/>
    <w:rsid w:val="4E6D4E68"/>
    <w:rsid w:val="4E6F51FA"/>
    <w:rsid w:val="4E76682E"/>
    <w:rsid w:val="4E7B2572"/>
    <w:rsid w:val="4E7B3B9E"/>
    <w:rsid w:val="4E7B47CF"/>
    <w:rsid w:val="4E7E7197"/>
    <w:rsid w:val="4E7E71EB"/>
    <w:rsid w:val="4E7F5FBD"/>
    <w:rsid w:val="4E854A1D"/>
    <w:rsid w:val="4E8642F1"/>
    <w:rsid w:val="4E924D86"/>
    <w:rsid w:val="4E9764FE"/>
    <w:rsid w:val="4E9E163B"/>
    <w:rsid w:val="4E9E788D"/>
    <w:rsid w:val="4EA330F5"/>
    <w:rsid w:val="4EA43450"/>
    <w:rsid w:val="4EAA6232"/>
    <w:rsid w:val="4EAB40E5"/>
    <w:rsid w:val="4EAC01FC"/>
    <w:rsid w:val="4EAC1FAA"/>
    <w:rsid w:val="4EB1088C"/>
    <w:rsid w:val="4EB66985"/>
    <w:rsid w:val="4EBB043F"/>
    <w:rsid w:val="4EBE7F2F"/>
    <w:rsid w:val="4EC15329"/>
    <w:rsid w:val="4EC15A64"/>
    <w:rsid w:val="4EC27077"/>
    <w:rsid w:val="4EC76DE4"/>
    <w:rsid w:val="4ECC61A8"/>
    <w:rsid w:val="4ED87FD0"/>
    <w:rsid w:val="4EDD2163"/>
    <w:rsid w:val="4EE47996"/>
    <w:rsid w:val="4EE51018"/>
    <w:rsid w:val="4EE91029"/>
    <w:rsid w:val="4EEF1E97"/>
    <w:rsid w:val="4EF414EE"/>
    <w:rsid w:val="4EF456FF"/>
    <w:rsid w:val="4EF474AD"/>
    <w:rsid w:val="4EF5033F"/>
    <w:rsid w:val="4EF902B0"/>
    <w:rsid w:val="4F0A6CD0"/>
    <w:rsid w:val="4F0F2539"/>
    <w:rsid w:val="4F12699F"/>
    <w:rsid w:val="4F135B85"/>
    <w:rsid w:val="4F1B0EDE"/>
    <w:rsid w:val="4F1C248B"/>
    <w:rsid w:val="4F253B0A"/>
    <w:rsid w:val="4F253B67"/>
    <w:rsid w:val="4F2655AD"/>
    <w:rsid w:val="4F2E0C11"/>
    <w:rsid w:val="4F3F2E1E"/>
    <w:rsid w:val="4F405DDE"/>
    <w:rsid w:val="4F413C6E"/>
    <w:rsid w:val="4F4B17C3"/>
    <w:rsid w:val="4F4E3061"/>
    <w:rsid w:val="4F5B752C"/>
    <w:rsid w:val="4F5D32A4"/>
    <w:rsid w:val="4F6463E1"/>
    <w:rsid w:val="4F675E79"/>
    <w:rsid w:val="4F6B0EDA"/>
    <w:rsid w:val="4F6C3823"/>
    <w:rsid w:val="4F6E3703"/>
    <w:rsid w:val="4F6E725F"/>
    <w:rsid w:val="4F6F5E06"/>
    <w:rsid w:val="4F7B197C"/>
    <w:rsid w:val="4F844CD5"/>
    <w:rsid w:val="4F8B6063"/>
    <w:rsid w:val="4F8E16AF"/>
    <w:rsid w:val="4F904634"/>
    <w:rsid w:val="4F912F4E"/>
    <w:rsid w:val="4F9427B9"/>
    <w:rsid w:val="4F952A3E"/>
    <w:rsid w:val="4F974A08"/>
    <w:rsid w:val="4F9A005D"/>
    <w:rsid w:val="4F9D5D96"/>
    <w:rsid w:val="4FA47125"/>
    <w:rsid w:val="4FA55A32"/>
    <w:rsid w:val="4FAA787A"/>
    <w:rsid w:val="4FAD422B"/>
    <w:rsid w:val="4FB54E8E"/>
    <w:rsid w:val="4FC357FD"/>
    <w:rsid w:val="4FC64F67"/>
    <w:rsid w:val="4FC716D2"/>
    <w:rsid w:val="4FCD4EE7"/>
    <w:rsid w:val="4FD33675"/>
    <w:rsid w:val="4FD35314"/>
    <w:rsid w:val="4FD73056"/>
    <w:rsid w:val="4FDB4E35"/>
    <w:rsid w:val="4FDF0462"/>
    <w:rsid w:val="4FE17A31"/>
    <w:rsid w:val="4FE25FF5"/>
    <w:rsid w:val="4FE92D8A"/>
    <w:rsid w:val="4FEA6D05"/>
    <w:rsid w:val="4FEE4FE4"/>
    <w:rsid w:val="4FF13FBC"/>
    <w:rsid w:val="4FF43C08"/>
    <w:rsid w:val="4FF570E4"/>
    <w:rsid w:val="4FF57980"/>
    <w:rsid w:val="4FFC6A51"/>
    <w:rsid w:val="4FFE51AD"/>
    <w:rsid w:val="4FFF25AD"/>
    <w:rsid w:val="50012F92"/>
    <w:rsid w:val="500C10A1"/>
    <w:rsid w:val="501708D4"/>
    <w:rsid w:val="50193E7B"/>
    <w:rsid w:val="501A1195"/>
    <w:rsid w:val="501A73E7"/>
    <w:rsid w:val="501E2A33"/>
    <w:rsid w:val="502D711A"/>
    <w:rsid w:val="503009B9"/>
    <w:rsid w:val="5032028D"/>
    <w:rsid w:val="5035049B"/>
    <w:rsid w:val="503549AD"/>
    <w:rsid w:val="50400B95"/>
    <w:rsid w:val="50416722"/>
    <w:rsid w:val="504567F7"/>
    <w:rsid w:val="504D3319"/>
    <w:rsid w:val="50510479"/>
    <w:rsid w:val="50526D53"/>
    <w:rsid w:val="50546455"/>
    <w:rsid w:val="5055056C"/>
    <w:rsid w:val="505661D0"/>
    <w:rsid w:val="505A43BA"/>
    <w:rsid w:val="505C5133"/>
    <w:rsid w:val="506059D9"/>
    <w:rsid w:val="50665647"/>
    <w:rsid w:val="50675CDC"/>
    <w:rsid w:val="5069532B"/>
    <w:rsid w:val="50745573"/>
    <w:rsid w:val="5076286F"/>
    <w:rsid w:val="507E0AD8"/>
    <w:rsid w:val="50855E78"/>
    <w:rsid w:val="508B1298"/>
    <w:rsid w:val="50901457"/>
    <w:rsid w:val="50910616"/>
    <w:rsid w:val="509727E6"/>
    <w:rsid w:val="50981B09"/>
    <w:rsid w:val="509C36D7"/>
    <w:rsid w:val="509C604E"/>
    <w:rsid w:val="509E5922"/>
    <w:rsid w:val="50A0169A"/>
    <w:rsid w:val="50A2677C"/>
    <w:rsid w:val="50A373DC"/>
    <w:rsid w:val="50A53155"/>
    <w:rsid w:val="50AA2397"/>
    <w:rsid w:val="50AB189F"/>
    <w:rsid w:val="50AC386C"/>
    <w:rsid w:val="50BB64D4"/>
    <w:rsid w:val="50C35389"/>
    <w:rsid w:val="50D2381E"/>
    <w:rsid w:val="50D3331D"/>
    <w:rsid w:val="50D421FD"/>
    <w:rsid w:val="50D91F42"/>
    <w:rsid w:val="50DE0415"/>
    <w:rsid w:val="50E0418D"/>
    <w:rsid w:val="50E33C7D"/>
    <w:rsid w:val="50E35D40"/>
    <w:rsid w:val="50E84DEF"/>
    <w:rsid w:val="50EF1B15"/>
    <w:rsid w:val="50EF2622"/>
    <w:rsid w:val="50EF43D0"/>
    <w:rsid w:val="50F02B2D"/>
    <w:rsid w:val="50F25C6E"/>
    <w:rsid w:val="50F848F8"/>
    <w:rsid w:val="51022355"/>
    <w:rsid w:val="510460CD"/>
    <w:rsid w:val="510559A1"/>
    <w:rsid w:val="51121CFE"/>
    <w:rsid w:val="5114238A"/>
    <w:rsid w:val="511539E5"/>
    <w:rsid w:val="51167BAE"/>
    <w:rsid w:val="51191C9D"/>
    <w:rsid w:val="511941D3"/>
    <w:rsid w:val="511D718F"/>
    <w:rsid w:val="51254295"/>
    <w:rsid w:val="51275918"/>
    <w:rsid w:val="512B43E0"/>
    <w:rsid w:val="512F2A1E"/>
    <w:rsid w:val="51324072"/>
    <w:rsid w:val="5133250E"/>
    <w:rsid w:val="5139389D"/>
    <w:rsid w:val="5139564B"/>
    <w:rsid w:val="513A0349"/>
    <w:rsid w:val="513A1AEF"/>
    <w:rsid w:val="51431F4B"/>
    <w:rsid w:val="51452359"/>
    <w:rsid w:val="51477CA6"/>
    <w:rsid w:val="51487340"/>
    <w:rsid w:val="51493AE0"/>
    <w:rsid w:val="51497F84"/>
    <w:rsid w:val="514A7858"/>
    <w:rsid w:val="514E559A"/>
    <w:rsid w:val="51536EE0"/>
    <w:rsid w:val="515406D7"/>
    <w:rsid w:val="51582E0B"/>
    <w:rsid w:val="515D57DD"/>
    <w:rsid w:val="515E1AFE"/>
    <w:rsid w:val="51663745"/>
    <w:rsid w:val="51687E32"/>
    <w:rsid w:val="516923D4"/>
    <w:rsid w:val="516925C0"/>
    <w:rsid w:val="51695F30"/>
    <w:rsid w:val="51735001"/>
    <w:rsid w:val="51736DAF"/>
    <w:rsid w:val="51757086"/>
    <w:rsid w:val="517A718D"/>
    <w:rsid w:val="517D19DC"/>
    <w:rsid w:val="517D2FBF"/>
    <w:rsid w:val="517D7C2E"/>
    <w:rsid w:val="517F7502"/>
    <w:rsid w:val="5186454A"/>
    <w:rsid w:val="518A5EA7"/>
    <w:rsid w:val="519311FF"/>
    <w:rsid w:val="51954F77"/>
    <w:rsid w:val="519C0E27"/>
    <w:rsid w:val="519C2851"/>
    <w:rsid w:val="519F7BA4"/>
    <w:rsid w:val="51A46149"/>
    <w:rsid w:val="51A653C0"/>
    <w:rsid w:val="51B178D7"/>
    <w:rsid w:val="51B4558D"/>
    <w:rsid w:val="51B52184"/>
    <w:rsid w:val="51B95F88"/>
    <w:rsid w:val="51BD44CE"/>
    <w:rsid w:val="51BF3DA2"/>
    <w:rsid w:val="51C01C82"/>
    <w:rsid w:val="51C21AE4"/>
    <w:rsid w:val="51C25640"/>
    <w:rsid w:val="51C27D36"/>
    <w:rsid w:val="51C413B8"/>
    <w:rsid w:val="51C5764F"/>
    <w:rsid w:val="51C615D4"/>
    <w:rsid w:val="51C8534D"/>
    <w:rsid w:val="51C9209F"/>
    <w:rsid w:val="51CB0999"/>
    <w:rsid w:val="51CB6BEB"/>
    <w:rsid w:val="51CC7B68"/>
    <w:rsid w:val="51CD70D5"/>
    <w:rsid w:val="51CE0489"/>
    <w:rsid w:val="51D27F79"/>
    <w:rsid w:val="51DF2696"/>
    <w:rsid w:val="51E54CC9"/>
    <w:rsid w:val="51E613B4"/>
    <w:rsid w:val="51EB140F"/>
    <w:rsid w:val="51EC090F"/>
    <w:rsid w:val="51ED4DB3"/>
    <w:rsid w:val="51EF6D79"/>
    <w:rsid w:val="51F617B3"/>
    <w:rsid w:val="51FD493B"/>
    <w:rsid w:val="51FF4AE6"/>
    <w:rsid w:val="5201260D"/>
    <w:rsid w:val="52075B03"/>
    <w:rsid w:val="520C6FB6"/>
    <w:rsid w:val="520D7A81"/>
    <w:rsid w:val="52114BC9"/>
    <w:rsid w:val="52151C14"/>
    <w:rsid w:val="52171E30"/>
    <w:rsid w:val="52195BA8"/>
    <w:rsid w:val="521A0DBD"/>
    <w:rsid w:val="521C7446"/>
    <w:rsid w:val="522044E3"/>
    <w:rsid w:val="52234F59"/>
    <w:rsid w:val="52245CFB"/>
    <w:rsid w:val="522B768A"/>
    <w:rsid w:val="522E0F28"/>
    <w:rsid w:val="523078BE"/>
    <w:rsid w:val="52310FFA"/>
    <w:rsid w:val="52336888"/>
    <w:rsid w:val="5238200B"/>
    <w:rsid w:val="523A41B5"/>
    <w:rsid w:val="523A62C1"/>
    <w:rsid w:val="5244146E"/>
    <w:rsid w:val="524424F9"/>
    <w:rsid w:val="524538F6"/>
    <w:rsid w:val="52500E9E"/>
    <w:rsid w:val="52554706"/>
    <w:rsid w:val="525954BE"/>
    <w:rsid w:val="525A7F6F"/>
    <w:rsid w:val="525D4EA9"/>
    <w:rsid w:val="525D6F40"/>
    <w:rsid w:val="525E180D"/>
    <w:rsid w:val="525F0CB8"/>
    <w:rsid w:val="526029CA"/>
    <w:rsid w:val="52636E23"/>
    <w:rsid w:val="5264494A"/>
    <w:rsid w:val="526F57C8"/>
    <w:rsid w:val="52701540"/>
    <w:rsid w:val="52785A86"/>
    <w:rsid w:val="528172AA"/>
    <w:rsid w:val="528629E4"/>
    <w:rsid w:val="5288301B"/>
    <w:rsid w:val="52894CB3"/>
    <w:rsid w:val="528A0C5D"/>
    <w:rsid w:val="52972F71"/>
    <w:rsid w:val="52974D1F"/>
    <w:rsid w:val="529C0587"/>
    <w:rsid w:val="529E60AD"/>
    <w:rsid w:val="52A94946"/>
    <w:rsid w:val="52B326F1"/>
    <w:rsid w:val="52B42C4C"/>
    <w:rsid w:val="52B94C95"/>
    <w:rsid w:val="52C553E8"/>
    <w:rsid w:val="52C811B2"/>
    <w:rsid w:val="52C8137C"/>
    <w:rsid w:val="52CA0C50"/>
    <w:rsid w:val="52CA29FF"/>
    <w:rsid w:val="52CD0741"/>
    <w:rsid w:val="52D1011D"/>
    <w:rsid w:val="52D22151"/>
    <w:rsid w:val="52D41ACF"/>
    <w:rsid w:val="52DD1449"/>
    <w:rsid w:val="52E066C6"/>
    <w:rsid w:val="52E57838"/>
    <w:rsid w:val="52E65AB1"/>
    <w:rsid w:val="52E73FF2"/>
    <w:rsid w:val="52E74870"/>
    <w:rsid w:val="52E837CD"/>
    <w:rsid w:val="52ED0DE3"/>
    <w:rsid w:val="52F263F9"/>
    <w:rsid w:val="52F44CEB"/>
    <w:rsid w:val="52F45CCD"/>
    <w:rsid w:val="52F873EE"/>
    <w:rsid w:val="52FD1026"/>
    <w:rsid w:val="530103EA"/>
    <w:rsid w:val="531200EB"/>
    <w:rsid w:val="53146370"/>
    <w:rsid w:val="53177C0E"/>
    <w:rsid w:val="531D5224"/>
    <w:rsid w:val="53206AC2"/>
    <w:rsid w:val="53234805"/>
    <w:rsid w:val="5334431C"/>
    <w:rsid w:val="53394028"/>
    <w:rsid w:val="533A06B7"/>
    <w:rsid w:val="533D0536"/>
    <w:rsid w:val="53432326"/>
    <w:rsid w:val="53487DC7"/>
    <w:rsid w:val="53513120"/>
    <w:rsid w:val="5352578E"/>
    <w:rsid w:val="53530C46"/>
    <w:rsid w:val="53590226"/>
    <w:rsid w:val="536746F1"/>
    <w:rsid w:val="536E5A80"/>
    <w:rsid w:val="53710D7D"/>
    <w:rsid w:val="53733096"/>
    <w:rsid w:val="5379540A"/>
    <w:rsid w:val="537C1F74"/>
    <w:rsid w:val="537D3F15"/>
    <w:rsid w:val="537F7C8D"/>
    <w:rsid w:val="538206C8"/>
    <w:rsid w:val="53852DC9"/>
    <w:rsid w:val="53856944"/>
    <w:rsid w:val="538A6632"/>
    <w:rsid w:val="53964DF5"/>
    <w:rsid w:val="539A4AC7"/>
    <w:rsid w:val="539D3366"/>
    <w:rsid w:val="539F3E8B"/>
    <w:rsid w:val="53A02C04"/>
    <w:rsid w:val="53A521D5"/>
    <w:rsid w:val="53A96AB8"/>
    <w:rsid w:val="53B5620D"/>
    <w:rsid w:val="53B84F4D"/>
    <w:rsid w:val="53BD4CC2"/>
    <w:rsid w:val="53BF5CAE"/>
    <w:rsid w:val="53C43BBA"/>
    <w:rsid w:val="53C733E2"/>
    <w:rsid w:val="53D17DBD"/>
    <w:rsid w:val="53D77AC9"/>
    <w:rsid w:val="53DA3115"/>
    <w:rsid w:val="53DB11CB"/>
    <w:rsid w:val="53DC50DF"/>
    <w:rsid w:val="53E06252"/>
    <w:rsid w:val="53E126F6"/>
    <w:rsid w:val="53E2646E"/>
    <w:rsid w:val="53E655FC"/>
    <w:rsid w:val="53E775E0"/>
    <w:rsid w:val="53F63FD5"/>
    <w:rsid w:val="53FB68BB"/>
    <w:rsid w:val="53FC12DE"/>
    <w:rsid w:val="540C7047"/>
    <w:rsid w:val="540D4C1C"/>
    <w:rsid w:val="540F0A44"/>
    <w:rsid w:val="54100CB0"/>
    <w:rsid w:val="54102FDB"/>
    <w:rsid w:val="54106B37"/>
    <w:rsid w:val="54124B28"/>
    <w:rsid w:val="5413143F"/>
    <w:rsid w:val="54187FA7"/>
    <w:rsid w:val="541D1254"/>
    <w:rsid w:val="541E05E5"/>
    <w:rsid w:val="54216F96"/>
    <w:rsid w:val="54240834"/>
    <w:rsid w:val="5425490A"/>
    <w:rsid w:val="5426635A"/>
    <w:rsid w:val="542919A7"/>
    <w:rsid w:val="54297BF9"/>
    <w:rsid w:val="542A50CA"/>
    <w:rsid w:val="542D593B"/>
    <w:rsid w:val="543971C6"/>
    <w:rsid w:val="544650FE"/>
    <w:rsid w:val="5448043F"/>
    <w:rsid w:val="544A0CC1"/>
    <w:rsid w:val="544B4013"/>
    <w:rsid w:val="544D1B39"/>
    <w:rsid w:val="544E657C"/>
    <w:rsid w:val="54501629"/>
    <w:rsid w:val="54513D8A"/>
    <w:rsid w:val="545509EE"/>
    <w:rsid w:val="545804DE"/>
    <w:rsid w:val="545B2B34"/>
    <w:rsid w:val="54660803"/>
    <w:rsid w:val="54686E4D"/>
    <w:rsid w:val="54782966"/>
    <w:rsid w:val="547A0454"/>
    <w:rsid w:val="547A66A6"/>
    <w:rsid w:val="547B40A9"/>
    <w:rsid w:val="547D57DF"/>
    <w:rsid w:val="547E32FD"/>
    <w:rsid w:val="548F2152"/>
    <w:rsid w:val="549144BA"/>
    <w:rsid w:val="5492579E"/>
    <w:rsid w:val="54931516"/>
    <w:rsid w:val="549C03CB"/>
    <w:rsid w:val="549C7C99"/>
    <w:rsid w:val="549E05E7"/>
    <w:rsid w:val="54A454D1"/>
    <w:rsid w:val="54AA0D3A"/>
    <w:rsid w:val="54B43966"/>
    <w:rsid w:val="54B55930"/>
    <w:rsid w:val="54BA6AA3"/>
    <w:rsid w:val="54BC6CBF"/>
    <w:rsid w:val="54BF140B"/>
    <w:rsid w:val="54C115EE"/>
    <w:rsid w:val="54C53DC5"/>
    <w:rsid w:val="54C86632"/>
    <w:rsid w:val="54C87412"/>
    <w:rsid w:val="54CC50DB"/>
    <w:rsid w:val="54CD4A28"/>
    <w:rsid w:val="54CD67D6"/>
    <w:rsid w:val="54CF037D"/>
    <w:rsid w:val="54CF1854"/>
    <w:rsid w:val="54D04518"/>
    <w:rsid w:val="54D264E2"/>
    <w:rsid w:val="54D44008"/>
    <w:rsid w:val="54D538DD"/>
    <w:rsid w:val="54D97871"/>
    <w:rsid w:val="54DC562C"/>
    <w:rsid w:val="54DF0B0E"/>
    <w:rsid w:val="54E63F34"/>
    <w:rsid w:val="54EA1DDB"/>
    <w:rsid w:val="54EA55DA"/>
    <w:rsid w:val="54ED0C26"/>
    <w:rsid w:val="54F41FB5"/>
    <w:rsid w:val="54FE2E33"/>
    <w:rsid w:val="54FF6BD7"/>
    <w:rsid w:val="55055F70"/>
    <w:rsid w:val="550A17D8"/>
    <w:rsid w:val="550A5C7C"/>
    <w:rsid w:val="550B5550"/>
    <w:rsid w:val="550D751A"/>
    <w:rsid w:val="55100CCE"/>
    <w:rsid w:val="55144405"/>
    <w:rsid w:val="55175CA3"/>
    <w:rsid w:val="55230AEC"/>
    <w:rsid w:val="552A3C28"/>
    <w:rsid w:val="552D3A2B"/>
    <w:rsid w:val="553B7BE4"/>
    <w:rsid w:val="553E76D4"/>
    <w:rsid w:val="55472A2C"/>
    <w:rsid w:val="554F18E1"/>
    <w:rsid w:val="55511C4D"/>
    <w:rsid w:val="55542649"/>
    <w:rsid w:val="55560EC1"/>
    <w:rsid w:val="555667CB"/>
    <w:rsid w:val="555A2F8D"/>
    <w:rsid w:val="555C7FF7"/>
    <w:rsid w:val="556A21AA"/>
    <w:rsid w:val="556A671B"/>
    <w:rsid w:val="557355CF"/>
    <w:rsid w:val="55766E6E"/>
    <w:rsid w:val="55774994"/>
    <w:rsid w:val="55794BB0"/>
    <w:rsid w:val="557D01FC"/>
    <w:rsid w:val="558501F5"/>
    <w:rsid w:val="558937EE"/>
    <w:rsid w:val="558A3D0F"/>
    <w:rsid w:val="558F6181"/>
    <w:rsid w:val="559E63C4"/>
    <w:rsid w:val="559F2A2E"/>
    <w:rsid w:val="55A200ED"/>
    <w:rsid w:val="55A27C63"/>
    <w:rsid w:val="55AA694E"/>
    <w:rsid w:val="55AA6B17"/>
    <w:rsid w:val="55B21D4E"/>
    <w:rsid w:val="55B41744"/>
    <w:rsid w:val="55B47996"/>
    <w:rsid w:val="55B654BC"/>
    <w:rsid w:val="55BB2AD2"/>
    <w:rsid w:val="55BD684B"/>
    <w:rsid w:val="55BE25C3"/>
    <w:rsid w:val="55C027DF"/>
    <w:rsid w:val="55C0458D"/>
    <w:rsid w:val="55C20305"/>
    <w:rsid w:val="55C37BD9"/>
    <w:rsid w:val="55C9596F"/>
    <w:rsid w:val="55CE2806"/>
    <w:rsid w:val="55D151BB"/>
    <w:rsid w:val="55DD6EED"/>
    <w:rsid w:val="55DE3CF2"/>
    <w:rsid w:val="55F04E72"/>
    <w:rsid w:val="55F663A1"/>
    <w:rsid w:val="55FB7373"/>
    <w:rsid w:val="55FF50B5"/>
    <w:rsid w:val="560037D1"/>
    <w:rsid w:val="56010E2D"/>
    <w:rsid w:val="56024BA5"/>
    <w:rsid w:val="560721BC"/>
    <w:rsid w:val="560B1CAC"/>
    <w:rsid w:val="560C1580"/>
    <w:rsid w:val="56150435"/>
    <w:rsid w:val="56186177"/>
    <w:rsid w:val="561948A0"/>
    <w:rsid w:val="561F12B3"/>
    <w:rsid w:val="561F358B"/>
    <w:rsid w:val="56226B3B"/>
    <w:rsid w:val="56242D6E"/>
    <w:rsid w:val="56260894"/>
    <w:rsid w:val="56262642"/>
    <w:rsid w:val="562763BA"/>
    <w:rsid w:val="562767C9"/>
    <w:rsid w:val="56295EF0"/>
    <w:rsid w:val="562C1C22"/>
    <w:rsid w:val="563A433F"/>
    <w:rsid w:val="563D3FC9"/>
    <w:rsid w:val="563D5BDD"/>
    <w:rsid w:val="563F23B2"/>
    <w:rsid w:val="564156CE"/>
    <w:rsid w:val="56486A5C"/>
    <w:rsid w:val="56496330"/>
    <w:rsid w:val="565151E5"/>
    <w:rsid w:val="5653600F"/>
    <w:rsid w:val="565C6063"/>
    <w:rsid w:val="5661309D"/>
    <w:rsid w:val="56660C90"/>
    <w:rsid w:val="56692F5A"/>
    <w:rsid w:val="566D1586"/>
    <w:rsid w:val="56704034"/>
    <w:rsid w:val="56725887"/>
    <w:rsid w:val="567535C9"/>
    <w:rsid w:val="56806A71"/>
    <w:rsid w:val="56831EA5"/>
    <w:rsid w:val="56842E90"/>
    <w:rsid w:val="56876E58"/>
    <w:rsid w:val="56892F91"/>
    <w:rsid w:val="568C3447"/>
    <w:rsid w:val="568E0D59"/>
    <w:rsid w:val="56905D0D"/>
    <w:rsid w:val="569644F9"/>
    <w:rsid w:val="56982E14"/>
    <w:rsid w:val="569A4DDE"/>
    <w:rsid w:val="569E4F2A"/>
    <w:rsid w:val="56A33C92"/>
    <w:rsid w:val="56A52B5E"/>
    <w:rsid w:val="56A619D5"/>
    <w:rsid w:val="56A620C1"/>
    <w:rsid w:val="56AB7358"/>
    <w:rsid w:val="56B80354"/>
    <w:rsid w:val="56BE6D1E"/>
    <w:rsid w:val="56C874BE"/>
    <w:rsid w:val="56CA78E6"/>
    <w:rsid w:val="56CB5347"/>
    <w:rsid w:val="56CD7096"/>
    <w:rsid w:val="56D025AE"/>
    <w:rsid w:val="56D24923"/>
    <w:rsid w:val="56D402F0"/>
    <w:rsid w:val="56D4209E"/>
    <w:rsid w:val="56D54068"/>
    <w:rsid w:val="56D652EB"/>
    <w:rsid w:val="56DE2F1C"/>
    <w:rsid w:val="56DE4CCA"/>
    <w:rsid w:val="56E30533"/>
    <w:rsid w:val="56E322E1"/>
    <w:rsid w:val="56EA4B49"/>
    <w:rsid w:val="56EE18E0"/>
    <w:rsid w:val="56EF6ED8"/>
    <w:rsid w:val="56F02C50"/>
    <w:rsid w:val="56F23876"/>
    <w:rsid w:val="56F73FDE"/>
    <w:rsid w:val="56FC15F5"/>
    <w:rsid w:val="570010E5"/>
    <w:rsid w:val="57020070"/>
    <w:rsid w:val="57064221"/>
    <w:rsid w:val="570A1F63"/>
    <w:rsid w:val="570A4B69"/>
    <w:rsid w:val="570B7A8A"/>
    <w:rsid w:val="570E5FF1"/>
    <w:rsid w:val="571A08AE"/>
    <w:rsid w:val="57203535"/>
    <w:rsid w:val="57225A7F"/>
    <w:rsid w:val="572374E9"/>
    <w:rsid w:val="5725507F"/>
    <w:rsid w:val="57284198"/>
    <w:rsid w:val="572945BF"/>
    <w:rsid w:val="572A0618"/>
    <w:rsid w:val="572A6162"/>
    <w:rsid w:val="572C012C"/>
    <w:rsid w:val="572D5C52"/>
    <w:rsid w:val="572F5526"/>
    <w:rsid w:val="573174F0"/>
    <w:rsid w:val="57393E86"/>
    <w:rsid w:val="573A3ECB"/>
    <w:rsid w:val="573C5E95"/>
    <w:rsid w:val="573F55D2"/>
    <w:rsid w:val="57472210"/>
    <w:rsid w:val="574A7AAF"/>
    <w:rsid w:val="574F7976"/>
    <w:rsid w:val="57517023"/>
    <w:rsid w:val="57521214"/>
    <w:rsid w:val="57541A82"/>
    <w:rsid w:val="57556405"/>
    <w:rsid w:val="57573F41"/>
    <w:rsid w:val="57594657"/>
    <w:rsid w:val="575A423B"/>
    <w:rsid w:val="575E49C8"/>
    <w:rsid w:val="57623B4D"/>
    <w:rsid w:val="5765771B"/>
    <w:rsid w:val="57690257"/>
    <w:rsid w:val="576A5159"/>
    <w:rsid w:val="576C677A"/>
    <w:rsid w:val="576F5D87"/>
    <w:rsid w:val="57727B09"/>
    <w:rsid w:val="5778511F"/>
    <w:rsid w:val="57802226"/>
    <w:rsid w:val="57831D16"/>
    <w:rsid w:val="578810DA"/>
    <w:rsid w:val="57881AD4"/>
    <w:rsid w:val="578F2469"/>
    <w:rsid w:val="5790048F"/>
    <w:rsid w:val="5794182D"/>
    <w:rsid w:val="579655A5"/>
    <w:rsid w:val="579730CB"/>
    <w:rsid w:val="579A6024"/>
    <w:rsid w:val="57A31A70"/>
    <w:rsid w:val="57A777B2"/>
    <w:rsid w:val="57AA2DFF"/>
    <w:rsid w:val="57B21B58"/>
    <w:rsid w:val="57B509FF"/>
    <w:rsid w:val="57B51404"/>
    <w:rsid w:val="57B8376D"/>
    <w:rsid w:val="57BB325E"/>
    <w:rsid w:val="57BE4AFC"/>
    <w:rsid w:val="57C55E8A"/>
    <w:rsid w:val="57CA34A1"/>
    <w:rsid w:val="57D165DD"/>
    <w:rsid w:val="57D32355"/>
    <w:rsid w:val="57D85BBE"/>
    <w:rsid w:val="57DE6F4C"/>
    <w:rsid w:val="57E5652D"/>
    <w:rsid w:val="57E725C7"/>
    <w:rsid w:val="57EC1669"/>
    <w:rsid w:val="57EE2632"/>
    <w:rsid w:val="57EF232B"/>
    <w:rsid w:val="57F535F0"/>
    <w:rsid w:val="57F95D34"/>
    <w:rsid w:val="57F978A3"/>
    <w:rsid w:val="57FD7D2F"/>
    <w:rsid w:val="57FE11EC"/>
    <w:rsid w:val="58044C05"/>
    <w:rsid w:val="58092A68"/>
    <w:rsid w:val="580F7106"/>
    <w:rsid w:val="581258FB"/>
    <w:rsid w:val="58171AA2"/>
    <w:rsid w:val="581B6117"/>
    <w:rsid w:val="581C37F3"/>
    <w:rsid w:val="581C6CDB"/>
    <w:rsid w:val="58247055"/>
    <w:rsid w:val="58342AEA"/>
    <w:rsid w:val="583D5FB9"/>
    <w:rsid w:val="584365D2"/>
    <w:rsid w:val="58443253"/>
    <w:rsid w:val="58450D79"/>
    <w:rsid w:val="584E40D2"/>
    <w:rsid w:val="58523BC2"/>
    <w:rsid w:val="58533452"/>
    <w:rsid w:val="58586CFE"/>
    <w:rsid w:val="585C5138"/>
    <w:rsid w:val="586C6306"/>
    <w:rsid w:val="58705DF6"/>
    <w:rsid w:val="58767185"/>
    <w:rsid w:val="587753D7"/>
    <w:rsid w:val="58883DBC"/>
    <w:rsid w:val="5891253B"/>
    <w:rsid w:val="58915436"/>
    <w:rsid w:val="589368CE"/>
    <w:rsid w:val="58952297"/>
    <w:rsid w:val="589E653C"/>
    <w:rsid w:val="58A028BF"/>
    <w:rsid w:val="58A3441E"/>
    <w:rsid w:val="58A67A6A"/>
    <w:rsid w:val="58AE34D6"/>
    <w:rsid w:val="58B57CAD"/>
    <w:rsid w:val="58B739CB"/>
    <w:rsid w:val="58B83A54"/>
    <w:rsid w:val="58BA1767"/>
    <w:rsid w:val="58C04101"/>
    <w:rsid w:val="58C06E06"/>
    <w:rsid w:val="58C3061C"/>
    <w:rsid w:val="58C61EBA"/>
    <w:rsid w:val="58C9181F"/>
    <w:rsid w:val="58CB5722"/>
    <w:rsid w:val="58CB74D0"/>
    <w:rsid w:val="58CD0634"/>
    <w:rsid w:val="58D05A8F"/>
    <w:rsid w:val="58D41586"/>
    <w:rsid w:val="58D5255F"/>
    <w:rsid w:val="58D81BED"/>
    <w:rsid w:val="58E16CF4"/>
    <w:rsid w:val="58E223C6"/>
    <w:rsid w:val="58E33B9E"/>
    <w:rsid w:val="58E707AC"/>
    <w:rsid w:val="58E95BA9"/>
    <w:rsid w:val="58EB7B73"/>
    <w:rsid w:val="58EF1411"/>
    <w:rsid w:val="58F20F01"/>
    <w:rsid w:val="58F22CAF"/>
    <w:rsid w:val="58F85DEC"/>
    <w:rsid w:val="58F95B31"/>
    <w:rsid w:val="58FA6008"/>
    <w:rsid w:val="5904311F"/>
    <w:rsid w:val="591043AD"/>
    <w:rsid w:val="591075D9"/>
    <w:rsid w:val="5914725F"/>
    <w:rsid w:val="5915699E"/>
    <w:rsid w:val="591744C4"/>
    <w:rsid w:val="5919023C"/>
    <w:rsid w:val="591946E0"/>
    <w:rsid w:val="591A2206"/>
    <w:rsid w:val="591B427E"/>
    <w:rsid w:val="591C7D2C"/>
    <w:rsid w:val="59233870"/>
    <w:rsid w:val="59266DFD"/>
    <w:rsid w:val="592B58AB"/>
    <w:rsid w:val="592B6D84"/>
    <w:rsid w:val="592D1F39"/>
    <w:rsid w:val="592F0503"/>
    <w:rsid w:val="59301A29"/>
    <w:rsid w:val="59350DEE"/>
    <w:rsid w:val="593908DE"/>
    <w:rsid w:val="59394FBF"/>
    <w:rsid w:val="593A3254"/>
    <w:rsid w:val="59401C6C"/>
    <w:rsid w:val="59430E03"/>
    <w:rsid w:val="59485749"/>
    <w:rsid w:val="595022DF"/>
    <w:rsid w:val="59513E7A"/>
    <w:rsid w:val="59542316"/>
    <w:rsid w:val="595C281E"/>
    <w:rsid w:val="596811C3"/>
    <w:rsid w:val="596D2336"/>
    <w:rsid w:val="59710078"/>
    <w:rsid w:val="59741916"/>
    <w:rsid w:val="59766F34"/>
    <w:rsid w:val="59771E18"/>
    <w:rsid w:val="597E28B7"/>
    <w:rsid w:val="597F0D4B"/>
    <w:rsid w:val="59837DAB"/>
    <w:rsid w:val="5989251A"/>
    <w:rsid w:val="5989374A"/>
    <w:rsid w:val="598F04FE"/>
    <w:rsid w:val="59914276"/>
    <w:rsid w:val="59945B14"/>
    <w:rsid w:val="59980B8B"/>
    <w:rsid w:val="599975CF"/>
    <w:rsid w:val="599B50F5"/>
    <w:rsid w:val="59A0270B"/>
    <w:rsid w:val="59A50B6E"/>
    <w:rsid w:val="59A57D21"/>
    <w:rsid w:val="59A65848"/>
    <w:rsid w:val="59A9076A"/>
    <w:rsid w:val="59A97EDE"/>
    <w:rsid w:val="59AA63D6"/>
    <w:rsid w:val="59AF6DF2"/>
    <w:rsid w:val="59B2243E"/>
    <w:rsid w:val="59B461B6"/>
    <w:rsid w:val="59B46804"/>
    <w:rsid w:val="59BC506B"/>
    <w:rsid w:val="59BF057D"/>
    <w:rsid w:val="59BF5AEA"/>
    <w:rsid w:val="59C97EB4"/>
    <w:rsid w:val="59CA7788"/>
    <w:rsid w:val="59CE54CA"/>
    <w:rsid w:val="59CF1440"/>
    <w:rsid w:val="59CF4D9E"/>
    <w:rsid w:val="59D16508"/>
    <w:rsid w:val="59D32AE1"/>
    <w:rsid w:val="59D81EA5"/>
    <w:rsid w:val="59E22B4A"/>
    <w:rsid w:val="59E44CEE"/>
    <w:rsid w:val="59E54311"/>
    <w:rsid w:val="59E7033A"/>
    <w:rsid w:val="59E7253F"/>
    <w:rsid w:val="59E757CB"/>
    <w:rsid w:val="59EA7E2A"/>
    <w:rsid w:val="59EC5950"/>
    <w:rsid w:val="59EF5441"/>
    <w:rsid w:val="59FB5B93"/>
    <w:rsid w:val="5A0A5DD6"/>
    <w:rsid w:val="5A110769"/>
    <w:rsid w:val="5A132EDD"/>
    <w:rsid w:val="5A186B95"/>
    <w:rsid w:val="5A19111B"/>
    <w:rsid w:val="5A1C7EC2"/>
    <w:rsid w:val="5A1D5B0A"/>
    <w:rsid w:val="5A1E1882"/>
    <w:rsid w:val="5A1F53CF"/>
    <w:rsid w:val="5A2275C4"/>
    <w:rsid w:val="5A236E98"/>
    <w:rsid w:val="5A2677F3"/>
    <w:rsid w:val="5A292701"/>
    <w:rsid w:val="5A2B0ABE"/>
    <w:rsid w:val="5A2E41BB"/>
    <w:rsid w:val="5A36306F"/>
    <w:rsid w:val="5A372088"/>
    <w:rsid w:val="5A3811B4"/>
    <w:rsid w:val="5A394955"/>
    <w:rsid w:val="5A3D11C7"/>
    <w:rsid w:val="5A420462"/>
    <w:rsid w:val="5A430ABC"/>
    <w:rsid w:val="5A453EB6"/>
    <w:rsid w:val="5A471E37"/>
    <w:rsid w:val="5A4F5EDF"/>
    <w:rsid w:val="5A5050B9"/>
    <w:rsid w:val="5A5359CF"/>
    <w:rsid w:val="5A5C5545"/>
    <w:rsid w:val="5A5D23AA"/>
    <w:rsid w:val="5A6000EC"/>
    <w:rsid w:val="5A7327CB"/>
    <w:rsid w:val="5A7476F4"/>
    <w:rsid w:val="5A765BA0"/>
    <w:rsid w:val="5A767910"/>
    <w:rsid w:val="5A777417"/>
    <w:rsid w:val="5A787BCA"/>
    <w:rsid w:val="5A7B6CD4"/>
    <w:rsid w:val="5A8726D3"/>
    <w:rsid w:val="5A89120F"/>
    <w:rsid w:val="5A90452E"/>
    <w:rsid w:val="5A931BB4"/>
    <w:rsid w:val="5A971D60"/>
    <w:rsid w:val="5A9A35FE"/>
    <w:rsid w:val="5A9C7376"/>
    <w:rsid w:val="5AA3210E"/>
    <w:rsid w:val="5AAB0F4D"/>
    <w:rsid w:val="5AAB2B13"/>
    <w:rsid w:val="5AAC3332"/>
    <w:rsid w:val="5AB20948"/>
    <w:rsid w:val="5ABC17C7"/>
    <w:rsid w:val="5AC10B30"/>
    <w:rsid w:val="5ACD5782"/>
    <w:rsid w:val="5AD04CA5"/>
    <w:rsid w:val="5AD21616"/>
    <w:rsid w:val="5AD36B10"/>
    <w:rsid w:val="5AD52888"/>
    <w:rsid w:val="5AD703AE"/>
    <w:rsid w:val="5AD73D65"/>
    <w:rsid w:val="5ADD25A6"/>
    <w:rsid w:val="5ADF7263"/>
    <w:rsid w:val="5AE20B01"/>
    <w:rsid w:val="5AE34FA5"/>
    <w:rsid w:val="5AE505CF"/>
    <w:rsid w:val="5AE634A3"/>
    <w:rsid w:val="5AE825BC"/>
    <w:rsid w:val="5AEE1064"/>
    <w:rsid w:val="5AF0321E"/>
    <w:rsid w:val="5AF3107F"/>
    <w:rsid w:val="5AF947C9"/>
    <w:rsid w:val="5AFA5E4B"/>
    <w:rsid w:val="5AFC5265"/>
    <w:rsid w:val="5AFF7905"/>
    <w:rsid w:val="5B013EE1"/>
    <w:rsid w:val="5B084A0C"/>
    <w:rsid w:val="5B092AA8"/>
    <w:rsid w:val="5B0A0784"/>
    <w:rsid w:val="5B123905"/>
    <w:rsid w:val="5B17318F"/>
    <w:rsid w:val="5B18697F"/>
    <w:rsid w:val="5B1D6792"/>
    <w:rsid w:val="5B231846"/>
    <w:rsid w:val="5B24736C"/>
    <w:rsid w:val="5B266C40"/>
    <w:rsid w:val="5B273814"/>
    <w:rsid w:val="5B2F33BE"/>
    <w:rsid w:val="5B303F63"/>
    <w:rsid w:val="5B311471"/>
    <w:rsid w:val="5B333B85"/>
    <w:rsid w:val="5B3550D5"/>
    <w:rsid w:val="5B3677B9"/>
    <w:rsid w:val="5B3A6B8F"/>
    <w:rsid w:val="5B3B1FDA"/>
    <w:rsid w:val="5B3E042E"/>
    <w:rsid w:val="5B4377F2"/>
    <w:rsid w:val="5B465534"/>
    <w:rsid w:val="5B490B80"/>
    <w:rsid w:val="5B4C0667"/>
    <w:rsid w:val="5B4C0672"/>
    <w:rsid w:val="5B56490F"/>
    <w:rsid w:val="5B575D5D"/>
    <w:rsid w:val="5B5C08B4"/>
    <w:rsid w:val="5B5C3F4C"/>
    <w:rsid w:val="5B5E287E"/>
    <w:rsid w:val="5B6065F6"/>
    <w:rsid w:val="5B635F30"/>
    <w:rsid w:val="5B65426C"/>
    <w:rsid w:val="5B683031"/>
    <w:rsid w:val="5B6A7475"/>
    <w:rsid w:val="5B6B0AF7"/>
    <w:rsid w:val="5B6D0D13"/>
    <w:rsid w:val="5B6D0DDB"/>
    <w:rsid w:val="5B70224C"/>
    <w:rsid w:val="5B7025B1"/>
    <w:rsid w:val="5B773940"/>
    <w:rsid w:val="5B7C46CC"/>
    <w:rsid w:val="5B7E469E"/>
    <w:rsid w:val="5B8256A3"/>
    <w:rsid w:val="5B834000"/>
    <w:rsid w:val="5B890959"/>
    <w:rsid w:val="5B8F6EDB"/>
    <w:rsid w:val="5B977B3E"/>
    <w:rsid w:val="5B9B6A9B"/>
    <w:rsid w:val="5B9E0ECC"/>
    <w:rsid w:val="5B9E2C7A"/>
    <w:rsid w:val="5BA34735"/>
    <w:rsid w:val="5BA83AF9"/>
    <w:rsid w:val="5BAA7871"/>
    <w:rsid w:val="5BB24978"/>
    <w:rsid w:val="5BB40180"/>
    <w:rsid w:val="5BB4249E"/>
    <w:rsid w:val="5BB556AA"/>
    <w:rsid w:val="5BBB382C"/>
    <w:rsid w:val="5BBF5761"/>
    <w:rsid w:val="5BC10D9A"/>
    <w:rsid w:val="5BC16969"/>
    <w:rsid w:val="5BC23C2D"/>
    <w:rsid w:val="5BC528FD"/>
    <w:rsid w:val="5BC63581"/>
    <w:rsid w:val="5BD02660"/>
    <w:rsid w:val="5BD4669C"/>
    <w:rsid w:val="5BDB3ECE"/>
    <w:rsid w:val="5BDD423B"/>
    <w:rsid w:val="5BDE576D"/>
    <w:rsid w:val="5BE014E5"/>
    <w:rsid w:val="5BE7593D"/>
    <w:rsid w:val="5BE82147"/>
    <w:rsid w:val="5BEA5EBF"/>
    <w:rsid w:val="5BEC60DC"/>
    <w:rsid w:val="5BED1187"/>
    <w:rsid w:val="5BED59B0"/>
    <w:rsid w:val="5BF21874"/>
    <w:rsid w:val="5BFA0E4D"/>
    <w:rsid w:val="5BFC5BF3"/>
    <w:rsid w:val="5BFC7D49"/>
    <w:rsid w:val="5C0077C3"/>
    <w:rsid w:val="5C0138F0"/>
    <w:rsid w:val="5C0351D3"/>
    <w:rsid w:val="5C090A3C"/>
    <w:rsid w:val="5C0A6562"/>
    <w:rsid w:val="5C0F3B78"/>
    <w:rsid w:val="5C190553"/>
    <w:rsid w:val="5C1C03F9"/>
    <w:rsid w:val="5C28409A"/>
    <w:rsid w:val="5C292E8C"/>
    <w:rsid w:val="5C2A6C04"/>
    <w:rsid w:val="5C341831"/>
    <w:rsid w:val="5C351E45"/>
    <w:rsid w:val="5C390E3D"/>
    <w:rsid w:val="5C3B496D"/>
    <w:rsid w:val="5C3D06E5"/>
    <w:rsid w:val="5C3D2493"/>
    <w:rsid w:val="5C447CC6"/>
    <w:rsid w:val="5C452D3D"/>
    <w:rsid w:val="5C4968E6"/>
    <w:rsid w:val="5C49708A"/>
    <w:rsid w:val="5C4C0928"/>
    <w:rsid w:val="5C514191"/>
    <w:rsid w:val="5C62431A"/>
    <w:rsid w:val="5C65025B"/>
    <w:rsid w:val="5C697E2C"/>
    <w:rsid w:val="5C6A7000"/>
    <w:rsid w:val="5C6C0FCA"/>
    <w:rsid w:val="5C6C4B26"/>
    <w:rsid w:val="5C7165E1"/>
    <w:rsid w:val="5C732359"/>
    <w:rsid w:val="5C7560D1"/>
    <w:rsid w:val="5C7D6D34"/>
    <w:rsid w:val="5C877BB2"/>
    <w:rsid w:val="5CA040DF"/>
    <w:rsid w:val="5CA2679A"/>
    <w:rsid w:val="5CA442C0"/>
    <w:rsid w:val="5CA50038"/>
    <w:rsid w:val="5CA625C7"/>
    <w:rsid w:val="5CA644DC"/>
    <w:rsid w:val="5CA7146D"/>
    <w:rsid w:val="5CA7331F"/>
    <w:rsid w:val="5CA73DB1"/>
    <w:rsid w:val="5CAC13C7"/>
    <w:rsid w:val="5CAE2B5F"/>
    <w:rsid w:val="5CB05D2D"/>
    <w:rsid w:val="5CB309A7"/>
    <w:rsid w:val="5CB55A68"/>
    <w:rsid w:val="5CB85FBE"/>
    <w:rsid w:val="5CBC6956"/>
    <w:rsid w:val="5CBF10FA"/>
    <w:rsid w:val="5CC20BEA"/>
    <w:rsid w:val="5CC2508E"/>
    <w:rsid w:val="5CC424E7"/>
    <w:rsid w:val="5CC42BB4"/>
    <w:rsid w:val="5CC4533B"/>
    <w:rsid w:val="5CC61D78"/>
    <w:rsid w:val="5CC6506E"/>
    <w:rsid w:val="5CC74453"/>
    <w:rsid w:val="5CCC1A69"/>
    <w:rsid w:val="5CD1707F"/>
    <w:rsid w:val="5CE62B2B"/>
    <w:rsid w:val="5CE7140F"/>
    <w:rsid w:val="5CEF4C32"/>
    <w:rsid w:val="5CF74D38"/>
    <w:rsid w:val="5CF81CCF"/>
    <w:rsid w:val="5CFA4828"/>
    <w:rsid w:val="5D0134C1"/>
    <w:rsid w:val="5D027239"/>
    <w:rsid w:val="5D047455"/>
    <w:rsid w:val="5D0E3E30"/>
    <w:rsid w:val="5D170F36"/>
    <w:rsid w:val="5D1A6C78"/>
    <w:rsid w:val="5D245505"/>
    <w:rsid w:val="5D261FEA"/>
    <w:rsid w:val="5D26317D"/>
    <w:rsid w:val="5D2673CB"/>
    <w:rsid w:val="5D284EF1"/>
    <w:rsid w:val="5D2C040F"/>
    <w:rsid w:val="5D2D2E38"/>
    <w:rsid w:val="5D33135D"/>
    <w:rsid w:val="5D331AE8"/>
    <w:rsid w:val="5D352450"/>
    <w:rsid w:val="5D3664FC"/>
    <w:rsid w:val="5D3A10C4"/>
    <w:rsid w:val="5D437F7D"/>
    <w:rsid w:val="5D453E44"/>
    <w:rsid w:val="5D487342"/>
    <w:rsid w:val="5D4C6350"/>
    <w:rsid w:val="5D4D2BAA"/>
    <w:rsid w:val="5D4F6C9D"/>
    <w:rsid w:val="5D577585"/>
    <w:rsid w:val="5D5C103F"/>
    <w:rsid w:val="5D5C7C44"/>
    <w:rsid w:val="5D5F468B"/>
    <w:rsid w:val="5D662AE1"/>
    <w:rsid w:val="5D6A3A99"/>
    <w:rsid w:val="5D7C3D6A"/>
    <w:rsid w:val="5D804D2D"/>
    <w:rsid w:val="5D8365CC"/>
    <w:rsid w:val="5D84509D"/>
    <w:rsid w:val="5D850596"/>
    <w:rsid w:val="5D8507FF"/>
    <w:rsid w:val="5D89758F"/>
    <w:rsid w:val="5D8F4F70"/>
    <w:rsid w:val="5D907C70"/>
    <w:rsid w:val="5D9C768D"/>
    <w:rsid w:val="5D9E5CCB"/>
    <w:rsid w:val="5DA402F0"/>
    <w:rsid w:val="5DAC2ED1"/>
    <w:rsid w:val="5DAD360B"/>
    <w:rsid w:val="5DAF5613"/>
    <w:rsid w:val="5DB70023"/>
    <w:rsid w:val="5DB91FED"/>
    <w:rsid w:val="5DC22036"/>
    <w:rsid w:val="5DC80A5D"/>
    <w:rsid w:val="5DC866D4"/>
    <w:rsid w:val="5DCA5FA9"/>
    <w:rsid w:val="5DCB0EFF"/>
    <w:rsid w:val="5DD23F12"/>
    <w:rsid w:val="5DD5494D"/>
    <w:rsid w:val="5DD706C5"/>
    <w:rsid w:val="5DE43D51"/>
    <w:rsid w:val="5DE80B25"/>
    <w:rsid w:val="5DEB5F1F"/>
    <w:rsid w:val="5DF272AD"/>
    <w:rsid w:val="5DF40FF1"/>
    <w:rsid w:val="5DF474C9"/>
    <w:rsid w:val="5DF748C4"/>
    <w:rsid w:val="5DF92094"/>
    <w:rsid w:val="5E022C19"/>
    <w:rsid w:val="5E023994"/>
    <w:rsid w:val="5E026355"/>
    <w:rsid w:val="5E055233"/>
    <w:rsid w:val="5E084F4E"/>
    <w:rsid w:val="5E0A0A9B"/>
    <w:rsid w:val="5E0A7A72"/>
    <w:rsid w:val="5E0C4813"/>
    <w:rsid w:val="5E0E0897"/>
    <w:rsid w:val="5E1831B8"/>
    <w:rsid w:val="5E196F30"/>
    <w:rsid w:val="5E27164D"/>
    <w:rsid w:val="5E317DD6"/>
    <w:rsid w:val="5E331DA0"/>
    <w:rsid w:val="5E345B18"/>
    <w:rsid w:val="5E355BB2"/>
    <w:rsid w:val="5E3873B6"/>
    <w:rsid w:val="5E394EDC"/>
    <w:rsid w:val="5E3D3547"/>
    <w:rsid w:val="5E413D91"/>
    <w:rsid w:val="5E420235"/>
    <w:rsid w:val="5E437B09"/>
    <w:rsid w:val="5E4C2E61"/>
    <w:rsid w:val="5E4D2736"/>
    <w:rsid w:val="5E5010E6"/>
    <w:rsid w:val="5E540481"/>
    <w:rsid w:val="5E59557E"/>
    <w:rsid w:val="5E5A6180"/>
    <w:rsid w:val="5E6006BB"/>
    <w:rsid w:val="5E6358C9"/>
    <w:rsid w:val="5E677C9B"/>
    <w:rsid w:val="5E68756F"/>
    <w:rsid w:val="5E6A153A"/>
    <w:rsid w:val="5E6A62B9"/>
    <w:rsid w:val="5E6B5759"/>
    <w:rsid w:val="5E766130"/>
    <w:rsid w:val="5E782E5B"/>
    <w:rsid w:val="5E7D126D"/>
    <w:rsid w:val="5E824AD5"/>
    <w:rsid w:val="5E86592F"/>
    <w:rsid w:val="5E895E64"/>
    <w:rsid w:val="5E8A398A"/>
    <w:rsid w:val="5E8C2537"/>
    <w:rsid w:val="5E8C6182"/>
    <w:rsid w:val="5E8F2D4E"/>
    <w:rsid w:val="5E8F7386"/>
    <w:rsid w:val="5E9345EC"/>
    <w:rsid w:val="5E9D36BD"/>
    <w:rsid w:val="5EA06D09"/>
    <w:rsid w:val="5EA52572"/>
    <w:rsid w:val="5EA56A83"/>
    <w:rsid w:val="5EA66A16"/>
    <w:rsid w:val="5EA907A2"/>
    <w:rsid w:val="5EA93E10"/>
    <w:rsid w:val="5EAC1B52"/>
    <w:rsid w:val="5EAE7F91"/>
    <w:rsid w:val="5EB6652D"/>
    <w:rsid w:val="5EB75D3B"/>
    <w:rsid w:val="5EBB7FE7"/>
    <w:rsid w:val="5EBE53E1"/>
    <w:rsid w:val="5EC02220"/>
    <w:rsid w:val="5ECA3D86"/>
    <w:rsid w:val="5ED15115"/>
    <w:rsid w:val="5ED6351A"/>
    <w:rsid w:val="5EDC2437"/>
    <w:rsid w:val="5EE162A6"/>
    <w:rsid w:val="5EE17A4E"/>
    <w:rsid w:val="5EEA61D6"/>
    <w:rsid w:val="5EED6B4B"/>
    <w:rsid w:val="5EEE5CC7"/>
    <w:rsid w:val="5EF13A09"/>
    <w:rsid w:val="5EF77271"/>
    <w:rsid w:val="5EFD0600"/>
    <w:rsid w:val="5EFD1FCE"/>
    <w:rsid w:val="5F0264D2"/>
    <w:rsid w:val="5F0463D4"/>
    <w:rsid w:val="5F142564"/>
    <w:rsid w:val="5F155949"/>
    <w:rsid w:val="5F1605A9"/>
    <w:rsid w:val="5F1802EE"/>
    <w:rsid w:val="5F1A6ABC"/>
    <w:rsid w:val="5F1C2437"/>
    <w:rsid w:val="5F1D035A"/>
    <w:rsid w:val="5F1D47FE"/>
    <w:rsid w:val="5F1F40D2"/>
    <w:rsid w:val="5F2931A3"/>
    <w:rsid w:val="5F2B6F1B"/>
    <w:rsid w:val="5F2F5721"/>
    <w:rsid w:val="5F3062DF"/>
    <w:rsid w:val="5F322057"/>
    <w:rsid w:val="5F37766E"/>
    <w:rsid w:val="5F3833E6"/>
    <w:rsid w:val="5F3976BA"/>
    <w:rsid w:val="5F3E7406"/>
    <w:rsid w:val="5F3F1965"/>
    <w:rsid w:val="5F41229A"/>
    <w:rsid w:val="5F4C4085"/>
    <w:rsid w:val="5F4F0642"/>
    <w:rsid w:val="5F570038"/>
    <w:rsid w:val="5F5838DB"/>
    <w:rsid w:val="5F5C04FA"/>
    <w:rsid w:val="5F5E109E"/>
    <w:rsid w:val="5F622211"/>
    <w:rsid w:val="5F683CCB"/>
    <w:rsid w:val="5F683F61"/>
    <w:rsid w:val="5F6B7317"/>
    <w:rsid w:val="5F6D12E1"/>
    <w:rsid w:val="5F6F1A2E"/>
    <w:rsid w:val="5F70492E"/>
    <w:rsid w:val="5F7420BA"/>
    <w:rsid w:val="5F7C7776"/>
    <w:rsid w:val="5F7D704B"/>
    <w:rsid w:val="5F830B05"/>
    <w:rsid w:val="5F8351CE"/>
    <w:rsid w:val="5F922AF6"/>
    <w:rsid w:val="5F93061C"/>
    <w:rsid w:val="5F981D14"/>
    <w:rsid w:val="5F9C55B4"/>
    <w:rsid w:val="5F9D1CA2"/>
    <w:rsid w:val="5F9F3465"/>
    <w:rsid w:val="5FA12D39"/>
    <w:rsid w:val="5FA145E4"/>
    <w:rsid w:val="5FA647F3"/>
    <w:rsid w:val="5FAD0EEF"/>
    <w:rsid w:val="5FAD16DE"/>
    <w:rsid w:val="5FB42F01"/>
    <w:rsid w:val="5FBF7663"/>
    <w:rsid w:val="5FC03B07"/>
    <w:rsid w:val="5FC66C44"/>
    <w:rsid w:val="5FD1499D"/>
    <w:rsid w:val="5FD300DB"/>
    <w:rsid w:val="5FD4310E"/>
    <w:rsid w:val="5FD56E87"/>
    <w:rsid w:val="5FD924D3"/>
    <w:rsid w:val="5FDA4192"/>
    <w:rsid w:val="5FDC320E"/>
    <w:rsid w:val="5FDE0DB4"/>
    <w:rsid w:val="5FE4451B"/>
    <w:rsid w:val="5FE84E43"/>
    <w:rsid w:val="5FEA0B84"/>
    <w:rsid w:val="5FEA0E69"/>
    <w:rsid w:val="5FF05552"/>
    <w:rsid w:val="5FFE462F"/>
    <w:rsid w:val="600335C1"/>
    <w:rsid w:val="60065292"/>
    <w:rsid w:val="6008100A"/>
    <w:rsid w:val="60092304"/>
    <w:rsid w:val="600A36F3"/>
    <w:rsid w:val="600B4656"/>
    <w:rsid w:val="601259E5"/>
    <w:rsid w:val="601465E9"/>
    <w:rsid w:val="60163727"/>
    <w:rsid w:val="601A2EB1"/>
    <w:rsid w:val="601D2D07"/>
    <w:rsid w:val="601D60A6"/>
    <w:rsid w:val="60200102"/>
    <w:rsid w:val="60206354"/>
    <w:rsid w:val="6022031E"/>
    <w:rsid w:val="602F35BA"/>
    <w:rsid w:val="602F6597"/>
    <w:rsid w:val="6033165F"/>
    <w:rsid w:val="60367925"/>
    <w:rsid w:val="6037090D"/>
    <w:rsid w:val="603A6BCE"/>
    <w:rsid w:val="603E2C7E"/>
    <w:rsid w:val="604069F6"/>
    <w:rsid w:val="6043510C"/>
    <w:rsid w:val="604364E6"/>
    <w:rsid w:val="6044459E"/>
    <w:rsid w:val="604858AA"/>
    <w:rsid w:val="60487659"/>
    <w:rsid w:val="604C539B"/>
    <w:rsid w:val="604E0B7A"/>
    <w:rsid w:val="6051475F"/>
    <w:rsid w:val="60597AB8"/>
    <w:rsid w:val="605C1481"/>
    <w:rsid w:val="605C4EB2"/>
    <w:rsid w:val="60602BF4"/>
    <w:rsid w:val="60647393"/>
    <w:rsid w:val="6065645C"/>
    <w:rsid w:val="606721D5"/>
    <w:rsid w:val="606C77EB"/>
    <w:rsid w:val="607709AF"/>
    <w:rsid w:val="60781190"/>
    <w:rsid w:val="60791F08"/>
    <w:rsid w:val="60794C43"/>
    <w:rsid w:val="60797584"/>
    <w:rsid w:val="607D004F"/>
    <w:rsid w:val="60844B35"/>
    <w:rsid w:val="608F34D9"/>
    <w:rsid w:val="608F386B"/>
    <w:rsid w:val="60911885"/>
    <w:rsid w:val="609304B3"/>
    <w:rsid w:val="60932876"/>
    <w:rsid w:val="60982016"/>
    <w:rsid w:val="609B18F3"/>
    <w:rsid w:val="609C03E4"/>
    <w:rsid w:val="609C0EEF"/>
    <w:rsid w:val="609D1752"/>
    <w:rsid w:val="609E4E19"/>
    <w:rsid w:val="60A76A75"/>
    <w:rsid w:val="60AA38DE"/>
    <w:rsid w:val="60B44CEE"/>
    <w:rsid w:val="60B62814"/>
    <w:rsid w:val="60B66CB8"/>
    <w:rsid w:val="60C05441"/>
    <w:rsid w:val="60C2565D"/>
    <w:rsid w:val="60C74A21"/>
    <w:rsid w:val="60CC57AA"/>
    <w:rsid w:val="60D31618"/>
    <w:rsid w:val="60D40EEC"/>
    <w:rsid w:val="60E24C3B"/>
    <w:rsid w:val="60EC26DA"/>
    <w:rsid w:val="60ED38B4"/>
    <w:rsid w:val="60EE28FE"/>
    <w:rsid w:val="60EF5642"/>
    <w:rsid w:val="60F462A9"/>
    <w:rsid w:val="60F85D8D"/>
    <w:rsid w:val="60FD4C38"/>
    <w:rsid w:val="61007C58"/>
    <w:rsid w:val="61037A48"/>
    <w:rsid w:val="6108344D"/>
    <w:rsid w:val="61095D5D"/>
    <w:rsid w:val="610F0176"/>
    <w:rsid w:val="61131A15"/>
    <w:rsid w:val="6115578D"/>
    <w:rsid w:val="61224752"/>
    <w:rsid w:val="612E6E0F"/>
    <w:rsid w:val="613025C6"/>
    <w:rsid w:val="61306A6A"/>
    <w:rsid w:val="61330309"/>
    <w:rsid w:val="613320B7"/>
    <w:rsid w:val="61333E65"/>
    <w:rsid w:val="613D0754"/>
    <w:rsid w:val="614E0C9F"/>
    <w:rsid w:val="614E5143"/>
    <w:rsid w:val="61565DA5"/>
    <w:rsid w:val="61573FF7"/>
    <w:rsid w:val="615838CB"/>
    <w:rsid w:val="615B0467"/>
    <w:rsid w:val="615C785F"/>
    <w:rsid w:val="615F2EAC"/>
    <w:rsid w:val="61630F6D"/>
    <w:rsid w:val="6166248C"/>
    <w:rsid w:val="61717E4F"/>
    <w:rsid w:val="61720E31"/>
    <w:rsid w:val="617526CF"/>
    <w:rsid w:val="617701F5"/>
    <w:rsid w:val="617D1584"/>
    <w:rsid w:val="617D3332"/>
    <w:rsid w:val="61830D92"/>
    <w:rsid w:val="618648DC"/>
    <w:rsid w:val="618E5E31"/>
    <w:rsid w:val="61923281"/>
    <w:rsid w:val="61970898"/>
    <w:rsid w:val="619737B0"/>
    <w:rsid w:val="61980260"/>
    <w:rsid w:val="619D4A5C"/>
    <w:rsid w:val="61A30090"/>
    <w:rsid w:val="61A71868"/>
    <w:rsid w:val="61A71CFF"/>
    <w:rsid w:val="61A74E09"/>
    <w:rsid w:val="61AD0680"/>
    <w:rsid w:val="61AE6FD1"/>
    <w:rsid w:val="61AF3E33"/>
    <w:rsid w:val="61B11CC9"/>
    <w:rsid w:val="61B41449"/>
    <w:rsid w:val="61B72CE8"/>
    <w:rsid w:val="61BB3BF0"/>
    <w:rsid w:val="61BE4A04"/>
    <w:rsid w:val="61CB0541"/>
    <w:rsid w:val="61CB6793"/>
    <w:rsid w:val="61CB6B6B"/>
    <w:rsid w:val="61CD49EB"/>
    <w:rsid w:val="61CF411A"/>
    <w:rsid w:val="61D218D0"/>
    <w:rsid w:val="61DB4C28"/>
    <w:rsid w:val="61DF291D"/>
    <w:rsid w:val="61E17D65"/>
    <w:rsid w:val="61E433B1"/>
    <w:rsid w:val="61EB4233"/>
    <w:rsid w:val="61F07FA8"/>
    <w:rsid w:val="61F1298B"/>
    <w:rsid w:val="61F33602"/>
    <w:rsid w:val="61F53810"/>
    <w:rsid w:val="61F6121F"/>
    <w:rsid w:val="61F96E5C"/>
    <w:rsid w:val="61FA006E"/>
    <w:rsid w:val="61FC4B9F"/>
    <w:rsid w:val="61FE4473"/>
    <w:rsid w:val="62097747"/>
    <w:rsid w:val="620F042E"/>
    <w:rsid w:val="620F6680"/>
    <w:rsid w:val="620F77DE"/>
    <w:rsid w:val="62133E4C"/>
    <w:rsid w:val="62141EE8"/>
    <w:rsid w:val="62165C60"/>
    <w:rsid w:val="621974FF"/>
    <w:rsid w:val="621A5025"/>
    <w:rsid w:val="621C355A"/>
    <w:rsid w:val="621F779C"/>
    <w:rsid w:val="622163B3"/>
    <w:rsid w:val="6226148A"/>
    <w:rsid w:val="622F25B2"/>
    <w:rsid w:val="62322363"/>
    <w:rsid w:val="623460E6"/>
    <w:rsid w:val="623751EA"/>
    <w:rsid w:val="623A22FB"/>
    <w:rsid w:val="623C31ED"/>
    <w:rsid w:val="623C747F"/>
    <w:rsid w:val="623F023C"/>
    <w:rsid w:val="624078E6"/>
    <w:rsid w:val="62410803"/>
    <w:rsid w:val="62426A55"/>
    <w:rsid w:val="624A76B8"/>
    <w:rsid w:val="624F2F20"/>
    <w:rsid w:val="625422E5"/>
    <w:rsid w:val="62546B80"/>
    <w:rsid w:val="6256605D"/>
    <w:rsid w:val="62586279"/>
    <w:rsid w:val="62597A1F"/>
    <w:rsid w:val="62600C89"/>
    <w:rsid w:val="62634C1E"/>
    <w:rsid w:val="626544F2"/>
    <w:rsid w:val="62663B30"/>
    <w:rsid w:val="62694143"/>
    <w:rsid w:val="626943DA"/>
    <w:rsid w:val="627D2274"/>
    <w:rsid w:val="62844DC3"/>
    <w:rsid w:val="62894684"/>
    <w:rsid w:val="628A21AA"/>
    <w:rsid w:val="62946B85"/>
    <w:rsid w:val="62966DA1"/>
    <w:rsid w:val="629E5C56"/>
    <w:rsid w:val="62A43A46"/>
    <w:rsid w:val="62A50D92"/>
    <w:rsid w:val="62AC2121"/>
    <w:rsid w:val="62AF1C11"/>
    <w:rsid w:val="62B15989"/>
    <w:rsid w:val="62B52825"/>
    <w:rsid w:val="62B92A90"/>
    <w:rsid w:val="62BB4B46"/>
    <w:rsid w:val="62BB67A6"/>
    <w:rsid w:val="62C4667B"/>
    <w:rsid w:val="62C700CA"/>
    <w:rsid w:val="62C76F5B"/>
    <w:rsid w:val="62C84A81"/>
    <w:rsid w:val="62DC1442"/>
    <w:rsid w:val="62DC1C2F"/>
    <w:rsid w:val="62E13293"/>
    <w:rsid w:val="62EA2C49"/>
    <w:rsid w:val="62EA2EE0"/>
    <w:rsid w:val="62F078EC"/>
    <w:rsid w:val="62F51D1A"/>
    <w:rsid w:val="62FD4BED"/>
    <w:rsid w:val="630731F8"/>
    <w:rsid w:val="63103C56"/>
    <w:rsid w:val="63116428"/>
    <w:rsid w:val="631303F2"/>
    <w:rsid w:val="63163A3E"/>
    <w:rsid w:val="631640B1"/>
    <w:rsid w:val="63185DBC"/>
    <w:rsid w:val="631F6D97"/>
    <w:rsid w:val="63266805"/>
    <w:rsid w:val="632779F9"/>
    <w:rsid w:val="632919C3"/>
    <w:rsid w:val="632B74E9"/>
    <w:rsid w:val="632E04AF"/>
    <w:rsid w:val="63340AED"/>
    <w:rsid w:val="63350A29"/>
    <w:rsid w:val="633B16F7"/>
    <w:rsid w:val="633D2AA6"/>
    <w:rsid w:val="634051DF"/>
    <w:rsid w:val="63416D0D"/>
    <w:rsid w:val="634404EF"/>
    <w:rsid w:val="63454641"/>
    <w:rsid w:val="6347018D"/>
    <w:rsid w:val="63495BC1"/>
    <w:rsid w:val="634B625C"/>
    <w:rsid w:val="63536A40"/>
    <w:rsid w:val="635527B8"/>
    <w:rsid w:val="635C51B2"/>
    <w:rsid w:val="635D166D"/>
    <w:rsid w:val="6361115D"/>
    <w:rsid w:val="63620A31"/>
    <w:rsid w:val="63640C4D"/>
    <w:rsid w:val="63666773"/>
    <w:rsid w:val="63675814"/>
    <w:rsid w:val="63682494"/>
    <w:rsid w:val="636D5D54"/>
    <w:rsid w:val="637164F1"/>
    <w:rsid w:val="637349EC"/>
    <w:rsid w:val="63791083"/>
    <w:rsid w:val="638017AF"/>
    <w:rsid w:val="63880D82"/>
    <w:rsid w:val="6388493C"/>
    <w:rsid w:val="638A426C"/>
    <w:rsid w:val="638A78EC"/>
    <w:rsid w:val="638B61DA"/>
    <w:rsid w:val="639130C5"/>
    <w:rsid w:val="63936E3D"/>
    <w:rsid w:val="639754FF"/>
    <w:rsid w:val="639B24F3"/>
    <w:rsid w:val="639F3A33"/>
    <w:rsid w:val="639F4703"/>
    <w:rsid w:val="63A63C5D"/>
    <w:rsid w:val="63B143F2"/>
    <w:rsid w:val="63B23767"/>
    <w:rsid w:val="63B3128D"/>
    <w:rsid w:val="63B75221"/>
    <w:rsid w:val="63B929AA"/>
    <w:rsid w:val="63C60FC0"/>
    <w:rsid w:val="63CA6C14"/>
    <w:rsid w:val="63CD67F3"/>
    <w:rsid w:val="63CF3A4E"/>
    <w:rsid w:val="63D33A00"/>
    <w:rsid w:val="63D538F9"/>
    <w:rsid w:val="63D77671"/>
    <w:rsid w:val="63DF02D4"/>
    <w:rsid w:val="63F0603D"/>
    <w:rsid w:val="63F41FD1"/>
    <w:rsid w:val="63FE4BFE"/>
    <w:rsid w:val="6402073A"/>
    <w:rsid w:val="64061861"/>
    <w:rsid w:val="64074FBE"/>
    <w:rsid w:val="640D630E"/>
    <w:rsid w:val="64144421"/>
    <w:rsid w:val="64234640"/>
    <w:rsid w:val="64234664"/>
    <w:rsid w:val="64236413"/>
    <w:rsid w:val="6426226D"/>
    <w:rsid w:val="642F0B54"/>
    <w:rsid w:val="643413FF"/>
    <w:rsid w:val="643F0D73"/>
    <w:rsid w:val="644656CB"/>
    <w:rsid w:val="644A7E43"/>
    <w:rsid w:val="644F5459"/>
    <w:rsid w:val="644F7208"/>
    <w:rsid w:val="64502511"/>
    <w:rsid w:val="64551D28"/>
    <w:rsid w:val="645545FF"/>
    <w:rsid w:val="64570A13"/>
    <w:rsid w:val="64596D3D"/>
    <w:rsid w:val="645C60CA"/>
    <w:rsid w:val="64601415"/>
    <w:rsid w:val="64630F05"/>
    <w:rsid w:val="6465149E"/>
    <w:rsid w:val="64653C98"/>
    <w:rsid w:val="64656A2B"/>
    <w:rsid w:val="64661C81"/>
    <w:rsid w:val="646A2293"/>
    <w:rsid w:val="646B1B68"/>
    <w:rsid w:val="646B6105"/>
    <w:rsid w:val="646C0A2D"/>
    <w:rsid w:val="646C61AB"/>
    <w:rsid w:val="646F3406"/>
    <w:rsid w:val="6472461E"/>
    <w:rsid w:val="647924D6"/>
    <w:rsid w:val="647A0FCB"/>
    <w:rsid w:val="647A1DAB"/>
    <w:rsid w:val="647B52D2"/>
    <w:rsid w:val="647C5B23"/>
    <w:rsid w:val="64804373"/>
    <w:rsid w:val="64833355"/>
    <w:rsid w:val="64846FE4"/>
    <w:rsid w:val="648572F7"/>
    <w:rsid w:val="64886DCD"/>
    <w:rsid w:val="648A570B"/>
    <w:rsid w:val="648B3FB8"/>
    <w:rsid w:val="648F254C"/>
    <w:rsid w:val="64917820"/>
    <w:rsid w:val="64934565"/>
    <w:rsid w:val="64963088"/>
    <w:rsid w:val="64986E00"/>
    <w:rsid w:val="64A07A63"/>
    <w:rsid w:val="64A219B6"/>
    <w:rsid w:val="64A21A2D"/>
    <w:rsid w:val="64A532CB"/>
    <w:rsid w:val="64A86918"/>
    <w:rsid w:val="64B67287"/>
    <w:rsid w:val="64B82FFF"/>
    <w:rsid w:val="64B90B25"/>
    <w:rsid w:val="64BD5F9C"/>
    <w:rsid w:val="64C056AD"/>
    <w:rsid w:val="64C179D9"/>
    <w:rsid w:val="64C33752"/>
    <w:rsid w:val="64C574CA"/>
    <w:rsid w:val="64C62637"/>
    <w:rsid w:val="64C6560A"/>
    <w:rsid w:val="64C66F2C"/>
    <w:rsid w:val="64CA64FE"/>
    <w:rsid w:val="64CF7DB0"/>
    <w:rsid w:val="64D107CE"/>
    <w:rsid w:val="64D43B23"/>
    <w:rsid w:val="64D70FAB"/>
    <w:rsid w:val="64DF0C36"/>
    <w:rsid w:val="64E02555"/>
    <w:rsid w:val="64EA5182"/>
    <w:rsid w:val="64EA6FB0"/>
    <w:rsid w:val="64EB6BFD"/>
    <w:rsid w:val="64F14763"/>
    <w:rsid w:val="64F41B5D"/>
    <w:rsid w:val="64F733FB"/>
    <w:rsid w:val="64F8151B"/>
    <w:rsid w:val="64F97173"/>
    <w:rsid w:val="64FB738F"/>
    <w:rsid w:val="65000502"/>
    <w:rsid w:val="65051FBC"/>
    <w:rsid w:val="65075D34"/>
    <w:rsid w:val="650D2C1F"/>
    <w:rsid w:val="650E0E71"/>
    <w:rsid w:val="651054A0"/>
    <w:rsid w:val="651346D9"/>
    <w:rsid w:val="6516642D"/>
    <w:rsid w:val="651D0914"/>
    <w:rsid w:val="65240694"/>
    <w:rsid w:val="652E1513"/>
    <w:rsid w:val="65302B41"/>
    <w:rsid w:val="653A7EB8"/>
    <w:rsid w:val="65464F91"/>
    <w:rsid w:val="654A1084"/>
    <w:rsid w:val="654C7BEB"/>
    <w:rsid w:val="655035EA"/>
    <w:rsid w:val="655541D3"/>
    <w:rsid w:val="655645C6"/>
    <w:rsid w:val="65570102"/>
    <w:rsid w:val="655820EC"/>
    <w:rsid w:val="655C1785"/>
    <w:rsid w:val="655D315E"/>
    <w:rsid w:val="656211BC"/>
    <w:rsid w:val="65624A9F"/>
    <w:rsid w:val="65640A91"/>
    <w:rsid w:val="65660835"/>
    <w:rsid w:val="656A1E1F"/>
    <w:rsid w:val="656E7B61"/>
    <w:rsid w:val="65705687"/>
    <w:rsid w:val="65736F26"/>
    <w:rsid w:val="657A6506"/>
    <w:rsid w:val="658453FC"/>
    <w:rsid w:val="65870CF2"/>
    <w:rsid w:val="658D448B"/>
    <w:rsid w:val="65962C14"/>
    <w:rsid w:val="65982D16"/>
    <w:rsid w:val="65991E1D"/>
    <w:rsid w:val="65A215B9"/>
    <w:rsid w:val="65A22AF2"/>
    <w:rsid w:val="65A408EE"/>
    <w:rsid w:val="65B03CD6"/>
    <w:rsid w:val="65B42FA9"/>
    <w:rsid w:val="65B62664"/>
    <w:rsid w:val="65B8082E"/>
    <w:rsid w:val="65BA6903"/>
    <w:rsid w:val="65C14135"/>
    <w:rsid w:val="65C459D3"/>
    <w:rsid w:val="65C634F9"/>
    <w:rsid w:val="65C71020"/>
    <w:rsid w:val="65C77271"/>
    <w:rsid w:val="65CE4827"/>
    <w:rsid w:val="65D403ED"/>
    <w:rsid w:val="65D55E76"/>
    <w:rsid w:val="65E02BC3"/>
    <w:rsid w:val="65E17522"/>
    <w:rsid w:val="65E23CD0"/>
    <w:rsid w:val="65E9368C"/>
    <w:rsid w:val="65EB7404"/>
    <w:rsid w:val="65ED6976"/>
    <w:rsid w:val="65EF653B"/>
    <w:rsid w:val="65F04A1A"/>
    <w:rsid w:val="65F362B8"/>
    <w:rsid w:val="65F55B8D"/>
    <w:rsid w:val="65FB7E12"/>
    <w:rsid w:val="65FC6F1B"/>
    <w:rsid w:val="65FD3DC7"/>
    <w:rsid w:val="66014531"/>
    <w:rsid w:val="66044022"/>
    <w:rsid w:val="6607263B"/>
    <w:rsid w:val="6609788A"/>
    <w:rsid w:val="660B1854"/>
    <w:rsid w:val="660E277B"/>
    <w:rsid w:val="6612287F"/>
    <w:rsid w:val="66171FA7"/>
    <w:rsid w:val="661A55F3"/>
    <w:rsid w:val="661C75BD"/>
    <w:rsid w:val="661E79D5"/>
    <w:rsid w:val="66231A10"/>
    <w:rsid w:val="662A55CA"/>
    <w:rsid w:val="66304E17"/>
    <w:rsid w:val="66342B59"/>
    <w:rsid w:val="66380065"/>
    <w:rsid w:val="66383CCB"/>
    <w:rsid w:val="66465782"/>
    <w:rsid w:val="664663E8"/>
    <w:rsid w:val="664C26C1"/>
    <w:rsid w:val="66521231"/>
    <w:rsid w:val="6659611C"/>
    <w:rsid w:val="665B21B7"/>
    <w:rsid w:val="666038D5"/>
    <w:rsid w:val="666174B2"/>
    <w:rsid w:val="66682803"/>
    <w:rsid w:val="666B5EBC"/>
    <w:rsid w:val="66721954"/>
    <w:rsid w:val="66745EDA"/>
    <w:rsid w:val="6679056C"/>
    <w:rsid w:val="667967BE"/>
    <w:rsid w:val="667E3DD4"/>
    <w:rsid w:val="66862060"/>
    <w:rsid w:val="668A4527"/>
    <w:rsid w:val="668D2269"/>
    <w:rsid w:val="668F4233"/>
    <w:rsid w:val="66990C0E"/>
    <w:rsid w:val="66A13B74"/>
    <w:rsid w:val="66A65723"/>
    <w:rsid w:val="66AC17C6"/>
    <w:rsid w:val="66AE547A"/>
    <w:rsid w:val="66B01FD2"/>
    <w:rsid w:val="66B43C9A"/>
    <w:rsid w:val="66B723AD"/>
    <w:rsid w:val="66BD464D"/>
    <w:rsid w:val="66BE31F6"/>
    <w:rsid w:val="66CA0DC7"/>
    <w:rsid w:val="66D41C46"/>
    <w:rsid w:val="66DB5200"/>
    <w:rsid w:val="66E20156"/>
    <w:rsid w:val="66E46BDA"/>
    <w:rsid w:val="66E71979"/>
    <w:rsid w:val="66EA1469"/>
    <w:rsid w:val="66EC51E2"/>
    <w:rsid w:val="66EF4CD2"/>
    <w:rsid w:val="66F127F8"/>
    <w:rsid w:val="66F83B86"/>
    <w:rsid w:val="66FD119D"/>
    <w:rsid w:val="670354A0"/>
    <w:rsid w:val="67037470"/>
    <w:rsid w:val="670A6088"/>
    <w:rsid w:val="670F43D6"/>
    <w:rsid w:val="67144738"/>
    <w:rsid w:val="671E7365"/>
    <w:rsid w:val="67220C03"/>
    <w:rsid w:val="67287703"/>
    <w:rsid w:val="672F1572"/>
    <w:rsid w:val="672F50CE"/>
    <w:rsid w:val="6732696D"/>
    <w:rsid w:val="6733682D"/>
    <w:rsid w:val="673426E5"/>
    <w:rsid w:val="67417F69"/>
    <w:rsid w:val="67425B27"/>
    <w:rsid w:val="67430B7A"/>
    <w:rsid w:val="6747066A"/>
    <w:rsid w:val="674A015A"/>
    <w:rsid w:val="6752056C"/>
    <w:rsid w:val="67530DBD"/>
    <w:rsid w:val="675A1D3C"/>
    <w:rsid w:val="675B4A50"/>
    <w:rsid w:val="67627252"/>
    <w:rsid w:val="676905E0"/>
    <w:rsid w:val="676A25AA"/>
    <w:rsid w:val="676C6322"/>
    <w:rsid w:val="676F196F"/>
    <w:rsid w:val="67713939"/>
    <w:rsid w:val="67792805"/>
    <w:rsid w:val="677F4A8A"/>
    <w:rsid w:val="678216A2"/>
    <w:rsid w:val="67851192"/>
    <w:rsid w:val="67851845"/>
    <w:rsid w:val="678673E4"/>
    <w:rsid w:val="67874F0A"/>
    <w:rsid w:val="67890C82"/>
    <w:rsid w:val="678F3DBF"/>
    <w:rsid w:val="67927613"/>
    <w:rsid w:val="67987032"/>
    <w:rsid w:val="679F7D50"/>
    <w:rsid w:val="67A21E03"/>
    <w:rsid w:val="67A91325"/>
    <w:rsid w:val="67A9668D"/>
    <w:rsid w:val="67AB0BF9"/>
    <w:rsid w:val="67AE70BA"/>
    <w:rsid w:val="67B0202C"/>
    <w:rsid w:val="67BF0C3C"/>
    <w:rsid w:val="67C717AB"/>
    <w:rsid w:val="67C865E5"/>
    <w:rsid w:val="67D30150"/>
    <w:rsid w:val="67DD4B2A"/>
    <w:rsid w:val="67E10ABE"/>
    <w:rsid w:val="67E65EFF"/>
    <w:rsid w:val="67E81E4D"/>
    <w:rsid w:val="67E92738"/>
    <w:rsid w:val="67F02AB0"/>
    <w:rsid w:val="67F247B9"/>
    <w:rsid w:val="67FB6A25"/>
    <w:rsid w:val="67FD6F7B"/>
    <w:rsid w:val="68040309"/>
    <w:rsid w:val="68093B71"/>
    <w:rsid w:val="680E674E"/>
    <w:rsid w:val="68162747"/>
    <w:rsid w:val="68183DB4"/>
    <w:rsid w:val="681A18DB"/>
    <w:rsid w:val="681D761D"/>
    <w:rsid w:val="6826679A"/>
    <w:rsid w:val="682A202E"/>
    <w:rsid w:val="682B6C4D"/>
    <w:rsid w:val="682C6C31"/>
    <w:rsid w:val="68324E76"/>
    <w:rsid w:val="683506E4"/>
    <w:rsid w:val="683706DE"/>
    <w:rsid w:val="683835EF"/>
    <w:rsid w:val="68386205"/>
    <w:rsid w:val="683C5CF5"/>
    <w:rsid w:val="683E7CBF"/>
    <w:rsid w:val="683F3A37"/>
    <w:rsid w:val="68435CC2"/>
    <w:rsid w:val="68444BA9"/>
    <w:rsid w:val="684B23DC"/>
    <w:rsid w:val="684F1A4F"/>
    <w:rsid w:val="685079F2"/>
    <w:rsid w:val="685D1040"/>
    <w:rsid w:val="685E1CC0"/>
    <w:rsid w:val="685E4E97"/>
    <w:rsid w:val="685E5C6B"/>
    <w:rsid w:val="686139AD"/>
    <w:rsid w:val="68644C06"/>
    <w:rsid w:val="68660FC4"/>
    <w:rsid w:val="68686995"/>
    <w:rsid w:val="686949DE"/>
    <w:rsid w:val="68696DD6"/>
    <w:rsid w:val="686B0388"/>
    <w:rsid w:val="686F20F2"/>
    <w:rsid w:val="6870599E"/>
    <w:rsid w:val="687877D2"/>
    <w:rsid w:val="68810A67"/>
    <w:rsid w:val="68866F70"/>
    <w:rsid w:val="68897121"/>
    <w:rsid w:val="688A5ACA"/>
    <w:rsid w:val="6892275A"/>
    <w:rsid w:val="68953657"/>
    <w:rsid w:val="68983EF2"/>
    <w:rsid w:val="689B26A2"/>
    <w:rsid w:val="68A815DC"/>
    <w:rsid w:val="68AB69D7"/>
    <w:rsid w:val="68AE50B4"/>
    <w:rsid w:val="68B63CF9"/>
    <w:rsid w:val="68B72045"/>
    <w:rsid w:val="68BF2482"/>
    <w:rsid w:val="68C1269E"/>
    <w:rsid w:val="68C301C4"/>
    <w:rsid w:val="68CB194B"/>
    <w:rsid w:val="68CB7079"/>
    <w:rsid w:val="68D0643D"/>
    <w:rsid w:val="68D777CC"/>
    <w:rsid w:val="68D91796"/>
    <w:rsid w:val="68DC5DC1"/>
    <w:rsid w:val="68DD74D8"/>
    <w:rsid w:val="68E1064A"/>
    <w:rsid w:val="68E479C7"/>
    <w:rsid w:val="68E72104"/>
    <w:rsid w:val="68EA39A3"/>
    <w:rsid w:val="68EA74FF"/>
    <w:rsid w:val="68EB13E7"/>
    <w:rsid w:val="68EC117F"/>
    <w:rsid w:val="68EF0FB9"/>
    <w:rsid w:val="68FB5BB0"/>
    <w:rsid w:val="68FE2FAA"/>
    <w:rsid w:val="69026F3E"/>
    <w:rsid w:val="69034A64"/>
    <w:rsid w:val="690A194F"/>
    <w:rsid w:val="690B56C7"/>
    <w:rsid w:val="69117181"/>
    <w:rsid w:val="691722BE"/>
    <w:rsid w:val="69186615"/>
    <w:rsid w:val="691C052C"/>
    <w:rsid w:val="691D5B26"/>
    <w:rsid w:val="691E1EBC"/>
    <w:rsid w:val="69216C99"/>
    <w:rsid w:val="69271B0F"/>
    <w:rsid w:val="69276888"/>
    <w:rsid w:val="692F13B6"/>
    <w:rsid w:val="69315FD6"/>
    <w:rsid w:val="69325612"/>
    <w:rsid w:val="69342E70"/>
    <w:rsid w:val="693473BC"/>
    <w:rsid w:val="69371FC5"/>
    <w:rsid w:val="6939290B"/>
    <w:rsid w:val="693C217D"/>
    <w:rsid w:val="694035C3"/>
    <w:rsid w:val="694D5CE0"/>
    <w:rsid w:val="694E0E39"/>
    <w:rsid w:val="694E7A93"/>
    <w:rsid w:val="69513A22"/>
    <w:rsid w:val="695254F8"/>
    <w:rsid w:val="695928D6"/>
    <w:rsid w:val="69594684"/>
    <w:rsid w:val="695B21AB"/>
    <w:rsid w:val="695E52C5"/>
    <w:rsid w:val="69666FCA"/>
    <w:rsid w:val="696C43B8"/>
    <w:rsid w:val="696D6B2C"/>
    <w:rsid w:val="696F3EA8"/>
    <w:rsid w:val="697376B9"/>
    <w:rsid w:val="69782D5D"/>
    <w:rsid w:val="697847CF"/>
    <w:rsid w:val="697D65C5"/>
    <w:rsid w:val="6996299A"/>
    <w:rsid w:val="699658D9"/>
    <w:rsid w:val="69990F25"/>
    <w:rsid w:val="699D2A07"/>
    <w:rsid w:val="699F478D"/>
    <w:rsid w:val="69A73642"/>
    <w:rsid w:val="69A753F0"/>
    <w:rsid w:val="69B0162E"/>
    <w:rsid w:val="69B30239"/>
    <w:rsid w:val="69BF098B"/>
    <w:rsid w:val="69C641B4"/>
    <w:rsid w:val="69C93DF2"/>
    <w:rsid w:val="69D06E00"/>
    <w:rsid w:val="69D41F5D"/>
    <w:rsid w:val="69D62B08"/>
    <w:rsid w:val="69D87C9F"/>
    <w:rsid w:val="69D97BBF"/>
    <w:rsid w:val="69E14DA6"/>
    <w:rsid w:val="69E55F18"/>
    <w:rsid w:val="69EA60B1"/>
    <w:rsid w:val="69EF3146"/>
    <w:rsid w:val="69F018BB"/>
    <w:rsid w:val="69F543AD"/>
    <w:rsid w:val="69F76497"/>
    <w:rsid w:val="69F85C4B"/>
    <w:rsid w:val="69FA19C4"/>
    <w:rsid w:val="69FD2933"/>
    <w:rsid w:val="6A0B1E23"/>
    <w:rsid w:val="6A0B3BD1"/>
    <w:rsid w:val="6A16113C"/>
    <w:rsid w:val="6A191A2E"/>
    <w:rsid w:val="6A1C62D7"/>
    <w:rsid w:val="6A201502"/>
    <w:rsid w:val="6A242EE4"/>
    <w:rsid w:val="6A2904FB"/>
    <w:rsid w:val="6A2B4273"/>
    <w:rsid w:val="6A2F4E14"/>
    <w:rsid w:val="6A3A44B6"/>
    <w:rsid w:val="6A3C1FDC"/>
    <w:rsid w:val="6A3C6480"/>
    <w:rsid w:val="6A3E27E5"/>
    <w:rsid w:val="6A413A96"/>
    <w:rsid w:val="6A4C5F97"/>
    <w:rsid w:val="6A515AEE"/>
    <w:rsid w:val="6A5327E6"/>
    <w:rsid w:val="6A5437CA"/>
    <w:rsid w:val="6A590DCF"/>
    <w:rsid w:val="6A5D3E57"/>
    <w:rsid w:val="6A607681"/>
    <w:rsid w:val="6A641533"/>
    <w:rsid w:val="6A6908F7"/>
    <w:rsid w:val="6A6B0B13"/>
    <w:rsid w:val="6A6C5C06"/>
    <w:rsid w:val="6A700F52"/>
    <w:rsid w:val="6A753740"/>
    <w:rsid w:val="6A7C0A7A"/>
    <w:rsid w:val="6A7C687C"/>
    <w:rsid w:val="6A85409E"/>
    <w:rsid w:val="6A8826E0"/>
    <w:rsid w:val="6A9040D6"/>
    <w:rsid w:val="6A975637"/>
    <w:rsid w:val="6A9E2C97"/>
    <w:rsid w:val="6AB241FC"/>
    <w:rsid w:val="6ABF6769"/>
    <w:rsid w:val="6AC04648"/>
    <w:rsid w:val="6AC10733"/>
    <w:rsid w:val="6AC2451C"/>
    <w:rsid w:val="6AC36259"/>
    <w:rsid w:val="6AC70912"/>
    <w:rsid w:val="6AC975E8"/>
    <w:rsid w:val="6AD00976"/>
    <w:rsid w:val="6AD77F57"/>
    <w:rsid w:val="6ADD7A5C"/>
    <w:rsid w:val="6AE12B83"/>
    <w:rsid w:val="6AE72B09"/>
    <w:rsid w:val="6AE73DF3"/>
    <w:rsid w:val="6AE948CD"/>
    <w:rsid w:val="6AEA5F47"/>
    <w:rsid w:val="6AED1528"/>
    <w:rsid w:val="6AF02DC7"/>
    <w:rsid w:val="6AF37276"/>
    <w:rsid w:val="6AF418AC"/>
    <w:rsid w:val="6AFA1C8E"/>
    <w:rsid w:val="6B0B7C00"/>
    <w:rsid w:val="6B1116BB"/>
    <w:rsid w:val="6B155D99"/>
    <w:rsid w:val="6B170353"/>
    <w:rsid w:val="6B172868"/>
    <w:rsid w:val="6B19056F"/>
    <w:rsid w:val="6B1D005F"/>
    <w:rsid w:val="6B1E5B86"/>
    <w:rsid w:val="6B1F5B1C"/>
    <w:rsid w:val="6B2009D5"/>
    <w:rsid w:val="6B2013E0"/>
    <w:rsid w:val="6B20651A"/>
    <w:rsid w:val="6B22492A"/>
    <w:rsid w:val="6B2F7485"/>
    <w:rsid w:val="6B3030C4"/>
    <w:rsid w:val="6B32518D"/>
    <w:rsid w:val="6B334BE4"/>
    <w:rsid w:val="6B3B0AB6"/>
    <w:rsid w:val="6B4078AA"/>
    <w:rsid w:val="6B427AC6"/>
    <w:rsid w:val="6B4355EC"/>
    <w:rsid w:val="6B476E8A"/>
    <w:rsid w:val="6B494DFA"/>
    <w:rsid w:val="6B4C26F3"/>
    <w:rsid w:val="6B517D09"/>
    <w:rsid w:val="6B523251"/>
    <w:rsid w:val="6B5967AC"/>
    <w:rsid w:val="6B5D6198"/>
    <w:rsid w:val="6B600FDC"/>
    <w:rsid w:val="6B623CC4"/>
    <w:rsid w:val="6B655258"/>
    <w:rsid w:val="6B657311"/>
    <w:rsid w:val="6B680BAF"/>
    <w:rsid w:val="6B6928BE"/>
    <w:rsid w:val="6B6B77A0"/>
    <w:rsid w:val="6B6C16CA"/>
    <w:rsid w:val="6B6C4B43"/>
    <w:rsid w:val="6B6F5ADF"/>
    <w:rsid w:val="6B6F63E1"/>
    <w:rsid w:val="6B730C63"/>
    <w:rsid w:val="6B7834E8"/>
    <w:rsid w:val="6B814073"/>
    <w:rsid w:val="6B8C0D41"/>
    <w:rsid w:val="6B8D6867"/>
    <w:rsid w:val="6B8F0831"/>
    <w:rsid w:val="6B981494"/>
    <w:rsid w:val="6B9A16B0"/>
    <w:rsid w:val="6BA02A3F"/>
    <w:rsid w:val="6BA22313"/>
    <w:rsid w:val="6BA269BF"/>
    <w:rsid w:val="6BA611CB"/>
    <w:rsid w:val="6BA9155A"/>
    <w:rsid w:val="6BAC13E3"/>
    <w:rsid w:val="6BAC4F3F"/>
    <w:rsid w:val="6BAC6D20"/>
    <w:rsid w:val="6BB64010"/>
    <w:rsid w:val="6BBB1626"/>
    <w:rsid w:val="6BBE4C73"/>
    <w:rsid w:val="6BC26511"/>
    <w:rsid w:val="6BC77FCB"/>
    <w:rsid w:val="6BD27735"/>
    <w:rsid w:val="6BD56BF1"/>
    <w:rsid w:val="6BD56F29"/>
    <w:rsid w:val="6BDA5F51"/>
    <w:rsid w:val="6BDA7C51"/>
    <w:rsid w:val="6BDB3A77"/>
    <w:rsid w:val="6BE4292B"/>
    <w:rsid w:val="6BE6095C"/>
    <w:rsid w:val="6BEA3872"/>
    <w:rsid w:val="6BEA5A68"/>
    <w:rsid w:val="6BEE37AA"/>
    <w:rsid w:val="6BEE7306"/>
    <w:rsid w:val="6BF15048"/>
    <w:rsid w:val="6BF16DF6"/>
    <w:rsid w:val="6BF608B1"/>
    <w:rsid w:val="6BF95CAB"/>
    <w:rsid w:val="6BFA214F"/>
    <w:rsid w:val="6BFA54E5"/>
    <w:rsid w:val="6BFD39ED"/>
    <w:rsid w:val="6C0064E7"/>
    <w:rsid w:val="6C021003"/>
    <w:rsid w:val="6C03237D"/>
    <w:rsid w:val="6C0410E3"/>
    <w:rsid w:val="6C0C492A"/>
    <w:rsid w:val="6C0E1756"/>
    <w:rsid w:val="6C11151B"/>
    <w:rsid w:val="6C180827"/>
    <w:rsid w:val="6C1955F8"/>
    <w:rsid w:val="6C1A3F19"/>
    <w:rsid w:val="6C1A4A1F"/>
    <w:rsid w:val="6C1D5E3D"/>
    <w:rsid w:val="6C1E7C64"/>
    <w:rsid w:val="6C262F44"/>
    <w:rsid w:val="6C292B10"/>
    <w:rsid w:val="6C2F1A1A"/>
    <w:rsid w:val="6C332ADB"/>
    <w:rsid w:val="6C3F19FF"/>
    <w:rsid w:val="6C447855"/>
    <w:rsid w:val="6C472EBA"/>
    <w:rsid w:val="6C4A656B"/>
    <w:rsid w:val="6C4D6722"/>
    <w:rsid w:val="6C4E5FF7"/>
    <w:rsid w:val="6C525F98"/>
    <w:rsid w:val="6C53360D"/>
    <w:rsid w:val="6C557385"/>
    <w:rsid w:val="6C5775A1"/>
    <w:rsid w:val="6C580C23"/>
    <w:rsid w:val="6C5D448C"/>
    <w:rsid w:val="6C621AA2"/>
    <w:rsid w:val="6C691739"/>
    <w:rsid w:val="6C6B4DFB"/>
    <w:rsid w:val="6C710383"/>
    <w:rsid w:val="6C731F01"/>
    <w:rsid w:val="6C733CAF"/>
    <w:rsid w:val="6C786B47"/>
    <w:rsid w:val="6C787517"/>
    <w:rsid w:val="6C7F2654"/>
    <w:rsid w:val="6C807911"/>
    <w:rsid w:val="6C82007D"/>
    <w:rsid w:val="6C8222E0"/>
    <w:rsid w:val="6C836E74"/>
    <w:rsid w:val="6C8639E2"/>
    <w:rsid w:val="6C865EB7"/>
    <w:rsid w:val="6C8859AD"/>
    <w:rsid w:val="6C8D4DDC"/>
    <w:rsid w:val="6C8F4E7C"/>
    <w:rsid w:val="6C961BE6"/>
    <w:rsid w:val="6C983716"/>
    <w:rsid w:val="6CA0355A"/>
    <w:rsid w:val="6CA125CA"/>
    <w:rsid w:val="6CA420BB"/>
    <w:rsid w:val="6CA65E33"/>
    <w:rsid w:val="6CAB51F7"/>
    <w:rsid w:val="6CAD18A5"/>
    <w:rsid w:val="6CAE6A95"/>
    <w:rsid w:val="6CB322FE"/>
    <w:rsid w:val="6CB5270C"/>
    <w:rsid w:val="6CC03C2E"/>
    <w:rsid w:val="6CC22541"/>
    <w:rsid w:val="6CC43114"/>
    <w:rsid w:val="6CC70C09"/>
    <w:rsid w:val="6CC7605E"/>
    <w:rsid w:val="6CC94A75"/>
    <w:rsid w:val="6CCB3AEB"/>
    <w:rsid w:val="6CD27268"/>
    <w:rsid w:val="6CDC30D7"/>
    <w:rsid w:val="6CDC3602"/>
    <w:rsid w:val="6CE150BD"/>
    <w:rsid w:val="6CE75D4B"/>
    <w:rsid w:val="6CE81FA7"/>
    <w:rsid w:val="6CEA21C3"/>
    <w:rsid w:val="6CF05300"/>
    <w:rsid w:val="6CF43042"/>
    <w:rsid w:val="6CF51963"/>
    <w:rsid w:val="6CFF5543"/>
    <w:rsid w:val="6D0B213A"/>
    <w:rsid w:val="6D1159A2"/>
    <w:rsid w:val="6D13444A"/>
    <w:rsid w:val="6D194857"/>
    <w:rsid w:val="6D1B05CF"/>
    <w:rsid w:val="6D1C60F5"/>
    <w:rsid w:val="6D1E3C1B"/>
    <w:rsid w:val="6D1F7364"/>
    <w:rsid w:val="6D2275B8"/>
    <w:rsid w:val="6D341690"/>
    <w:rsid w:val="6D371181"/>
    <w:rsid w:val="6D372F2F"/>
    <w:rsid w:val="6D3759F6"/>
    <w:rsid w:val="6D39070C"/>
    <w:rsid w:val="6D3A09A3"/>
    <w:rsid w:val="6D3A0D23"/>
    <w:rsid w:val="6D3B1BF1"/>
    <w:rsid w:val="6D3E250F"/>
    <w:rsid w:val="6D3E42BD"/>
    <w:rsid w:val="6D495A20"/>
    <w:rsid w:val="6D5B5A8D"/>
    <w:rsid w:val="6D65184A"/>
    <w:rsid w:val="6D667370"/>
    <w:rsid w:val="6D6827AD"/>
    <w:rsid w:val="6D6830E8"/>
    <w:rsid w:val="6D6D06FE"/>
    <w:rsid w:val="6D702779"/>
    <w:rsid w:val="6D7A28C3"/>
    <w:rsid w:val="6D7D3037"/>
    <w:rsid w:val="6D7E0B5E"/>
    <w:rsid w:val="6D7F348E"/>
    <w:rsid w:val="6D800432"/>
    <w:rsid w:val="6D835905"/>
    <w:rsid w:val="6D850463"/>
    <w:rsid w:val="6D885538"/>
    <w:rsid w:val="6D890755"/>
    <w:rsid w:val="6D8A12B0"/>
    <w:rsid w:val="6D940FC9"/>
    <w:rsid w:val="6D9640F9"/>
    <w:rsid w:val="6D9D1563"/>
    <w:rsid w:val="6D9D1B1F"/>
    <w:rsid w:val="6DA43B58"/>
    <w:rsid w:val="6DA5433C"/>
    <w:rsid w:val="6DA55AC5"/>
    <w:rsid w:val="6DA926D7"/>
    <w:rsid w:val="6DAB696C"/>
    <w:rsid w:val="6DB4632D"/>
    <w:rsid w:val="6DB55284"/>
    <w:rsid w:val="6DB7119F"/>
    <w:rsid w:val="6DC20A4A"/>
    <w:rsid w:val="6DC823A9"/>
    <w:rsid w:val="6DD01779"/>
    <w:rsid w:val="6DD10C8D"/>
    <w:rsid w:val="6DD13295"/>
    <w:rsid w:val="6DD16EDF"/>
    <w:rsid w:val="6DD24A05"/>
    <w:rsid w:val="6DD4077E"/>
    <w:rsid w:val="6DDA57ED"/>
    <w:rsid w:val="6DE07298"/>
    <w:rsid w:val="6DE427C7"/>
    <w:rsid w:val="6DE614C8"/>
    <w:rsid w:val="6DE9247B"/>
    <w:rsid w:val="6DE94229"/>
    <w:rsid w:val="6DEF229A"/>
    <w:rsid w:val="6DF371CA"/>
    <w:rsid w:val="6DF8446C"/>
    <w:rsid w:val="6DFA6436"/>
    <w:rsid w:val="6DFC1C5C"/>
    <w:rsid w:val="6DFD1A82"/>
    <w:rsid w:val="6DFF3A4C"/>
    <w:rsid w:val="6E0A419F"/>
    <w:rsid w:val="6E0B508E"/>
    <w:rsid w:val="6E0C7F17"/>
    <w:rsid w:val="6E146DCC"/>
    <w:rsid w:val="6E154CFE"/>
    <w:rsid w:val="6E184B0E"/>
    <w:rsid w:val="6E1A6AD8"/>
    <w:rsid w:val="6E1B015A"/>
    <w:rsid w:val="6E1E6375"/>
    <w:rsid w:val="6E1F5E9D"/>
    <w:rsid w:val="6E290AC9"/>
    <w:rsid w:val="6E2D2412"/>
    <w:rsid w:val="6E2F3C06"/>
    <w:rsid w:val="6E331948"/>
    <w:rsid w:val="6E3359E3"/>
    <w:rsid w:val="6E3E652E"/>
    <w:rsid w:val="6E3F209B"/>
    <w:rsid w:val="6E3F78DE"/>
    <w:rsid w:val="6E492F1A"/>
    <w:rsid w:val="6E4C2A0A"/>
    <w:rsid w:val="6E53120E"/>
    <w:rsid w:val="6E557AD3"/>
    <w:rsid w:val="6E557B10"/>
    <w:rsid w:val="6E5721B7"/>
    <w:rsid w:val="6E591C08"/>
    <w:rsid w:val="6E5F098F"/>
    <w:rsid w:val="6E623FDB"/>
    <w:rsid w:val="6E630C02"/>
    <w:rsid w:val="6E6575AA"/>
    <w:rsid w:val="6E6653AE"/>
    <w:rsid w:val="6E6B682D"/>
    <w:rsid w:val="6E741FF4"/>
    <w:rsid w:val="6E88098B"/>
    <w:rsid w:val="6E881C94"/>
    <w:rsid w:val="6E8977BA"/>
    <w:rsid w:val="6E962380"/>
    <w:rsid w:val="6E985C4F"/>
    <w:rsid w:val="6E9C44E9"/>
    <w:rsid w:val="6E9D3265"/>
    <w:rsid w:val="6E9E10FE"/>
    <w:rsid w:val="6EA0466A"/>
    <w:rsid w:val="6EA463A2"/>
    <w:rsid w:val="6EAE7221"/>
    <w:rsid w:val="6EBC193D"/>
    <w:rsid w:val="6EBF1B01"/>
    <w:rsid w:val="6EC151A6"/>
    <w:rsid w:val="6EC16F54"/>
    <w:rsid w:val="6EC32CCC"/>
    <w:rsid w:val="6ECB392F"/>
    <w:rsid w:val="6ECF78C3"/>
    <w:rsid w:val="6ED32A1E"/>
    <w:rsid w:val="6ED36C87"/>
    <w:rsid w:val="6ED6350D"/>
    <w:rsid w:val="6ED8429D"/>
    <w:rsid w:val="6ED8604B"/>
    <w:rsid w:val="6EDC7CA0"/>
    <w:rsid w:val="6EDD62F9"/>
    <w:rsid w:val="6EDE4031"/>
    <w:rsid w:val="6EDE7B06"/>
    <w:rsid w:val="6EDF6561"/>
    <w:rsid w:val="6EE426DE"/>
    <w:rsid w:val="6EEB5D7F"/>
    <w:rsid w:val="6EEF72F4"/>
    <w:rsid w:val="6EF54E4F"/>
    <w:rsid w:val="6EF6290A"/>
    <w:rsid w:val="6EF92C43"/>
    <w:rsid w:val="6F0137F4"/>
    <w:rsid w:val="6F062BB9"/>
    <w:rsid w:val="6F0D2425"/>
    <w:rsid w:val="6F1546B3"/>
    <w:rsid w:val="6F176B74"/>
    <w:rsid w:val="6F190B3E"/>
    <w:rsid w:val="6F1C062E"/>
    <w:rsid w:val="6F1C418A"/>
    <w:rsid w:val="6F1E36A7"/>
    <w:rsid w:val="6F1F595A"/>
    <w:rsid w:val="6F201BBB"/>
    <w:rsid w:val="6F255735"/>
    <w:rsid w:val="6F2614AD"/>
    <w:rsid w:val="6F2D45E9"/>
    <w:rsid w:val="6F321C00"/>
    <w:rsid w:val="6F413BF1"/>
    <w:rsid w:val="6F4464E2"/>
    <w:rsid w:val="6F4D4C8B"/>
    <w:rsid w:val="6F55457A"/>
    <w:rsid w:val="6F574AD6"/>
    <w:rsid w:val="6F616041"/>
    <w:rsid w:val="6F63000B"/>
    <w:rsid w:val="6F631DB9"/>
    <w:rsid w:val="6F652E0C"/>
    <w:rsid w:val="6F6D49E6"/>
    <w:rsid w:val="6F712728"/>
    <w:rsid w:val="6F7510C8"/>
    <w:rsid w:val="6F765F90"/>
    <w:rsid w:val="6F771D08"/>
    <w:rsid w:val="6F773AB6"/>
    <w:rsid w:val="6F8373FF"/>
    <w:rsid w:val="6F867438"/>
    <w:rsid w:val="6F881820"/>
    <w:rsid w:val="6F915632"/>
    <w:rsid w:val="6F927942"/>
    <w:rsid w:val="6F96218E"/>
    <w:rsid w:val="6F9B77A5"/>
    <w:rsid w:val="6F9E0235"/>
    <w:rsid w:val="6F9E7295"/>
    <w:rsid w:val="6FA83C70"/>
    <w:rsid w:val="6FAE6BDC"/>
    <w:rsid w:val="6FAF4FFE"/>
    <w:rsid w:val="6FC34F4E"/>
    <w:rsid w:val="6FCB1103"/>
    <w:rsid w:val="6FCF10E7"/>
    <w:rsid w:val="6FD106BC"/>
    <w:rsid w:val="6FD40F09"/>
    <w:rsid w:val="6FDB15B2"/>
    <w:rsid w:val="6FE075B7"/>
    <w:rsid w:val="6FE27182"/>
    <w:rsid w:val="6FEC1DAE"/>
    <w:rsid w:val="700748A4"/>
    <w:rsid w:val="7009271D"/>
    <w:rsid w:val="700B31AF"/>
    <w:rsid w:val="7010605B"/>
    <w:rsid w:val="70131AC0"/>
    <w:rsid w:val="70135158"/>
    <w:rsid w:val="70160EB2"/>
    <w:rsid w:val="70194B6E"/>
    <w:rsid w:val="701F03D6"/>
    <w:rsid w:val="70233F5F"/>
    <w:rsid w:val="7023779A"/>
    <w:rsid w:val="702918E6"/>
    <w:rsid w:val="702A28D7"/>
    <w:rsid w:val="702F613F"/>
    <w:rsid w:val="703244E4"/>
    <w:rsid w:val="7036127C"/>
    <w:rsid w:val="70390D6C"/>
    <w:rsid w:val="703A5210"/>
    <w:rsid w:val="703B1235"/>
    <w:rsid w:val="703D6AAE"/>
    <w:rsid w:val="703E6382"/>
    <w:rsid w:val="703F6277"/>
    <w:rsid w:val="703F6C6B"/>
    <w:rsid w:val="704571E9"/>
    <w:rsid w:val="704716DB"/>
    <w:rsid w:val="70497201"/>
    <w:rsid w:val="70512559"/>
    <w:rsid w:val="7053007F"/>
    <w:rsid w:val="70531E2E"/>
    <w:rsid w:val="70536BCF"/>
    <w:rsid w:val="70602BE0"/>
    <w:rsid w:val="7064403B"/>
    <w:rsid w:val="7065329B"/>
    <w:rsid w:val="70684336"/>
    <w:rsid w:val="706F4825"/>
    <w:rsid w:val="70715003"/>
    <w:rsid w:val="70756248"/>
    <w:rsid w:val="707A5CFA"/>
    <w:rsid w:val="707B01E0"/>
    <w:rsid w:val="70861E6D"/>
    <w:rsid w:val="708A15C7"/>
    <w:rsid w:val="708B3C5F"/>
    <w:rsid w:val="708B5A6B"/>
    <w:rsid w:val="709108C7"/>
    <w:rsid w:val="70974410"/>
    <w:rsid w:val="70A22DB5"/>
    <w:rsid w:val="70A531A6"/>
    <w:rsid w:val="70AB1C6A"/>
    <w:rsid w:val="70B0102E"/>
    <w:rsid w:val="70B30B1E"/>
    <w:rsid w:val="70B76860"/>
    <w:rsid w:val="70C00BBE"/>
    <w:rsid w:val="70CB230C"/>
    <w:rsid w:val="70CC3C5E"/>
    <w:rsid w:val="70D15A3C"/>
    <w:rsid w:val="70D32F6E"/>
    <w:rsid w:val="70D40A8E"/>
    <w:rsid w:val="70D618A9"/>
    <w:rsid w:val="70D72A5F"/>
    <w:rsid w:val="70DA42FD"/>
    <w:rsid w:val="70DC1E23"/>
    <w:rsid w:val="70DC2461"/>
    <w:rsid w:val="70DD5B9B"/>
    <w:rsid w:val="70DF7B65"/>
    <w:rsid w:val="70E67678"/>
    <w:rsid w:val="70E76A1A"/>
    <w:rsid w:val="70EC5DDE"/>
    <w:rsid w:val="70F02CAB"/>
    <w:rsid w:val="70F133F4"/>
    <w:rsid w:val="70F52EE5"/>
    <w:rsid w:val="70FF1FB5"/>
    <w:rsid w:val="71015D2D"/>
    <w:rsid w:val="710366D8"/>
    <w:rsid w:val="71072C18"/>
    <w:rsid w:val="7109159C"/>
    <w:rsid w:val="710C62D3"/>
    <w:rsid w:val="710E3FA6"/>
    <w:rsid w:val="710F1712"/>
    <w:rsid w:val="71114DEE"/>
    <w:rsid w:val="711315BD"/>
    <w:rsid w:val="711628B9"/>
    <w:rsid w:val="711A5783"/>
    <w:rsid w:val="711F7E01"/>
    <w:rsid w:val="712012BF"/>
    <w:rsid w:val="7124352B"/>
    <w:rsid w:val="71250EF9"/>
    <w:rsid w:val="71381023"/>
    <w:rsid w:val="713C4FB8"/>
    <w:rsid w:val="713F23B2"/>
    <w:rsid w:val="7141612A"/>
    <w:rsid w:val="71484724"/>
    <w:rsid w:val="714E1068"/>
    <w:rsid w:val="71557E27"/>
    <w:rsid w:val="715F2A54"/>
    <w:rsid w:val="71614A1E"/>
    <w:rsid w:val="716419ED"/>
    <w:rsid w:val="71641E18"/>
    <w:rsid w:val="71644395"/>
    <w:rsid w:val="71681422"/>
    <w:rsid w:val="71720205"/>
    <w:rsid w:val="71761EC2"/>
    <w:rsid w:val="71775D29"/>
    <w:rsid w:val="7178324F"/>
    <w:rsid w:val="717A67EB"/>
    <w:rsid w:val="717B788E"/>
    <w:rsid w:val="71834994"/>
    <w:rsid w:val="718A7AD1"/>
    <w:rsid w:val="718B59BB"/>
    <w:rsid w:val="71926986"/>
    <w:rsid w:val="719721EE"/>
    <w:rsid w:val="71976272"/>
    <w:rsid w:val="71981B57"/>
    <w:rsid w:val="71997D14"/>
    <w:rsid w:val="71A010A2"/>
    <w:rsid w:val="71A62431"/>
    <w:rsid w:val="71AA0173"/>
    <w:rsid w:val="71AB7A47"/>
    <w:rsid w:val="71AD1A11"/>
    <w:rsid w:val="71AD37BF"/>
    <w:rsid w:val="71AF59EA"/>
    <w:rsid w:val="71B122B9"/>
    <w:rsid w:val="71B20DD6"/>
    <w:rsid w:val="71B33452"/>
    <w:rsid w:val="71B7463E"/>
    <w:rsid w:val="71B753F2"/>
    <w:rsid w:val="71BE59CD"/>
    <w:rsid w:val="71C50B09"/>
    <w:rsid w:val="71C942A3"/>
    <w:rsid w:val="71D15700"/>
    <w:rsid w:val="71D21478"/>
    <w:rsid w:val="71D40D4C"/>
    <w:rsid w:val="71D46F9E"/>
    <w:rsid w:val="71DB032D"/>
    <w:rsid w:val="71DE3B66"/>
    <w:rsid w:val="71DE606F"/>
    <w:rsid w:val="71E2784B"/>
    <w:rsid w:val="71E2790D"/>
    <w:rsid w:val="71E43390"/>
    <w:rsid w:val="71E80C9B"/>
    <w:rsid w:val="71EF5B94"/>
    <w:rsid w:val="71F36BF6"/>
    <w:rsid w:val="71FB7DBF"/>
    <w:rsid w:val="71FC6B80"/>
    <w:rsid w:val="72082CF4"/>
    <w:rsid w:val="72111CC3"/>
    <w:rsid w:val="721404A2"/>
    <w:rsid w:val="7223253F"/>
    <w:rsid w:val="72253408"/>
    <w:rsid w:val="72281098"/>
    <w:rsid w:val="7229553C"/>
    <w:rsid w:val="722A11C0"/>
    <w:rsid w:val="722A4F91"/>
    <w:rsid w:val="72325538"/>
    <w:rsid w:val="72347A3D"/>
    <w:rsid w:val="723932A5"/>
    <w:rsid w:val="724952F6"/>
    <w:rsid w:val="724A0105"/>
    <w:rsid w:val="724B4AA6"/>
    <w:rsid w:val="724C122A"/>
    <w:rsid w:val="72582302"/>
    <w:rsid w:val="725C448A"/>
    <w:rsid w:val="72655E48"/>
    <w:rsid w:val="72671BC0"/>
    <w:rsid w:val="726C5429"/>
    <w:rsid w:val="7271123C"/>
    <w:rsid w:val="72722903"/>
    <w:rsid w:val="7279044F"/>
    <w:rsid w:val="727F515C"/>
    <w:rsid w:val="72816372"/>
    <w:rsid w:val="7286172D"/>
    <w:rsid w:val="728E35F1"/>
    <w:rsid w:val="72956E76"/>
    <w:rsid w:val="72966949"/>
    <w:rsid w:val="729B2F9D"/>
    <w:rsid w:val="729F7C00"/>
    <w:rsid w:val="72A244C2"/>
    <w:rsid w:val="72AB5F51"/>
    <w:rsid w:val="72AE19CD"/>
    <w:rsid w:val="72B31BAE"/>
    <w:rsid w:val="72BF1CB6"/>
    <w:rsid w:val="72BF37AA"/>
    <w:rsid w:val="72BF7C4E"/>
    <w:rsid w:val="72C214EC"/>
    <w:rsid w:val="72C45265"/>
    <w:rsid w:val="72C60FDD"/>
    <w:rsid w:val="72C74CCA"/>
    <w:rsid w:val="72D059B7"/>
    <w:rsid w:val="72D07765"/>
    <w:rsid w:val="72D13A81"/>
    <w:rsid w:val="72D54D7C"/>
    <w:rsid w:val="72DD1E82"/>
    <w:rsid w:val="72DF3E4C"/>
    <w:rsid w:val="72E651DB"/>
    <w:rsid w:val="72E66F89"/>
    <w:rsid w:val="72E96333"/>
    <w:rsid w:val="72EB0155"/>
    <w:rsid w:val="72EE0533"/>
    <w:rsid w:val="72F316A6"/>
    <w:rsid w:val="72F35B4A"/>
    <w:rsid w:val="72FF148B"/>
    <w:rsid w:val="73075151"/>
    <w:rsid w:val="73076EFF"/>
    <w:rsid w:val="73092C77"/>
    <w:rsid w:val="730C2338"/>
    <w:rsid w:val="730E4732"/>
    <w:rsid w:val="730E64E0"/>
    <w:rsid w:val="731344A3"/>
    <w:rsid w:val="73171838"/>
    <w:rsid w:val="731D4975"/>
    <w:rsid w:val="731F249B"/>
    <w:rsid w:val="73216213"/>
    <w:rsid w:val="732209D1"/>
    <w:rsid w:val="732857F3"/>
    <w:rsid w:val="733F662C"/>
    <w:rsid w:val="734025F6"/>
    <w:rsid w:val="73422AA5"/>
    <w:rsid w:val="734343DB"/>
    <w:rsid w:val="734C16B3"/>
    <w:rsid w:val="734F5761"/>
    <w:rsid w:val="73520AC2"/>
    <w:rsid w:val="735F4F8D"/>
    <w:rsid w:val="73642743"/>
    <w:rsid w:val="73650B1D"/>
    <w:rsid w:val="736C64A5"/>
    <w:rsid w:val="736D2914"/>
    <w:rsid w:val="7375030D"/>
    <w:rsid w:val="737A1DC7"/>
    <w:rsid w:val="738115ED"/>
    <w:rsid w:val="73816CB2"/>
    <w:rsid w:val="73830C7C"/>
    <w:rsid w:val="73875405"/>
    <w:rsid w:val="738757EA"/>
    <w:rsid w:val="73886292"/>
    <w:rsid w:val="73886A18"/>
    <w:rsid w:val="739F538A"/>
    <w:rsid w:val="73A22F51"/>
    <w:rsid w:val="73A3131E"/>
    <w:rsid w:val="73B24009"/>
    <w:rsid w:val="73B726D3"/>
    <w:rsid w:val="73B74532"/>
    <w:rsid w:val="73BC418E"/>
    <w:rsid w:val="73BE3A62"/>
    <w:rsid w:val="73C123F0"/>
    <w:rsid w:val="73C13552"/>
    <w:rsid w:val="73C31078"/>
    <w:rsid w:val="73C372CA"/>
    <w:rsid w:val="73C44DF0"/>
    <w:rsid w:val="73C66DBA"/>
    <w:rsid w:val="73C92C88"/>
    <w:rsid w:val="73CB44F0"/>
    <w:rsid w:val="73CB617F"/>
    <w:rsid w:val="73CF6EEA"/>
    <w:rsid w:val="73D019E7"/>
    <w:rsid w:val="73D04528"/>
    <w:rsid w:val="73D05122"/>
    <w:rsid w:val="73D239B1"/>
    <w:rsid w:val="73D634A1"/>
    <w:rsid w:val="73D95B72"/>
    <w:rsid w:val="73D96007"/>
    <w:rsid w:val="73DC6E8C"/>
    <w:rsid w:val="73DE44C2"/>
    <w:rsid w:val="73E01C76"/>
    <w:rsid w:val="73E13BF4"/>
    <w:rsid w:val="73E536E4"/>
    <w:rsid w:val="73E55492"/>
    <w:rsid w:val="73E932F2"/>
    <w:rsid w:val="73EE0771"/>
    <w:rsid w:val="73F40EF8"/>
    <w:rsid w:val="73F640B4"/>
    <w:rsid w:val="73F96131"/>
    <w:rsid w:val="73FC0A2E"/>
    <w:rsid w:val="73FE44D8"/>
    <w:rsid w:val="74122000"/>
    <w:rsid w:val="74130252"/>
    <w:rsid w:val="74144DB5"/>
    <w:rsid w:val="74147B26"/>
    <w:rsid w:val="741A5852"/>
    <w:rsid w:val="741B27D6"/>
    <w:rsid w:val="741F1BCD"/>
    <w:rsid w:val="742901A0"/>
    <w:rsid w:val="742C4E6F"/>
    <w:rsid w:val="742E1534"/>
    <w:rsid w:val="742F670E"/>
    <w:rsid w:val="74367855"/>
    <w:rsid w:val="74373814"/>
    <w:rsid w:val="743B1556"/>
    <w:rsid w:val="743B3304"/>
    <w:rsid w:val="743D3630"/>
    <w:rsid w:val="74415017"/>
    <w:rsid w:val="74425F26"/>
    <w:rsid w:val="7443040B"/>
    <w:rsid w:val="744321B9"/>
    <w:rsid w:val="74453E4B"/>
    <w:rsid w:val="7447614D"/>
    <w:rsid w:val="744828CF"/>
    <w:rsid w:val="744F3F2E"/>
    <w:rsid w:val="744F6DB0"/>
    <w:rsid w:val="74534AF2"/>
    <w:rsid w:val="74554AA5"/>
    <w:rsid w:val="74582DF8"/>
    <w:rsid w:val="746A3A08"/>
    <w:rsid w:val="746C1710"/>
    <w:rsid w:val="746D65F5"/>
    <w:rsid w:val="746E0247"/>
    <w:rsid w:val="746F1200"/>
    <w:rsid w:val="74744A68"/>
    <w:rsid w:val="747D18D7"/>
    <w:rsid w:val="747D5114"/>
    <w:rsid w:val="748719CF"/>
    <w:rsid w:val="74885CAD"/>
    <w:rsid w:val="748A7DE8"/>
    <w:rsid w:val="748C7BE3"/>
    <w:rsid w:val="749649DF"/>
    <w:rsid w:val="749745AE"/>
    <w:rsid w:val="74985773"/>
    <w:rsid w:val="749859F0"/>
    <w:rsid w:val="74986F9A"/>
    <w:rsid w:val="74992BF0"/>
    <w:rsid w:val="749B3DA3"/>
    <w:rsid w:val="74A73BA2"/>
    <w:rsid w:val="74AC4202"/>
    <w:rsid w:val="74AE3AD6"/>
    <w:rsid w:val="74B719EB"/>
    <w:rsid w:val="74B8187C"/>
    <w:rsid w:val="74B9247B"/>
    <w:rsid w:val="74BB2697"/>
    <w:rsid w:val="74BB7047"/>
    <w:rsid w:val="74BF4D8C"/>
    <w:rsid w:val="74C76EA4"/>
    <w:rsid w:val="74C801AD"/>
    <w:rsid w:val="74D07EF1"/>
    <w:rsid w:val="74D26CAC"/>
    <w:rsid w:val="74D410F8"/>
    <w:rsid w:val="74D86DA5"/>
    <w:rsid w:val="74DB0643"/>
    <w:rsid w:val="74DF5BB5"/>
    <w:rsid w:val="74E03EAC"/>
    <w:rsid w:val="74EB29B7"/>
    <w:rsid w:val="74F636CF"/>
    <w:rsid w:val="74F6722B"/>
    <w:rsid w:val="74F953E8"/>
    <w:rsid w:val="74FB2A94"/>
    <w:rsid w:val="74FD569B"/>
    <w:rsid w:val="74FF0DB4"/>
    <w:rsid w:val="75022074"/>
    <w:rsid w:val="7508065E"/>
    <w:rsid w:val="750951B1"/>
    <w:rsid w:val="750C3DB9"/>
    <w:rsid w:val="750C4CA1"/>
    <w:rsid w:val="7510653F"/>
    <w:rsid w:val="75166027"/>
    <w:rsid w:val="75175B20"/>
    <w:rsid w:val="7519125A"/>
    <w:rsid w:val="751B15DA"/>
    <w:rsid w:val="75263FB5"/>
    <w:rsid w:val="75271ADB"/>
    <w:rsid w:val="752B5127"/>
    <w:rsid w:val="752B6DB6"/>
    <w:rsid w:val="7531326F"/>
    <w:rsid w:val="75320A81"/>
    <w:rsid w:val="753541F8"/>
    <w:rsid w:val="75377F70"/>
    <w:rsid w:val="753F6E24"/>
    <w:rsid w:val="75431667"/>
    <w:rsid w:val="75461F61"/>
    <w:rsid w:val="754661DD"/>
    <w:rsid w:val="754B028F"/>
    <w:rsid w:val="754D7793"/>
    <w:rsid w:val="75524DAA"/>
    <w:rsid w:val="755451EF"/>
    <w:rsid w:val="755521A4"/>
    <w:rsid w:val="755A1EB0"/>
    <w:rsid w:val="755A5A0C"/>
    <w:rsid w:val="755B323E"/>
    <w:rsid w:val="755E0A9B"/>
    <w:rsid w:val="755F30F0"/>
    <w:rsid w:val="756845CD"/>
    <w:rsid w:val="756920F3"/>
    <w:rsid w:val="75693EA1"/>
    <w:rsid w:val="756B1A5A"/>
    <w:rsid w:val="756D27D0"/>
    <w:rsid w:val="756E770A"/>
    <w:rsid w:val="757103BB"/>
    <w:rsid w:val="75735408"/>
    <w:rsid w:val="75750A98"/>
    <w:rsid w:val="757762F2"/>
    <w:rsid w:val="757A1C0A"/>
    <w:rsid w:val="757E794D"/>
    <w:rsid w:val="758962F1"/>
    <w:rsid w:val="758B02BC"/>
    <w:rsid w:val="75954C96"/>
    <w:rsid w:val="75956A44"/>
    <w:rsid w:val="759A405B"/>
    <w:rsid w:val="759E7FEF"/>
    <w:rsid w:val="75A1188D"/>
    <w:rsid w:val="75A44ED9"/>
    <w:rsid w:val="75A728F5"/>
    <w:rsid w:val="75A924F0"/>
    <w:rsid w:val="75A93DC4"/>
    <w:rsid w:val="75AC7978"/>
    <w:rsid w:val="75AD7813"/>
    <w:rsid w:val="75AF376A"/>
    <w:rsid w:val="75B07D22"/>
    <w:rsid w:val="75B82733"/>
    <w:rsid w:val="75B90985"/>
    <w:rsid w:val="75B94E29"/>
    <w:rsid w:val="75BC113A"/>
    <w:rsid w:val="75BD6AB1"/>
    <w:rsid w:val="75C537CD"/>
    <w:rsid w:val="75D05CCE"/>
    <w:rsid w:val="75D13158"/>
    <w:rsid w:val="75E40935"/>
    <w:rsid w:val="75E83018"/>
    <w:rsid w:val="75F55735"/>
    <w:rsid w:val="75F90C32"/>
    <w:rsid w:val="75FC6AC3"/>
    <w:rsid w:val="75FE0A8D"/>
    <w:rsid w:val="75FE14E1"/>
    <w:rsid w:val="76006FA2"/>
    <w:rsid w:val="76067C4F"/>
    <w:rsid w:val="7608190C"/>
    <w:rsid w:val="760C5B58"/>
    <w:rsid w:val="760E05ED"/>
    <w:rsid w:val="760F4A49"/>
    <w:rsid w:val="761402B1"/>
    <w:rsid w:val="761832DB"/>
    <w:rsid w:val="761958C7"/>
    <w:rsid w:val="762304F4"/>
    <w:rsid w:val="762A1882"/>
    <w:rsid w:val="762A3631"/>
    <w:rsid w:val="762D1325"/>
    <w:rsid w:val="762F0C47"/>
    <w:rsid w:val="763149BF"/>
    <w:rsid w:val="76326A2E"/>
    <w:rsid w:val="763358F8"/>
    <w:rsid w:val="76393874"/>
    <w:rsid w:val="763A5A2E"/>
    <w:rsid w:val="76453DCF"/>
    <w:rsid w:val="76460F97"/>
    <w:rsid w:val="76490238"/>
    <w:rsid w:val="764C17F9"/>
    <w:rsid w:val="76522B87"/>
    <w:rsid w:val="76553942"/>
    <w:rsid w:val="765B7C8E"/>
    <w:rsid w:val="76685F07"/>
    <w:rsid w:val="767D5E56"/>
    <w:rsid w:val="76802A9C"/>
    <w:rsid w:val="76813D63"/>
    <w:rsid w:val="768A0573"/>
    <w:rsid w:val="768C6099"/>
    <w:rsid w:val="76925DC3"/>
    <w:rsid w:val="76937428"/>
    <w:rsid w:val="769534B7"/>
    <w:rsid w:val="76974F45"/>
    <w:rsid w:val="76982FF6"/>
    <w:rsid w:val="769907B6"/>
    <w:rsid w:val="769C3384"/>
    <w:rsid w:val="769E7B7B"/>
    <w:rsid w:val="769F401E"/>
    <w:rsid w:val="76A35191"/>
    <w:rsid w:val="76A809F9"/>
    <w:rsid w:val="76B13D52"/>
    <w:rsid w:val="76B61368"/>
    <w:rsid w:val="76B941CC"/>
    <w:rsid w:val="76BB697E"/>
    <w:rsid w:val="76CC7907"/>
    <w:rsid w:val="76CD220E"/>
    <w:rsid w:val="76D812DE"/>
    <w:rsid w:val="76DB226E"/>
    <w:rsid w:val="76DB23CC"/>
    <w:rsid w:val="76DD4CF7"/>
    <w:rsid w:val="76DF3CD0"/>
    <w:rsid w:val="76EC08E6"/>
    <w:rsid w:val="76F51E90"/>
    <w:rsid w:val="76F61765"/>
    <w:rsid w:val="76FD750C"/>
    <w:rsid w:val="76FE0619"/>
    <w:rsid w:val="76FF2D0F"/>
    <w:rsid w:val="770206FC"/>
    <w:rsid w:val="770B3462"/>
    <w:rsid w:val="770C2D36"/>
    <w:rsid w:val="770E0AD4"/>
    <w:rsid w:val="770E2F52"/>
    <w:rsid w:val="77133D1D"/>
    <w:rsid w:val="77170059"/>
    <w:rsid w:val="77182974"/>
    <w:rsid w:val="7719675C"/>
    <w:rsid w:val="771A42A0"/>
    <w:rsid w:val="771B53C4"/>
    <w:rsid w:val="771C566F"/>
    <w:rsid w:val="771E7734"/>
    <w:rsid w:val="772207AC"/>
    <w:rsid w:val="77234F00"/>
    <w:rsid w:val="772462D2"/>
    <w:rsid w:val="77253DF8"/>
    <w:rsid w:val="7726029C"/>
    <w:rsid w:val="772938E8"/>
    <w:rsid w:val="772C5186"/>
    <w:rsid w:val="77324E93"/>
    <w:rsid w:val="773515E4"/>
    <w:rsid w:val="77366005"/>
    <w:rsid w:val="773D4FE2"/>
    <w:rsid w:val="773D55E5"/>
    <w:rsid w:val="773F135E"/>
    <w:rsid w:val="773F310C"/>
    <w:rsid w:val="773F7333"/>
    <w:rsid w:val="77470212"/>
    <w:rsid w:val="77495382"/>
    <w:rsid w:val="77512E3F"/>
    <w:rsid w:val="775B0B7E"/>
    <w:rsid w:val="775B472C"/>
    <w:rsid w:val="7762504C"/>
    <w:rsid w:val="776543A3"/>
    <w:rsid w:val="77657CE4"/>
    <w:rsid w:val="7769462C"/>
    <w:rsid w:val="776E3E50"/>
    <w:rsid w:val="777458EA"/>
    <w:rsid w:val="77754D7F"/>
    <w:rsid w:val="77796D11"/>
    <w:rsid w:val="777A05E8"/>
    <w:rsid w:val="777D28B9"/>
    <w:rsid w:val="77856C64"/>
    <w:rsid w:val="778C7B38"/>
    <w:rsid w:val="778E7BEF"/>
    <w:rsid w:val="778F488A"/>
    <w:rsid w:val="77933457"/>
    <w:rsid w:val="77935205"/>
    <w:rsid w:val="7794154D"/>
    <w:rsid w:val="77943778"/>
    <w:rsid w:val="779C055E"/>
    <w:rsid w:val="77A318EC"/>
    <w:rsid w:val="77A94A29"/>
    <w:rsid w:val="77AE4293"/>
    <w:rsid w:val="77B07B65"/>
    <w:rsid w:val="77B92EBE"/>
    <w:rsid w:val="77BE04D4"/>
    <w:rsid w:val="77C269E4"/>
    <w:rsid w:val="77C83101"/>
    <w:rsid w:val="77CD0BF3"/>
    <w:rsid w:val="77CD6969"/>
    <w:rsid w:val="77D823E5"/>
    <w:rsid w:val="77E96A8E"/>
    <w:rsid w:val="77F1502D"/>
    <w:rsid w:val="77F27C02"/>
    <w:rsid w:val="77F62076"/>
    <w:rsid w:val="77FE827B"/>
    <w:rsid w:val="78006D3F"/>
    <w:rsid w:val="78056103"/>
    <w:rsid w:val="78061E7B"/>
    <w:rsid w:val="78130045"/>
    <w:rsid w:val="781520BE"/>
    <w:rsid w:val="78155D98"/>
    <w:rsid w:val="78157039"/>
    <w:rsid w:val="78191187"/>
    <w:rsid w:val="781C344D"/>
    <w:rsid w:val="782567A5"/>
    <w:rsid w:val="78357ECF"/>
    <w:rsid w:val="78393FFF"/>
    <w:rsid w:val="783957E8"/>
    <w:rsid w:val="783F3821"/>
    <w:rsid w:val="78462278"/>
    <w:rsid w:val="784749E9"/>
    <w:rsid w:val="7847671C"/>
    <w:rsid w:val="78484242"/>
    <w:rsid w:val="784D4B79"/>
    <w:rsid w:val="784F3822"/>
    <w:rsid w:val="784F55D0"/>
    <w:rsid w:val="785250C1"/>
    <w:rsid w:val="7855070D"/>
    <w:rsid w:val="78591B1E"/>
    <w:rsid w:val="785C1A9B"/>
    <w:rsid w:val="785C29D2"/>
    <w:rsid w:val="785C4E11"/>
    <w:rsid w:val="785E672D"/>
    <w:rsid w:val="78660C6C"/>
    <w:rsid w:val="7866127A"/>
    <w:rsid w:val="78686692"/>
    <w:rsid w:val="786F17CF"/>
    <w:rsid w:val="78732FC1"/>
    <w:rsid w:val="78760DAF"/>
    <w:rsid w:val="78765B55"/>
    <w:rsid w:val="78774B27"/>
    <w:rsid w:val="788039DC"/>
    <w:rsid w:val="78805914"/>
    <w:rsid w:val="788630B3"/>
    <w:rsid w:val="788D60F9"/>
    <w:rsid w:val="78905333"/>
    <w:rsid w:val="78906D86"/>
    <w:rsid w:val="78964FAD"/>
    <w:rsid w:val="789A7E29"/>
    <w:rsid w:val="789C6432"/>
    <w:rsid w:val="78A07BDA"/>
    <w:rsid w:val="78A23952"/>
    <w:rsid w:val="78A70F68"/>
    <w:rsid w:val="78A71042"/>
    <w:rsid w:val="78AC47D1"/>
    <w:rsid w:val="78AC6C2C"/>
    <w:rsid w:val="78B11DE7"/>
    <w:rsid w:val="78B91A4A"/>
    <w:rsid w:val="78BB4A14"/>
    <w:rsid w:val="78BE4504"/>
    <w:rsid w:val="78BE62B2"/>
    <w:rsid w:val="78CC4A03"/>
    <w:rsid w:val="78CF69B0"/>
    <w:rsid w:val="78D15FE5"/>
    <w:rsid w:val="78D3550F"/>
    <w:rsid w:val="78D41F79"/>
    <w:rsid w:val="78DA31F1"/>
    <w:rsid w:val="78DD0E2E"/>
    <w:rsid w:val="78DE0702"/>
    <w:rsid w:val="78E026CC"/>
    <w:rsid w:val="78E27100"/>
    <w:rsid w:val="78E51A91"/>
    <w:rsid w:val="78E621CE"/>
    <w:rsid w:val="78E85DC9"/>
    <w:rsid w:val="78EE6B97"/>
    <w:rsid w:val="78EF1320"/>
    <w:rsid w:val="78EF290F"/>
    <w:rsid w:val="78EF46BD"/>
    <w:rsid w:val="79000509"/>
    <w:rsid w:val="79036F20"/>
    <w:rsid w:val="790A14F7"/>
    <w:rsid w:val="791B1956"/>
    <w:rsid w:val="791B3704"/>
    <w:rsid w:val="791E0236"/>
    <w:rsid w:val="79226058"/>
    <w:rsid w:val="79254355"/>
    <w:rsid w:val="792627D5"/>
    <w:rsid w:val="79294073"/>
    <w:rsid w:val="792E168A"/>
    <w:rsid w:val="792E51E6"/>
    <w:rsid w:val="793622EC"/>
    <w:rsid w:val="793E04F8"/>
    <w:rsid w:val="793F3897"/>
    <w:rsid w:val="793F3F62"/>
    <w:rsid w:val="793F73F3"/>
    <w:rsid w:val="794964C4"/>
    <w:rsid w:val="794E3ADA"/>
    <w:rsid w:val="795135CA"/>
    <w:rsid w:val="79573A3F"/>
    <w:rsid w:val="79584959"/>
    <w:rsid w:val="795D3D1D"/>
    <w:rsid w:val="796416EF"/>
    <w:rsid w:val="796432FD"/>
    <w:rsid w:val="79652BD2"/>
    <w:rsid w:val="79660E24"/>
    <w:rsid w:val="7966696E"/>
    <w:rsid w:val="79666C93"/>
    <w:rsid w:val="79693122"/>
    <w:rsid w:val="796E1A86"/>
    <w:rsid w:val="796F1D00"/>
    <w:rsid w:val="79703A50"/>
    <w:rsid w:val="79752614"/>
    <w:rsid w:val="79786DA9"/>
    <w:rsid w:val="797C7EA8"/>
    <w:rsid w:val="797D24D8"/>
    <w:rsid w:val="79802176"/>
    <w:rsid w:val="798069F7"/>
    <w:rsid w:val="79825532"/>
    <w:rsid w:val="79836B0A"/>
    <w:rsid w:val="798412AA"/>
    <w:rsid w:val="79872B48"/>
    <w:rsid w:val="79876FEC"/>
    <w:rsid w:val="798C3BE4"/>
    <w:rsid w:val="798E0CE7"/>
    <w:rsid w:val="799C5ED0"/>
    <w:rsid w:val="79A100AE"/>
    <w:rsid w:val="79A30B97"/>
    <w:rsid w:val="79B25E17"/>
    <w:rsid w:val="79B975B1"/>
    <w:rsid w:val="79BA2F1D"/>
    <w:rsid w:val="79BC0A44"/>
    <w:rsid w:val="79BD702D"/>
    <w:rsid w:val="79C124FE"/>
    <w:rsid w:val="79C478F8"/>
    <w:rsid w:val="79C8388C"/>
    <w:rsid w:val="79C913B2"/>
    <w:rsid w:val="79CA4A43"/>
    <w:rsid w:val="79D73ACF"/>
    <w:rsid w:val="79DC2E94"/>
    <w:rsid w:val="79DD4FAB"/>
    <w:rsid w:val="79E41D48"/>
    <w:rsid w:val="79EB1329"/>
    <w:rsid w:val="79EE0E19"/>
    <w:rsid w:val="79F44681"/>
    <w:rsid w:val="79FC52E4"/>
    <w:rsid w:val="79FD7E55"/>
    <w:rsid w:val="79FF352D"/>
    <w:rsid w:val="79FF6B82"/>
    <w:rsid w:val="7A014792"/>
    <w:rsid w:val="7A0348C4"/>
    <w:rsid w:val="7A0B372D"/>
    <w:rsid w:val="7A0B5527"/>
    <w:rsid w:val="7A0B6F2D"/>
    <w:rsid w:val="7A0F0C70"/>
    <w:rsid w:val="7A143844"/>
    <w:rsid w:val="7A187C44"/>
    <w:rsid w:val="7A1C70DF"/>
    <w:rsid w:val="7A230AC3"/>
    <w:rsid w:val="7A2A04D6"/>
    <w:rsid w:val="7A2B3E1B"/>
    <w:rsid w:val="7A2D36EF"/>
    <w:rsid w:val="7A3251AA"/>
    <w:rsid w:val="7A37456E"/>
    <w:rsid w:val="7A39062C"/>
    <w:rsid w:val="7A41363F"/>
    <w:rsid w:val="7A4822D7"/>
    <w:rsid w:val="7A4A3642"/>
    <w:rsid w:val="7A4D3D91"/>
    <w:rsid w:val="7A5202B8"/>
    <w:rsid w:val="7A542B18"/>
    <w:rsid w:val="7A565749"/>
    <w:rsid w:val="7A5F5873"/>
    <w:rsid w:val="7A6335B5"/>
    <w:rsid w:val="7A635345"/>
    <w:rsid w:val="7A635363"/>
    <w:rsid w:val="7A652E89"/>
    <w:rsid w:val="7A6D7F90"/>
    <w:rsid w:val="7A6F3F48"/>
    <w:rsid w:val="7A804167"/>
    <w:rsid w:val="7A807A54"/>
    <w:rsid w:val="7A827E8E"/>
    <w:rsid w:val="7A8D23E0"/>
    <w:rsid w:val="7A902785"/>
    <w:rsid w:val="7A9419C0"/>
    <w:rsid w:val="7A97325F"/>
    <w:rsid w:val="7A995483"/>
    <w:rsid w:val="7AA17C39"/>
    <w:rsid w:val="7AA634A2"/>
    <w:rsid w:val="7AA6651B"/>
    <w:rsid w:val="7AAB2866"/>
    <w:rsid w:val="7AAF0985"/>
    <w:rsid w:val="7AB14320"/>
    <w:rsid w:val="7AB5291E"/>
    <w:rsid w:val="7AB7745D"/>
    <w:rsid w:val="7ABB6F4D"/>
    <w:rsid w:val="7ABE6A3D"/>
    <w:rsid w:val="7AC1208A"/>
    <w:rsid w:val="7AC8166A"/>
    <w:rsid w:val="7AD16771"/>
    <w:rsid w:val="7AD26045"/>
    <w:rsid w:val="7AD324E9"/>
    <w:rsid w:val="7AD63D87"/>
    <w:rsid w:val="7ADE49EA"/>
    <w:rsid w:val="7AE02DBE"/>
    <w:rsid w:val="7AE33A29"/>
    <w:rsid w:val="7AE85868"/>
    <w:rsid w:val="7AF95218"/>
    <w:rsid w:val="7B04546D"/>
    <w:rsid w:val="7B054DBB"/>
    <w:rsid w:val="7B114DBF"/>
    <w:rsid w:val="7B152B01"/>
    <w:rsid w:val="7B18614D"/>
    <w:rsid w:val="7B1B79EC"/>
    <w:rsid w:val="7B1D1151"/>
    <w:rsid w:val="7B226FCC"/>
    <w:rsid w:val="7B2B58A7"/>
    <w:rsid w:val="7B306E01"/>
    <w:rsid w:val="7B3228C7"/>
    <w:rsid w:val="7B3665D4"/>
    <w:rsid w:val="7B4231CA"/>
    <w:rsid w:val="7B43435D"/>
    <w:rsid w:val="7B4C229B"/>
    <w:rsid w:val="7B4D5A9F"/>
    <w:rsid w:val="7B522106"/>
    <w:rsid w:val="7B551150"/>
    <w:rsid w:val="7B560A24"/>
    <w:rsid w:val="7B564EC8"/>
    <w:rsid w:val="7B5D2090"/>
    <w:rsid w:val="7B5F5B2A"/>
    <w:rsid w:val="7B605897"/>
    <w:rsid w:val="7B643141"/>
    <w:rsid w:val="7B694BFB"/>
    <w:rsid w:val="7B707D38"/>
    <w:rsid w:val="7B72317D"/>
    <w:rsid w:val="7B77473C"/>
    <w:rsid w:val="7B775A53"/>
    <w:rsid w:val="7B821819"/>
    <w:rsid w:val="7B826F2A"/>
    <w:rsid w:val="7B962E74"/>
    <w:rsid w:val="7B9A1B4A"/>
    <w:rsid w:val="7B9F1E34"/>
    <w:rsid w:val="7BA43177"/>
    <w:rsid w:val="7BA67BFD"/>
    <w:rsid w:val="7BA7127F"/>
    <w:rsid w:val="7BB06386"/>
    <w:rsid w:val="7BB120FE"/>
    <w:rsid w:val="7BB816DF"/>
    <w:rsid w:val="7BCC6F38"/>
    <w:rsid w:val="7BD02338"/>
    <w:rsid w:val="7BD06A28"/>
    <w:rsid w:val="7BD6763A"/>
    <w:rsid w:val="7BD75B2D"/>
    <w:rsid w:val="7BDB2915"/>
    <w:rsid w:val="7BDC361F"/>
    <w:rsid w:val="7BDF310F"/>
    <w:rsid w:val="7BE95D3C"/>
    <w:rsid w:val="7BF0242E"/>
    <w:rsid w:val="7BF5023D"/>
    <w:rsid w:val="7BF5648F"/>
    <w:rsid w:val="7BF709CD"/>
    <w:rsid w:val="7BF81ADB"/>
    <w:rsid w:val="7C0A04BD"/>
    <w:rsid w:val="7C1677B6"/>
    <w:rsid w:val="7C18217D"/>
    <w:rsid w:val="7C23124E"/>
    <w:rsid w:val="7C240B22"/>
    <w:rsid w:val="7C2C28E9"/>
    <w:rsid w:val="7C2E19A1"/>
    <w:rsid w:val="7C37089D"/>
    <w:rsid w:val="7C417926"/>
    <w:rsid w:val="7C4A4A2C"/>
    <w:rsid w:val="7C4C251F"/>
    <w:rsid w:val="7C4D7927"/>
    <w:rsid w:val="7C50087C"/>
    <w:rsid w:val="7C516E1F"/>
    <w:rsid w:val="7C52743D"/>
    <w:rsid w:val="7C562E0E"/>
    <w:rsid w:val="7C565256"/>
    <w:rsid w:val="7C572CA5"/>
    <w:rsid w:val="7C5807CC"/>
    <w:rsid w:val="7C595788"/>
    <w:rsid w:val="7C5D630B"/>
    <w:rsid w:val="7C5E5C93"/>
    <w:rsid w:val="7C620503"/>
    <w:rsid w:val="7C6A65F3"/>
    <w:rsid w:val="7C6B6751"/>
    <w:rsid w:val="7C776EA4"/>
    <w:rsid w:val="7C896357"/>
    <w:rsid w:val="7C9061B7"/>
    <w:rsid w:val="7C914409"/>
    <w:rsid w:val="7C922BB4"/>
    <w:rsid w:val="7C95557C"/>
    <w:rsid w:val="7C955CAD"/>
    <w:rsid w:val="7C9712F4"/>
    <w:rsid w:val="7C98391B"/>
    <w:rsid w:val="7C9A0DE4"/>
    <w:rsid w:val="7C9D138E"/>
    <w:rsid w:val="7C9E08D4"/>
    <w:rsid w:val="7CA15622"/>
    <w:rsid w:val="7CA44DC1"/>
    <w:rsid w:val="7CAD0B17"/>
    <w:rsid w:val="7CAF663E"/>
    <w:rsid w:val="7CAF6B09"/>
    <w:rsid w:val="7CB03A9A"/>
    <w:rsid w:val="7CB24380"/>
    <w:rsid w:val="7CB400F8"/>
    <w:rsid w:val="7CB63E70"/>
    <w:rsid w:val="7CB974BC"/>
    <w:rsid w:val="7CBA15C8"/>
    <w:rsid w:val="7CBB76D8"/>
    <w:rsid w:val="7CC06EA6"/>
    <w:rsid w:val="7CC7607D"/>
    <w:rsid w:val="7CC83BA3"/>
    <w:rsid w:val="7CCA791B"/>
    <w:rsid w:val="7CD51E1C"/>
    <w:rsid w:val="7CD82038"/>
    <w:rsid w:val="7CDA1BE3"/>
    <w:rsid w:val="7CDB38D7"/>
    <w:rsid w:val="7CDB7433"/>
    <w:rsid w:val="7CED7166"/>
    <w:rsid w:val="7CF10773"/>
    <w:rsid w:val="7CF90201"/>
    <w:rsid w:val="7D00333D"/>
    <w:rsid w:val="7D0B72D7"/>
    <w:rsid w:val="7D0E1E7D"/>
    <w:rsid w:val="7D121467"/>
    <w:rsid w:val="7D136335"/>
    <w:rsid w:val="7D13664F"/>
    <w:rsid w:val="7D180687"/>
    <w:rsid w:val="7D1B2A62"/>
    <w:rsid w:val="7D1D0BAE"/>
    <w:rsid w:val="7D20578D"/>
    <w:rsid w:val="7D221505"/>
    <w:rsid w:val="7D265208"/>
    <w:rsid w:val="7D2D4072"/>
    <w:rsid w:val="7D2F59D0"/>
    <w:rsid w:val="7D311748"/>
    <w:rsid w:val="7D3130F3"/>
    <w:rsid w:val="7D366D5F"/>
    <w:rsid w:val="7D3750ED"/>
    <w:rsid w:val="7D376633"/>
    <w:rsid w:val="7D3B4375"/>
    <w:rsid w:val="7D3B6123"/>
    <w:rsid w:val="7D3E3E65"/>
    <w:rsid w:val="7D40198C"/>
    <w:rsid w:val="7D415ADE"/>
    <w:rsid w:val="7D416CAC"/>
    <w:rsid w:val="7D4274B2"/>
    <w:rsid w:val="7D461628"/>
    <w:rsid w:val="7D4E1768"/>
    <w:rsid w:val="7D4E22FA"/>
    <w:rsid w:val="7D4E40A8"/>
    <w:rsid w:val="7D536D48"/>
    <w:rsid w:val="7D544971"/>
    <w:rsid w:val="7D690DC5"/>
    <w:rsid w:val="7D6E474B"/>
    <w:rsid w:val="7D701935"/>
    <w:rsid w:val="7D772C7C"/>
    <w:rsid w:val="7D790BDA"/>
    <w:rsid w:val="7D7D498E"/>
    <w:rsid w:val="7D82324C"/>
    <w:rsid w:val="7D8D0136"/>
    <w:rsid w:val="7D915E32"/>
    <w:rsid w:val="7DA500D2"/>
    <w:rsid w:val="7DAE4B47"/>
    <w:rsid w:val="7DAF331C"/>
    <w:rsid w:val="7DB12889"/>
    <w:rsid w:val="7DB3215D"/>
    <w:rsid w:val="7DB36601"/>
    <w:rsid w:val="7DBB54B6"/>
    <w:rsid w:val="7DC12ACC"/>
    <w:rsid w:val="7DC425BD"/>
    <w:rsid w:val="7DC75C09"/>
    <w:rsid w:val="7DC7603A"/>
    <w:rsid w:val="7DD20C79"/>
    <w:rsid w:val="7DD30A52"/>
    <w:rsid w:val="7DDA0454"/>
    <w:rsid w:val="7DDA3B8E"/>
    <w:rsid w:val="7DE168C9"/>
    <w:rsid w:val="7DE56A13"/>
    <w:rsid w:val="7DF52776"/>
    <w:rsid w:val="7DFA4230"/>
    <w:rsid w:val="7E01148E"/>
    <w:rsid w:val="7E064983"/>
    <w:rsid w:val="7E0B01EB"/>
    <w:rsid w:val="7E1075B0"/>
    <w:rsid w:val="7E12157A"/>
    <w:rsid w:val="7E156974"/>
    <w:rsid w:val="7E164BB6"/>
    <w:rsid w:val="7E1A042F"/>
    <w:rsid w:val="7E2034B5"/>
    <w:rsid w:val="7E215319"/>
    <w:rsid w:val="7E24305B"/>
    <w:rsid w:val="7E3239CA"/>
    <w:rsid w:val="7E3F5AB3"/>
    <w:rsid w:val="7E413C0D"/>
    <w:rsid w:val="7E44733B"/>
    <w:rsid w:val="7E484F9C"/>
    <w:rsid w:val="7E4E1E86"/>
    <w:rsid w:val="7E5F5E41"/>
    <w:rsid w:val="7E615C57"/>
    <w:rsid w:val="7E631DD5"/>
    <w:rsid w:val="7E665422"/>
    <w:rsid w:val="7E68119A"/>
    <w:rsid w:val="7E6D4A02"/>
    <w:rsid w:val="7E6E636B"/>
    <w:rsid w:val="7E7933A7"/>
    <w:rsid w:val="7E795155"/>
    <w:rsid w:val="7E7F4735"/>
    <w:rsid w:val="7E8006D8"/>
    <w:rsid w:val="7E8502E8"/>
    <w:rsid w:val="7E877EF0"/>
    <w:rsid w:val="7E9006F1"/>
    <w:rsid w:val="7E9050F8"/>
    <w:rsid w:val="7E926A70"/>
    <w:rsid w:val="7E927FC5"/>
    <w:rsid w:val="7E93212C"/>
    <w:rsid w:val="7E983FD5"/>
    <w:rsid w:val="7E9975A5"/>
    <w:rsid w:val="7E9E696A"/>
    <w:rsid w:val="7E9F26E2"/>
    <w:rsid w:val="7E9F3A4F"/>
    <w:rsid w:val="7EA07E4C"/>
    <w:rsid w:val="7EA30424"/>
    <w:rsid w:val="7EA5635A"/>
    <w:rsid w:val="7EB97C47"/>
    <w:rsid w:val="7EBC7585"/>
    <w:rsid w:val="7EC80B5D"/>
    <w:rsid w:val="7ECB1729"/>
    <w:rsid w:val="7ECB797B"/>
    <w:rsid w:val="7ED13012"/>
    <w:rsid w:val="7ED20D09"/>
    <w:rsid w:val="7ED22AB7"/>
    <w:rsid w:val="7ED42284"/>
    <w:rsid w:val="7ED76320"/>
    <w:rsid w:val="7EDC1B88"/>
    <w:rsid w:val="7EDE320A"/>
    <w:rsid w:val="7EE2719E"/>
    <w:rsid w:val="7EE30820"/>
    <w:rsid w:val="7EE54599"/>
    <w:rsid w:val="7EE86C03"/>
    <w:rsid w:val="7EEC0BCC"/>
    <w:rsid w:val="7EF05BC6"/>
    <w:rsid w:val="7EF90044"/>
    <w:rsid w:val="7EFB3DBC"/>
    <w:rsid w:val="7F09259F"/>
    <w:rsid w:val="7F163CB6"/>
    <w:rsid w:val="7F1B7FBA"/>
    <w:rsid w:val="7F1C1F84"/>
    <w:rsid w:val="7F1C3D32"/>
    <w:rsid w:val="7F1F5B67"/>
    <w:rsid w:val="7F231565"/>
    <w:rsid w:val="7F280929"/>
    <w:rsid w:val="7F2A644F"/>
    <w:rsid w:val="7F2B232E"/>
    <w:rsid w:val="7F2F5BDC"/>
    <w:rsid w:val="7F361B0B"/>
    <w:rsid w:val="7F3F08BD"/>
    <w:rsid w:val="7F411BFB"/>
    <w:rsid w:val="7F431CAA"/>
    <w:rsid w:val="7F45772D"/>
    <w:rsid w:val="7F460DAF"/>
    <w:rsid w:val="7F4734A5"/>
    <w:rsid w:val="7F4D213E"/>
    <w:rsid w:val="7F5636E8"/>
    <w:rsid w:val="7F572CA7"/>
    <w:rsid w:val="7F5A15DE"/>
    <w:rsid w:val="7F645E05"/>
    <w:rsid w:val="7F6C4CBA"/>
    <w:rsid w:val="7F6E0A32"/>
    <w:rsid w:val="7F6E6AF3"/>
    <w:rsid w:val="7F756ADD"/>
    <w:rsid w:val="7F790A0F"/>
    <w:rsid w:val="7F7D41B1"/>
    <w:rsid w:val="7F7E49ED"/>
    <w:rsid w:val="7F7E68E2"/>
    <w:rsid w:val="7F7F1B21"/>
    <w:rsid w:val="7F7F25C8"/>
    <w:rsid w:val="7F7F2C3F"/>
    <w:rsid w:val="7F7F6765"/>
    <w:rsid w:val="7F853FCE"/>
    <w:rsid w:val="7F8A5140"/>
    <w:rsid w:val="7F8B626E"/>
    <w:rsid w:val="7F947D6D"/>
    <w:rsid w:val="7F954211"/>
    <w:rsid w:val="7F965266"/>
    <w:rsid w:val="7F9D4E73"/>
    <w:rsid w:val="7FA2511E"/>
    <w:rsid w:val="7FA62FCA"/>
    <w:rsid w:val="7FAB483B"/>
    <w:rsid w:val="7FAF043B"/>
    <w:rsid w:val="7FB0260C"/>
    <w:rsid w:val="7FB1091F"/>
    <w:rsid w:val="7FBC5227"/>
    <w:rsid w:val="7FC15997"/>
    <w:rsid w:val="7FC40190"/>
    <w:rsid w:val="7FC539A2"/>
    <w:rsid w:val="7FC70142"/>
    <w:rsid w:val="7FD12D6F"/>
    <w:rsid w:val="7FD34D39"/>
    <w:rsid w:val="7FD665D7"/>
    <w:rsid w:val="7FD8234F"/>
    <w:rsid w:val="7FDF548C"/>
    <w:rsid w:val="7FE02FB2"/>
    <w:rsid w:val="7FE42AA2"/>
    <w:rsid w:val="7FE505C8"/>
    <w:rsid w:val="7FE70DD0"/>
    <w:rsid w:val="7FE75BCB"/>
    <w:rsid w:val="7FE900B8"/>
    <w:rsid w:val="7FE92CE4"/>
    <w:rsid w:val="7FEC76A9"/>
    <w:rsid w:val="7FEE0306"/>
    <w:rsid w:val="7FF07699"/>
    <w:rsid w:val="7FF54F4F"/>
    <w:rsid w:val="7FFA0518"/>
    <w:rsid w:val="7FFF78DC"/>
    <w:rsid w:val="FFF5B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99" w:semiHidden="0" w:name="caption"/>
    <w:lsdException w:qFormat="1" w:unhideWhenUsed="0" w:uiPriority="99" w:name="table of figures"/>
    <w:lsdException w:unhideWhenUsed="0" w:uiPriority="0" w:semiHidden="0" w:name="envelope address"/>
    <w:lsdException w:qFormat="1" w:unhideWhenUsed="0" w:uiPriority="0" w:semiHidden="0" w:name="envelope return"/>
    <w:lsdException w:qFormat="1" w:unhideWhenUsed="0" w:uiPriority="99" w:name="footnote reference"/>
    <w:lsdException w:qFormat="1" w:unhideWhenUsed="0" w:uiPriority="99"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7">
    <w:name w:val="heading 1"/>
    <w:basedOn w:val="1"/>
    <w:next w:val="1"/>
    <w:link w:val="58"/>
    <w:qFormat/>
    <w:uiPriority w:val="99"/>
    <w:pPr>
      <w:keepNext/>
      <w:keepLines/>
      <w:spacing w:before="340" w:after="330" w:line="578" w:lineRule="auto"/>
      <w:outlineLvl w:val="0"/>
    </w:pPr>
    <w:rPr>
      <w:b/>
      <w:bCs/>
      <w:kern w:val="44"/>
      <w:sz w:val="44"/>
      <w:szCs w:val="44"/>
    </w:rPr>
  </w:style>
  <w:style w:type="paragraph" w:styleId="8">
    <w:name w:val="heading 2"/>
    <w:basedOn w:val="1"/>
    <w:next w:val="1"/>
    <w:link w:val="59"/>
    <w:qFormat/>
    <w:uiPriority w:val="99"/>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link w:val="60"/>
    <w:qFormat/>
    <w:uiPriority w:val="99"/>
    <w:pPr>
      <w:keepNext/>
      <w:keepLines/>
      <w:spacing w:before="260" w:after="260" w:line="416" w:lineRule="auto"/>
      <w:outlineLvl w:val="2"/>
    </w:pPr>
    <w:rPr>
      <w:b/>
      <w:bCs/>
      <w:sz w:val="32"/>
      <w:szCs w:val="32"/>
    </w:rPr>
  </w:style>
  <w:style w:type="paragraph" w:styleId="10">
    <w:name w:val="heading 4"/>
    <w:basedOn w:val="1"/>
    <w:next w:val="1"/>
    <w:link w:val="61"/>
    <w:qFormat/>
    <w:uiPriority w:val="99"/>
    <w:pPr>
      <w:keepNext/>
      <w:keepLines/>
      <w:spacing w:before="280" w:after="290" w:line="372" w:lineRule="auto"/>
      <w:outlineLvl w:val="3"/>
    </w:pPr>
    <w:rPr>
      <w:rFonts w:ascii="Cambria" w:hAnsi="Cambria"/>
      <w:b/>
      <w:bCs/>
      <w:sz w:val="28"/>
      <w:szCs w:val="28"/>
    </w:rPr>
  </w:style>
  <w:style w:type="paragraph" w:styleId="11">
    <w:name w:val="heading 5"/>
    <w:basedOn w:val="1"/>
    <w:next w:val="1"/>
    <w:link w:val="62"/>
    <w:qFormat/>
    <w:uiPriority w:val="99"/>
    <w:pPr>
      <w:keepNext/>
      <w:keepLines/>
      <w:spacing w:before="280" w:after="290" w:line="372" w:lineRule="auto"/>
      <w:outlineLvl w:val="4"/>
    </w:pPr>
    <w:rPr>
      <w:rFonts w:ascii="Calibri" w:hAnsi="Calibri"/>
      <w:b/>
      <w:bCs/>
      <w:sz w:val="28"/>
      <w:szCs w:val="28"/>
    </w:rPr>
  </w:style>
  <w:style w:type="paragraph" w:styleId="12">
    <w:name w:val="heading 6"/>
    <w:basedOn w:val="1"/>
    <w:next w:val="1"/>
    <w:link w:val="63"/>
    <w:qFormat/>
    <w:uiPriority w:val="99"/>
    <w:pPr>
      <w:keepNext/>
      <w:keepLines/>
      <w:spacing w:before="240" w:after="64" w:line="317" w:lineRule="auto"/>
      <w:outlineLvl w:val="5"/>
    </w:pPr>
    <w:rPr>
      <w:rFonts w:ascii="Cambria" w:hAnsi="Cambria"/>
      <w:b/>
      <w:bCs/>
      <w:sz w:val="24"/>
      <w:szCs w:val="24"/>
    </w:rPr>
  </w:style>
  <w:style w:type="paragraph" w:styleId="13">
    <w:name w:val="heading 7"/>
    <w:basedOn w:val="1"/>
    <w:next w:val="1"/>
    <w:link w:val="64"/>
    <w:qFormat/>
    <w:uiPriority w:val="99"/>
    <w:pPr>
      <w:keepNext/>
      <w:keepLines/>
      <w:spacing w:before="240" w:after="64" w:line="317" w:lineRule="auto"/>
      <w:outlineLvl w:val="6"/>
    </w:pPr>
    <w:rPr>
      <w:rFonts w:ascii="Calibri" w:hAnsi="Calibri"/>
      <w:b/>
      <w:bCs/>
      <w:sz w:val="24"/>
      <w:szCs w:val="24"/>
    </w:rPr>
  </w:style>
  <w:style w:type="paragraph" w:styleId="14">
    <w:name w:val="heading 8"/>
    <w:basedOn w:val="1"/>
    <w:next w:val="1"/>
    <w:link w:val="65"/>
    <w:qFormat/>
    <w:uiPriority w:val="99"/>
    <w:pPr>
      <w:keepNext/>
      <w:keepLines/>
      <w:spacing w:before="240" w:after="64" w:line="317" w:lineRule="auto"/>
      <w:outlineLvl w:val="7"/>
    </w:pPr>
    <w:rPr>
      <w:rFonts w:ascii="Cambria" w:hAnsi="Cambria"/>
      <w:sz w:val="24"/>
      <w:szCs w:val="24"/>
    </w:rPr>
  </w:style>
  <w:style w:type="paragraph" w:styleId="15">
    <w:name w:val="heading 9"/>
    <w:basedOn w:val="1"/>
    <w:next w:val="1"/>
    <w:link w:val="66"/>
    <w:qFormat/>
    <w:uiPriority w:val="99"/>
    <w:pPr>
      <w:keepNext/>
      <w:keepLines/>
      <w:spacing w:before="240" w:after="64" w:line="317" w:lineRule="auto"/>
      <w:outlineLvl w:val="8"/>
    </w:pPr>
    <w:rPr>
      <w:rFonts w:ascii="Cambria" w:hAnsi="Cambria"/>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6"/>
    <w:qFormat/>
    <w:uiPriority w:val="0"/>
    <w:pPr>
      <w:spacing w:line="360" w:lineRule="auto"/>
      <w:ind w:firstLine="200" w:firstLineChars="200"/>
    </w:pPr>
    <w:rPr>
      <w:rFonts w:ascii="宋体"/>
      <w:szCs w:val="20"/>
    </w:rPr>
  </w:style>
  <w:style w:type="paragraph" w:styleId="3">
    <w:name w:val="Body Text Indent"/>
    <w:basedOn w:val="1"/>
    <w:next w:val="4"/>
    <w:link w:val="57"/>
    <w:qFormat/>
    <w:uiPriority w:val="99"/>
    <w:pPr>
      <w:spacing w:line="500" w:lineRule="exact"/>
      <w:ind w:firstLine="538"/>
    </w:pPr>
    <w:rPr>
      <w:kern w:val="0"/>
      <w:sz w:val="20"/>
    </w:rPr>
  </w:style>
  <w:style w:type="paragraph" w:styleId="4">
    <w:name w:val="envelope return"/>
    <w:basedOn w:val="1"/>
    <w:next w:val="5"/>
    <w:qFormat/>
    <w:uiPriority w:val="0"/>
    <w:pPr>
      <w:snapToGrid w:val="0"/>
    </w:pPr>
    <w:rPr>
      <w:rFonts w:ascii="Arial" w:hAnsi="Arial"/>
    </w:rPr>
  </w:style>
  <w:style w:type="paragraph" w:styleId="5">
    <w:name w:val="toc 7"/>
    <w:basedOn w:val="1"/>
    <w:next w:val="1"/>
    <w:semiHidden/>
    <w:qFormat/>
    <w:uiPriority w:val="99"/>
    <w:pPr>
      <w:ind w:left="2520" w:leftChars="1200"/>
    </w:pPr>
    <w:rPr>
      <w:rFonts w:ascii="Calibri" w:hAnsi="Calibri" w:cs="Calibri"/>
    </w:rPr>
  </w:style>
  <w:style w:type="paragraph" w:styleId="6">
    <w:name w:val="List"/>
    <w:basedOn w:val="1"/>
    <w:next w:val="1"/>
    <w:qFormat/>
    <w:uiPriority w:val="99"/>
    <w:pPr>
      <w:ind w:left="420" w:hanging="420"/>
    </w:pPr>
    <w:rPr>
      <w:rFonts w:ascii="Arial" w:hAnsi="Arial" w:eastAsia="楷体_GB2312" w:cs="Arial"/>
      <w:sz w:val="28"/>
      <w:szCs w:val="28"/>
    </w:rPr>
  </w:style>
  <w:style w:type="paragraph" w:styleId="16">
    <w:name w:val="Normal Indent"/>
    <w:basedOn w:val="1"/>
    <w:qFormat/>
    <w:uiPriority w:val="99"/>
    <w:pPr>
      <w:adjustRightInd w:val="0"/>
      <w:spacing w:line="360" w:lineRule="atLeast"/>
      <w:ind w:firstLine="482"/>
      <w:textAlignment w:val="baseline"/>
    </w:pPr>
    <w:rPr>
      <w:kern w:val="0"/>
      <w:sz w:val="24"/>
      <w:szCs w:val="24"/>
    </w:rPr>
  </w:style>
  <w:style w:type="paragraph" w:styleId="17">
    <w:name w:val="caption"/>
    <w:basedOn w:val="1"/>
    <w:next w:val="1"/>
    <w:qFormat/>
    <w:uiPriority w:val="99"/>
    <w:rPr>
      <w:rFonts w:ascii="Cambria" w:hAnsi="Cambria" w:eastAsia="黑体" w:cs="Cambria"/>
      <w:sz w:val="20"/>
      <w:szCs w:val="20"/>
    </w:rPr>
  </w:style>
  <w:style w:type="paragraph" w:styleId="18">
    <w:name w:val="Document Map"/>
    <w:basedOn w:val="1"/>
    <w:link w:val="67"/>
    <w:semiHidden/>
    <w:qFormat/>
    <w:uiPriority w:val="99"/>
    <w:pPr>
      <w:shd w:val="clear" w:color="auto" w:fill="000080"/>
    </w:pPr>
    <w:rPr>
      <w:kern w:val="0"/>
      <w:sz w:val="24"/>
      <w:szCs w:val="24"/>
      <w:shd w:val="clear" w:color="auto" w:fill="000080"/>
    </w:rPr>
  </w:style>
  <w:style w:type="paragraph" w:styleId="19">
    <w:name w:val="annotation text"/>
    <w:basedOn w:val="1"/>
    <w:link w:val="68"/>
    <w:semiHidden/>
    <w:qFormat/>
    <w:uiPriority w:val="99"/>
    <w:pPr>
      <w:jc w:val="left"/>
    </w:pPr>
    <w:rPr>
      <w:sz w:val="22"/>
      <w:szCs w:val="22"/>
    </w:rPr>
  </w:style>
  <w:style w:type="paragraph" w:styleId="20">
    <w:name w:val="Body Text 3"/>
    <w:basedOn w:val="1"/>
    <w:link w:val="69"/>
    <w:qFormat/>
    <w:uiPriority w:val="99"/>
    <w:rPr>
      <w:kern w:val="0"/>
      <w:sz w:val="16"/>
      <w:szCs w:val="16"/>
    </w:rPr>
  </w:style>
  <w:style w:type="paragraph" w:styleId="21">
    <w:name w:val="Body Text"/>
    <w:basedOn w:val="1"/>
    <w:next w:val="1"/>
    <w:link w:val="70"/>
    <w:qFormat/>
    <w:uiPriority w:val="99"/>
    <w:pPr>
      <w:jc w:val="center"/>
    </w:pPr>
    <w:rPr>
      <w:b/>
      <w:bCs/>
      <w:sz w:val="44"/>
      <w:szCs w:val="44"/>
    </w:rPr>
  </w:style>
  <w:style w:type="paragraph" w:styleId="22">
    <w:name w:val="Block Text"/>
    <w:basedOn w:val="1"/>
    <w:qFormat/>
    <w:uiPriority w:val="99"/>
    <w:pPr>
      <w:spacing w:line="400" w:lineRule="exact"/>
      <w:ind w:left="-359" w:leftChars="-171" w:right="31" w:rightChars="15" w:firstLine="980" w:firstLineChars="350"/>
    </w:pPr>
    <w:rPr>
      <w:rFonts w:ascii="宋体" w:hAnsi="宋体" w:cs="宋体"/>
      <w:sz w:val="28"/>
      <w:szCs w:val="28"/>
    </w:rPr>
  </w:style>
  <w:style w:type="paragraph" w:styleId="23">
    <w:name w:val="index 4"/>
    <w:basedOn w:val="1"/>
    <w:next w:val="1"/>
    <w:semiHidden/>
    <w:qFormat/>
    <w:uiPriority w:val="99"/>
    <w:pPr>
      <w:ind w:left="600" w:leftChars="600"/>
    </w:pPr>
  </w:style>
  <w:style w:type="paragraph" w:styleId="24">
    <w:name w:val="toc 5"/>
    <w:basedOn w:val="1"/>
    <w:next w:val="1"/>
    <w:semiHidden/>
    <w:qFormat/>
    <w:uiPriority w:val="99"/>
    <w:pPr>
      <w:tabs>
        <w:tab w:val="right" w:leader="dot" w:pos="8296"/>
      </w:tabs>
      <w:ind w:left="1050" w:leftChars="500"/>
    </w:pPr>
    <w:rPr>
      <w:rFonts w:ascii="Calibri" w:hAnsi="Calibri" w:cs="Calibri"/>
    </w:rPr>
  </w:style>
  <w:style w:type="paragraph" w:styleId="25">
    <w:name w:val="toc 3"/>
    <w:basedOn w:val="1"/>
    <w:next w:val="1"/>
    <w:qFormat/>
    <w:uiPriority w:val="39"/>
    <w:pPr>
      <w:ind w:left="840" w:leftChars="400"/>
    </w:pPr>
    <w:rPr>
      <w:rFonts w:ascii="Calibri" w:hAnsi="Calibri" w:cs="Calibri"/>
    </w:rPr>
  </w:style>
  <w:style w:type="paragraph" w:styleId="26">
    <w:name w:val="Plain Text"/>
    <w:basedOn w:val="1"/>
    <w:link w:val="71"/>
    <w:qFormat/>
    <w:uiPriority w:val="99"/>
    <w:rPr>
      <w:rFonts w:ascii="宋体" w:hAnsi="Courier New"/>
      <w:kern w:val="0"/>
      <w:sz w:val="20"/>
    </w:rPr>
  </w:style>
  <w:style w:type="paragraph" w:styleId="27">
    <w:name w:val="toc 8"/>
    <w:basedOn w:val="1"/>
    <w:next w:val="1"/>
    <w:semiHidden/>
    <w:qFormat/>
    <w:uiPriority w:val="99"/>
    <w:pPr>
      <w:ind w:left="2940" w:leftChars="1400"/>
    </w:pPr>
    <w:rPr>
      <w:rFonts w:ascii="Calibri" w:hAnsi="Calibri" w:cs="Calibri"/>
    </w:rPr>
  </w:style>
  <w:style w:type="paragraph" w:styleId="28">
    <w:name w:val="Date"/>
    <w:basedOn w:val="1"/>
    <w:next w:val="1"/>
    <w:link w:val="72"/>
    <w:qFormat/>
    <w:uiPriority w:val="99"/>
    <w:rPr>
      <w:rFonts w:ascii="仿宋_GB2312" w:eastAsia="仿宋_GB2312"/>
      <w:sz w:val="30"/>
      <w:szCs w:val="30"/>
    </w:rPr>
  </w:style>
  <w:style w:type="paragraph" w:styleId="29">
    <w:name w:val="Body Text Indent 2"/>
    <w:basedOn w:val="1"/>
    <w:link w:val="73"/>
    <w:qFormat/>
    <w:uiPriority w:val="99"/>
    <w:pPr>
      <w:spacing w:line="360" w:lineRule="exact"/>
      <w:ind w:firstLine="600" w:firstLineChars="250"/>
      <w:jc w:val="left"/>
    </w:pPr>
    <w:rPr>
      <w:kern w:val="0"/>
      <w:sz w:val="20"/>
    </w:rPr>
  </w:style>
  <w:style w:type="paragraph" w:styleId="30">
    <w:name w:val="Balloon Text"/>
    <w:basedOn w:val="1"/>
    <w:link w:val="74"/>
    <w:semiHidden/>
    <w:qFormat/>
    <w:uiPriority w:val="99"/>
    <w:rPr>
      <w:kern w:val="0"/>
      <w:sz w:val="16"/>
      <w:szCs w:val="16"/>
    </w:rPr>
  </w:style>
  <w:style w:type="paragraph" w:styleId="31">
    <w:name w:val="footer"/>
    <w:basedOn w:val="1"/>
    <w:link w:val="75"/>
    <w:qFormat/>
    <w:uiPriority w:val="99"/>
    <w:pPr>
      <w:tabs>
        <w:tab w:val="center" w:pos="4153"/>
        <w:tab w:val="right" w:pos="8306"/>
      </w:tabs>
      <w:snapToGrid w:val="0"/>
      <w:jc w:val="left"/>
    </w:pPr>
    <w:rPr>
      <w:sz w:val="18"/>
      <w:szCs w:val="18"/>
    </w:rPr>
  </w:style>
  <w:style w:type="paragraph" w:styleId="32">
    <w:name w:val="header"/>
    <w:basedOn w:val="1"/>
    <w:link w:val="76"/>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296"/>
      </w:tabs>
    </w:pPr>
    <w:rPr>
      <w:rFonts w:ascii="宋体" w:eastAsia="楷体_GB2312" w:cs="宋体"/>
      <w:b/>
      <w:bCs/>
      <w:kern w:val="0"/>
      <w:sz w:val="28"/>
      <w:szCs w:val="28"/>
    </w:rPr>
  </w:style>
  <w:style w:type="paragraph" w:styleId="34">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5">
    <w:name w:val="Subtitle"/>
    <w:basedOn w:val="1"/>
    <w:next w:val="1"/>
    <w:link w:val="77"/>
    <w:qFormat/>
    <w:uiPriority w:val="99"/>
    <w:pPr>
      <w:spacing w:before="240" w:after="60" w:line="312" w:lineRule="auto"/>
      <w:jc w:val="center"/>
      <w:outlineLvl w:val="1"/>
    </w:pPr>
    <w:rPr>
      <w:rFonts w:ascii="Cambria" w:hAnsi="Cambria"/>
      <w:b/>
      <w:bCs/>
      <w:kern w:val="28"/>
      <w:sz w:val="32"/>
      <w:szCs w:val="32"/>
    </w:rPr>
  </w:style>
  <w:style w:type="paragraph" w:styleId="36">
    <w:name w:val="footnote text"/>
    <w:basedOn w:val="1"/>
    <w:link w:val="78"/>
    <w:semiHidden/>
    <w:qFormat/>
    <w:uiPriority w:val="99"/>
    <w:rPr>
      <w:kern w:val="0"/>
      <w:sz w:val="18"/>
      <w:szCs w:val="18"/>
    </w:rPr>
  </w:style>
  <w:style w:type="paragraph" w:styleId="37">
    <w:name w:val="toc 6"/>
    <w:basedOn w:val="1"/>
    <w:next w:val="1"/>
    <w:semiHidden/>
    <w:qFormat/>
    <w:uiPriority w:val="99"/>
    <w:pPr>
      <w:ind w:left="2100" w:leftChars="1000"/>
    </w:pPr>
    <w:rPr>
      <w:rFonts w:ascii="Calibri" w:hAnsi="Calibri" w:cs="Calibri"/>
    </w:rPr>
  </w:style>
  <w:style w:type="paragraph" w:styleId="38">
    <w:name w:val="Body Text Indent 3"/>
    <w:basedOn w:val="1"/>
    <w:link w:val="79"/>
    <w:qFormat/>
    <w:uiPriority w:val="99"/>
    <w:pPr>
      <w:spacing w:after="120"/>
      <w:ind w:left="420" w:leftChars="200"/>
    </w:pPr>
    <w:rPr>
      <w:kern w:val="0"/>
      <w:sz w:val="16"/>
      <w:szCs w:val="16"/>
    </w:rPr>
  </w:style>
  <w:style w:type="paragraph" w:styleId="39">
    <w:name w:val="table of figures"/>
    <w:basedOn w:val="1"/>
    <w:next w:val="1"/>
    <w:semiHidden/>
    <w:qFormat/>
    <w:uiPriority w:val="99"/>
    <w:pPr>
      <w:ind w:left="200" w:leftChars="200" w:hanging="200" w:hangingChars="200"/>
    </w:pPr>
  </w:style>
  <w:style w:type="paragraph" w:styleId="40">
    <w:name w:val="toc 2"/>
    <w:basedOn w:val="1"/>
    <w:next w:val="1"/>
    <w:qFormat/>
    <w:uiPriority w:val="39"/>
    <w:pPr>
      <w:ind w:left="420" w:leftChars="200"/>
    </w:pPr>
    <w:rPr>
      <w:rFonts w:ascii="宋体" w:cs="宋体"/>
      <w:b/>
      <w:bCs/>
      <w:sz w:val="28"/>
      <w:szCs w:val="28"/>
    </w:rPr>
  </w:style>
  <w:style w:type="paragraph" w:styleId="41">
    <w:name w:val="toc 9"/>
    <w:basedOn w:val="1"/>
    <w:next w:val="1"/>
    <w:semiHidden/>
    <w:qFormat/>
    <w:uiPriority w:val="99"/>
    <w:pPr>
      <w:ind w:left="3360" w:leftChars="1600"/>
    </w:pPr>
    <w:rPr>
      <w:rFonts w:ascii="Calibri" w:hAnsi="Calibri" w:cs="Calibri"/>
    </w:rPr>
  </w:style>
  <w:style w:type="paragraph" w:styleId="42">
    <w:name w:val="Body Text 2"/>
    <w:basedOn w:val="1"/>
    <w:link w:val="80"/>
    <w:qFormat/>
    <w:uiPriority w:val="99"/>
    <w:pPr>
      <w:spacing w:line="440" w:lineRule="exact"/>
    </w:pPr>
    <w:rPr>
      <w:kern w:val="0"/>
      <w:sz w:val="20"/>
    </w:rPr>
  </w:style>
  <w:style w:type="paragraph" w:styleId="43">
    <w:name w:val="Normal (Web)"/>
    <w:basedOn w:val="1"/>
    <w:qFormat/>
    <w:uiPriority w:val="0"/>
    <w:pPr>
      <w:widowControl/>
      <w:spacing w:before="100" w:beforeAutospacing="1" w:after="100" w:afterAutospacing="1" w:line="320" w:lineRule="atLeast"/>
      <w:jc w:val="left"/>
    </w:pPr>
    <w:rPr>
      <w:rFonts w:ascii="宋体" w:hAnsi="宋体" w:cs="宋体"/>
      <w:kern w:val="0"/>
      <w:sz w:val="18"/>
      <w:szCs w:val="18"/>
    </w:rPr>
  </w:style>
  <w:style w:type="paragraph" w:styleId="44">
    <w:name w:val="Title"/>
    <w:basedOn w:val="1"/>
    <w:next w:val="1"/>
    <w:link w:val="81"/>
    <w:qFormat/>
    <w:uiPriority w:val="99"/>
    <w:pPr>
      <w:spacing w:before="240" w:after="60"/>
      <w:jc w:val="center"/>
      <w:outlineLvl w:val="0"/>
    </w:pPr>
    <w:rPr>
      <w:rFonts w:ascii="Cambria" w:hAnsi="Cambria"/>
      <w:b/>
      <w:bCs/>
      <w:sz w:val="32"/>
      <w:szCs w:val="32"/>
    </w:rPr>
  </w:style>
  <w:style w:type="paragraph" w:styleId="45">
    <w:name w:val="annotation subject"/>
    <w:basedOn w:val="19"/>
    <w:next w:val="19"/>
    <w:link w:val="82"/>
    <w:semiHidden/>
    <w:qFormat/>
    <w:uiPriority w:val="99"/>
    <w:rPr>
      <w:rFonts w:ascii="宋体"/>
      <w:b/>
      <w:bCs/>
      <w:sz w:val="28"/>
      <w:szCs w:val="28"/>
    </w:rPr>
  </w:style>
  <w:style w:type="paragraph" w:styleId="46">
    <w:name w:val="Body Text First Indent"/>
    <w:basedOn w:val="21"/>
    <w:link w:val="83"/>
    <w:qFormat/>
    <w:uiPriority w:val="0"/>
    <w:pPr>
      <w:spacing w:after="120"/>
      <w:ind w:firstLine="420" w:firstLineChars="100"/>
      <w:jc w:val="both"/>
    </w:pPr>
    <w:rPr>
      <w:sz w:val="21"/>
      <w:szCs w:val="21"/>
    </w:rPr>
  </w:style>
  <w:style w:type="table" w:styleId="48">
    <w:name w:val="Table Grid"/>
    <w:basedOn w:val="4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99"/>
    <w:rPr>
      <w:b/>
      <w:bCs/>
    </w:rPr>
  </w:style>
  <w:style w:type="character" w:styleId="51">
    <w:name w:val="page number"/>
    <w:basedOn w:val="49"/>
    <w:qFormat/>
    <w:uiPriority w:val="99"/>
  </w:style>
  <w:style w:type="character" w:styleId="52">
    <w:name w:val="FollowedHyperlink"/>
    <w:qFormat/>
    <w:uiPriority w:val="99"/>
    <w:rPr>
      <w:color w:val="333333"/>
      <w:u w:val="none"/>
    </w:rPr>
  </w:style>
  <w:style w:type="character" w:styleId="53">
    <w:name w:val="Emphasis"/>
    <w:qFormat/>
    <w:uiPriority w:val="99"/>
    <w:rPr>
      <w:color w:val="auto"/>
    </w:rPr>
  </w:style>
  <w:style w:type="character" w:styleId="54">
    <w:name w:val="Hyperlink"/>
    <w:qFormat/>
    <w:uiPriority w:val="99"/>
    <w:rPr>
      <w:color w:val="333333"/>
      <w:u w:val="none"/>
    </w:rPr>
  </w:style>
  <w:style w:type="character" w:styleId="55">
    <w:name w:val="annotation reference"/>
    <w:semiHidden/>
    <w:qFormat/>
    <w:uiPriority w:val="99"/>
    <w:rPr>
      <w:sz w:val="21"/>
      <w:szCs w:val="21"/>
    </w:rPr>
  </w:style>
  <w:style w:type="character" w:styleId="56">
    <w:name w:val="footnote reference"/>
    <w:semiHidden/>
    <w:qFormat/>
    <w:uiPriority w:val="99"/>
    <w:rPr>
      <w:vertAlign w:val="superscript"/>
    </w:rPr>
  </w:style>
  <w:style w:type="character" w:customStyle="1" w:styleId="57">
    <w:name w:val="正文文本缩进 字符"/>
    <w:link w:val="3"/>
    <w:semiHidden/>
    <w:qFormat/>
    <w:uiPriority w:val="99"/>
    <w:rPr>
      <w:szCs w:val="21"/>
    </w:rPr>
  </w:style>
  <w:style w:type="character" w:customStyle="1" w:styleId="58">
    <w:name w:val="标题 1 字符"/>
    <w:link w:val="7"/>
    <w:qFormat/>
    <w:locked/>
    <w:uiPriority w:val="99"/>
    <w:rPr>
      <w:rFonts w:eastAsia="宋体"/>
      <w:b/>
      <w:bCs/>
      <w:kern w:val="44"/>
      <w:sz w:val="44"/>
      <w:szCs w:val="44"/>
      <w:lang w:val="en-US" w:eastAsia="zh-CN"/>
    </w:rPr>
  </w:style>
  <w:style w:type="character" w:customStyle="1" w:styleId="59">
    <w:name w:val="标题 2 字符"/>
    <w:link w:val="8"/>
    <w:qFormat/>
    <w:locked/>
    <w:uiPriority w:val="99"/>
    <w:rPr>
      <w:rFonts w:ascii="Arial" w:hAnsi="Arial" w:eastAsia="黑体" w:cs="Arial"/>
      <w:b/>
      <w:bCs/>
      <w:kern w:val="2"/>
      <w:sz w:val="32"/>
      <w:szCs w:val="32"/>
      <w:lang w:val="en-US" w:eastAsia="zh-CN"/>
    </w:rPr>
  </w:style>
  <w:style w:type="character" w:customStyle="1" w:styleId="60">
    <w:name w:val="标题 3 字符"/>
    <w:link w:val="9"/>
    <w:qFormat/>
    <w:locked/>
    <w:uiPriority w:val="99"/>
    <w:rPr>
      <w:rFonts w:eastAsia="宋体"/>
      <w:b/>
      <w:bCs/>
      <w:kern w:val="2"/>
      <w:sz w:val="32"/>
      <w:szCs w:val="32"/>
      <w:lang w:val="en-US" w:eastAsia="zh-CN"/>
    </w:rPr>
  </w:style>
  <w:style w:type="character" w:customStyle="1" w:styleId="61">
    <w:name w:val="标题 4 字符"/>
    <w:link w:val="10"/>
    <w:qFormat/>
    <w:locked/>
    <w:uiPriority w:val="99"/>
    <w:rPr>
      <w:rFonts w:ascii="Cambria" w:hAnsi="Cambria" w:eastAsia="宋体" w:cs="Cambria"/>
      <w:b/>
      <w:bCs/>
      <w:kern w:val="2"/>
      <w:sz w:val="28"/>
      <w:szCs w:val="28"/>
      <w:lang w:val="en-US" w:eastAsia="zh-CN"/>
    </w:rPr>
  </w:style>
  <w:style w:type="character" w:customStyle="1" w:styleId="62">
    <w:name w:val="标题 5 字符"/>
    <w:link w:val="11"/>
    <w:qFormat/>
    <w:locked/>
    <w:uiPriority w:val="99"/>
    <w:rPr>
      <w:rFonts w:ascii="Calibri" w:hAnsi="Calibri" w:eastAsia="宋体" w:cs="Calibri"/>
      <w:b/>
      <w:bCs/>
      <w:kern w:val="2"/>
      <w:sz w:val="28"/>
      <w:szCs w:val="28"/>
      <w:lang w:val="en-US" w:eastAsia="zh-CN"/>
    </w:rPr>
  </w:style>
  <w:style w:type="character" w:customStyle="1" w:styleId="63">
    <w:name w:val="标题 6 字符"/>
    <w:link w:val="12"/>
    <w:qFormat/>
    <w:locked/>
    <w:uiPriority w:val="99"/>
    <w:rPr>
      <w:rFonts w:ascii="Cambria" w:hAnsi="Cambria" w:eastAsia="宋体" w:cs="Cambria"/>
      <w:b/>
      <w:bCs/>
      <w:kern w:val="2"/>
      <w:sz w:val="24"/>
      <w:szCs w:val="24"/>
      <w:lang w:val="en-US" w:eastAsia="zh-CN"/>
    </w:rPr>
  </w:style>
  <w:style w:type="character" w:customStyle="1" w:styleId="64">
    <w:name w:val="标题 7 字符"/>
    <w:link w:val="13"/>
    <w:qFormat/>
    <w:locked/>
    <w:uiPriority w:val="99"/>
    <w:rPr>
      <w:rFonts w:ascii="Calibri" w:hAnsi="Calibri" w:eastAsia="宋体" w:cs="Calibri"/>
      <w:b/>
      <w:bCs/>
      <w:kern w:val="2"/>
      <w:sz w:val="24"/>
      <w:szCs w:val="24"/>
      <w:lang w:val="en-US" w:eastAsia="zh-CN"/>
    </w:rPr>
  </w:style>
  <w:style w:type="character" w:customStyle="1" w:styleId="65">
    <w:name w:val="标题 8 字符"/>
    <w:link w:val="14"/>
    <w:qFormat/>
    <w:locked/>
    <w:uiPriority w:val="99"/>
    <w:rPr>
      <w:rFonts w:ascii="Cambria" w:hAnsi="Cambria" w:eastAsia="宋体" w:cs="Cambria"/>
      <w:kern w:val="2"/>
      <w:sz w:val="24"/>
      <w:szCs w:val="24"/>
      <w:lang w:val="en-US" w:eastAsia="zh-CN"/>
    </w:rPr>
  </w:style>
  <w:style w:type="character" w:customStyle="1" w:styleId="66">
    <w:name w:val="标题 9 字符"/>
    <w:link w:val="15"/>
    <w:qFormat/>
    <w:locked/>
    <w:uiPriority w:val="99"/>
    <w:rPr>
      <w:rFonts w:ascii="Cambria" w:hAnsi="Cambria" w:eastAsia="宋体" w:cs="Cambria"/>
      <w:kern w:val="2"/>
      <w:sz w:val="21"/>
      <w:szCs w:val="21"/>
      <w:lang w:val="en-US" w:eastAsia="zh-CN"/>
    </w:rPr>
  </w:style>
  <w:style w:type="character" w:customStyle="1" w:styleId="67">
    <w:name w:val="文档结构图 字符"/>
    <w:link w:val="18"/>
    <w:qFormat/>
    <w:locked/>
    <w:uiPriority w:val="99"/>
    <w:rPr>
      <w:sz w:val="24"/>
      <w:szCs w:val="24"/>
      <w:shd w:val="clear" w:color="auto" w:fill="000080"/>
    </w:rPr>
  </w:style>
  <w:style w:type="character" w:customStyle="1" w:styleId="68">
    <w:name w:val="批注文字 字符"/>
    <w:link w:val="19"/>
    <w:qFormat/>
    <w:locked/>
    <w:uiPriority w:val="99"/>
    <w:rPr>
      <w:kern w:val="2"/>
      <w:sz w:val="22"/>
      <w:szCs w:val="22"/>
    </w:rPr>
  </w:style>
  <w:style w:type="character" w:customStyle="1" w:styleId="69">
    <w:name w:val="正文文本 3 字符"/>
    <w:link w:val="20"/>
    <w:semiHidden/>
    <w:qFormat/>
    <w:uiPriority w:val="99"/>
    <w:rPr>
      <w:sz w:val="16"/>
      <w:szCs w:val="16"/>
    </w:rPr>
  </w:style>
  <w:style w:type="character" w:customStyle="1" w:styleId="70">
    <w:name w:val="正文文本 字符"/>
    <w:link w:val="21"/>
    <w:qFormat/>
    <w:locked/>
    <w:uiPriority w:val="99"/>
    <w:rPr>
      <w:rFonts w:eastAsia="宋体"/>
      <w:b/>
      <w:bCs/>
      <w:kern w:val="2"/>
      <w:sz w:val="44"/>
      <w:szCs w:val="44"/>
      <w:lang w:val="en-US" w:eastAsia="zh-CN"/>
    </w:rPr>
  </w:style>
  <w:style w:type="character" w:customStyle="1" w:styleId="71">
    <w:name w:val="纯文本 字符"/>
    <w:link w:val="26"/>
    <w:semiHidden/>
    <w:qFormat/>
    <w:uiPriority w:val="99"/>
    <w:rPr>
      <w:rFonts w:ascii="宋体" w:hAnsi="Courier New" w:cs="Courier New"/>
      <w:szCs w:val="21"/>
    </w:rPr>
  </w:style>
  <w:style w:type="character" w:customStyle="1" w:styleId="72">
    <w:name w:val="日期 字符"/>
    <w:link w:val="28"/>
    <w:qFormat/>
    <w:locked/>
    <w:uiPriority w:val="99"/>
    <w:rPr>
      <w:rFonts w:ascii="仿宋_GB2312" w:eastAsia="仿宋_GB2312" w:cs="仿宋_GB2312"/>
      <w:kern w:val="2"/>
      <w:sz w:val="30"/>
      <w:szCs w:val="30"/>
      <w:lang w:val="en-US" w:eastAsia="zh-CN"/>
    </w:rPr>
  </w:style>
  <w:style w:type="character" w:customStyle="1" w:styleId="73">
    <w:name w:val="正文文本缩进 2 字符"/>
    <w:link w:val="29"/>
    <w:semiHidden/>
    <w:qFormat/>
    <w:uiPriority w:val="99"/>
    <w:rPr>
      <w:szCs w:val="21"/>
    </w:rPr>
  </w:style>
  <w:style w:type="character" w:customStyle="1" w:styleId="74">
    <w:name w:val="批注框文本 字符"/>
    <w:link w:val="30"/>
    <w:semiHidden/>
    <w:qFormat/>
    <w:uiPriority w:val="99"/>
    <w:rPr>
      <w:sz w:val="16"/>
      <w:szCs w:val="0"/>
    </w:rPr>
  </w:style>
  <w:style w:type="character" w:customStyle="1" w:styleId="75">
    <w:name w:val="页脚 字符"/>
    <w:link w:val="31"/>
    <w:qFormat/>
    <w:locked/>
    <w:uiPriority w:val="99"/>
    <w:rPr>
      <w:rFonts w:eastAsia="宋体"/>
      <w:kern w:val="2"/>
      <w:sz w:val="18"/>
      <w:szCs w:val="18"/>
      <w:lang w:val="en-US" w:eastAsia="zh-CN"/>
    </w:rPr>
  </w:style>
  <w:style w:type="character" w:customStyle="1" w:styleId="76">
    <w:name w:val="页眉 字符"/>
    <w:link w:val="32"/>
    <w:qFormat/>
    <w:locked/>
    <w:uiPriority w:val="0"/>
    <w:rPr>
      <w:rFonts w:eastAsia="宋体"/>
      <w:kern w:val="2"/>
      <w:sz w:val="18"/>
      <w:szCs w:val="18"/>
      <w:lang w:val="en-US" w:eastAsia="zh-CN"/>
    </w:rPr>
  </w:style>
  <w:style w:type="character" w:customStyle="1" w:styleId="77">
    <w:name w:val="副标题 字符"/>
    <w:link w:val="35"/>
    <w:qFormat/>
    <w:locked/>
    <w:uiPriority w:val="99"/>
    <w:rPr>
      <w:rFonts w:ascii="Cambria" w:hAnsi="Cambria" w:cs="Cambria"/>
      <w:b/>
      <w:bCs/>
      <w:kern w:val="28"/>
      <w:sz w:val="32"/>
      <w:szCs w:val="32"/>
    </w:rPr>
  </w:style>
  <w:style w:type="character" w:customStyle="1" w:styleId="78">
    <w:name w:val="脚注文本 字符"/>
    <w:link w:val="36"/>
    <w:semiHidden/>
    <w:qFormat/>
    <w:uiPriority w:val="99"/>
    <w:rPr>
      <w:sz w:val="18"/>
      <w:szCs w:val="18"/>
    </w:rPr>
  </w:style>
  <w:style w:type="character" w:customStyle="1" w:styleId="79">
    <w:name w:val="正文文本缩进 3 字符"/>
    <w:link w:val="38"/>
    <w:semiHidden/>
    <w:qFormat/>
    <w:uiPriority w:val="99"/>
    <w:rPr>
      <w:sz w:val="16"/>
      <w:szCs w:val="16"/>
    </w:rPr>
  </w:style>
  <w:style w:type="character" w:customStyle="1" w:styleId="80">
    <w:name w:val="正文文本 2 字符"/>
    <w:link w:val="42"/>
    <w:semiHidden/>
    <w:qFormat/>
    <w:uiPriority w:val="99"/>
    <w:rPr>
      <w:szCs w:val="21"/>
    </w:rPr>
  </w:style>
  <w:style w:type="character" w:customStyle="1" w:styleId="81">
    <w:name w:val="标题 字符"/>
    <w:link w:val="44"/>
    <w:qFormat/>
    <w:locked/>
    <w:uiPriority w:val="99"/>
    <w:rPr>
      <w:rFonts w:ascii="Cambria" w:hAnsi="Cambria" w:cs="Cambria"/>
      <w:b/>
      <w:bCs/>
      <w:kern w:val="2"/>
      <w:sz w:val="32"/>
      <w:szCs w:val="32"/>
    </w:rPr>
  </w:style>
  <w:style w:type="character" w:customStyle="1" w:styleId="82">
    <w:name w:val="批注主题 字符"/>
    <w:link w:val="45"/>
    <w:qFormat/>
    <w:locked/>
    <w:uiPriority w:val="99"/>
    <w:rPr>
      <w:rFonts w:ascii="宋体" w:cs="宋体"/>
      <w:b/>
      <w:bCs/>
      <w:kern w:val="2"/>
      <w:sz w:val="28"/>
      <w:szCs w:val="28"/>
    </w:rPr>
  </w:style>
  <w:style w:type="character" w:customStyle="1" w:styleId="83">
    <w:name w:val="正文文本首行缩进 字符"/>
    <w:link w:val="46"/>
    <w:qFormat/>
    <w:uiPriority w:val="0"/>
    <w:rPr>
      <w:rFonts w:eastAsia="宋体"/>
      <w:b/>
      <w:bCs/>
      <w:kern w:val="2"/>
      <w:sz w:val="21"/>
      <w:szCs w:val="21"/>
      <w:lang w:val="en-US" w:eastAsia="zh-CN"/>
    </w:rPr>
  </w:style>
  <w:style w:type="character" w:customStyle="1" w:styleId="84">
    <w:name w:val="标题4 Char Char"/>
    <w:link w:val="85"/>
    <w:qFormat/>
    <w:locked/>
    <w:uiPriority w:val="99"/>
    <w:rPr>
      <w:rFonts w:ascii="Arial" w:hAnsi="Arial" w:cs="Arial"/>
      <w:b/>
      <w:bCs/>
      <w:sz w:val="32"/>
      <w:szCs w:val="32"/>
    </w:rPr>
  </w:style>
  <w:style w:type="paragraph" w:customStyle="1" w:styleId="85">
    <w:name w:val="标题4"/>
    <w:basedOn w:val="8"/>
    <w:next w:val="23"/>
    <w:link w:val="84"/>
    <w:qFormat/>
    <w:uiPriority w:val="99"/>
    <w:pPr>
      <w:spacing w:line="413" w:lineRule="auto"/>
    </w:pPr>
    <w:rPr>
      <w:rFonts w:eastAsia="宋体"/>
      <w:kern w:val="0"/>
    </w:rPr>
  </w:style>
  <w:style w:type="character" w:customStyle="1" w:styleId="86">
    <w:name w:val="不明显强调1"/>
    <w:qFormat/>
    <w:uiPriority w:val="99"/>
    <w:rPr>
      <w:i/>
      <w:iCs/>
      <w:color w:val="808080"/>
    </w:rPr>
  </w:style>
  <w:style w:type="character" w:customStyle="1" w:styleId="87">
    <w:name w:val="font81"/>
    <w:qFormat/>
    <w:uiPriority w:val="0"/>
    <w:rPr>
      <w:rFonts w:hint="eastAsia" w:ascii="宋体" w:hAnsi="宋体" w:eastAsia="宋体" w:cs="宋体"/>
      <w:b/>
      <w:color w:val="000000"/>
      <w:sz w:val="22"/>
      <w:szCs w:val="22"/>
      <w:u w:val="none"/>
    </w:rPr>
  </w:style>
  <w:style w:type="character" w:customStyle="1" w:styleId="88">
    <w:name w:val="明显引用 Char"/>
    <w:link w:val="89"/>
    <w:qFormat/>
    <w:locked/>
    <w:uiPriority w:val="99"/>
    <w:rPr>
      <w:b/>
      <w:bCs/>
      <w:i/>
      <w:iCs/>
      <w:color w:val="4F81BD"/>
      <w:kern w:val="2"/>
      <w:sz w:val="22"/>
      <w:szCs w:val="22"/>
    </w:rPr>
  </w:style>
  <w:style w:type="paragraph" w:customStyle="1" w:styleId="89">
    <w:name w:val="明显引用1"/>
    <w:basedOn w:val="1"/>
    <w:next w:val="1"/>
    <w:link w:val="88"/>
    <w:qFormat/>
    <w:uiPriority w:val="99"/>
    <w:pPr>
      <w:pBdr>
        <w:bottom w:val="single" w:color="4F81BD" w:sz="4" w:space="4"/>
      </w:pBdr>
      <w:spacing w:before="200" w:after="280"/>
      <w:ind w:left="936" w:right="936"/>
    </w:pPr>
    <w:rPr>
      <w:b/>
      <w:bCs/>
      <w:i/>
      <w:iCs/>
      <w:color w:val="4F81BD"/>
      <w:sz w:val="22"/>
      <w:szCs w:val="22"/>
    </w:rPr>
  </w:style>
  <w:style w:type="character" w:customStyle="1" w:styleId="90">
    <w:name w:val="批注主题 Char1"/>
    <w:qFormat/>
    <w:uiPriority w:val="99"/>
    <w:rPr>
      <w:b/>
      <w:bCs/>
      <w:kern w:val="2"/>
      <w:sz w:val="22"/>
      <w:szCs w:val="22"/>
    </w:rPr>
  </w:style>
  <w:style w:type="character" w:customStyle="1" w:styleId="91">
    <w:name w:val="标题 1 Char Char"/>
    <w:qFormat/>
    <w:locked/>
    <w:uiPriority w:val="99"/>
    <w:rPr>
      <w:rFonts w:eastAsia="宋体"/>
      <w:b/>
      <w:bCs/>
      <w:kern w:val="44"/>
      <w:sz w:val="44"/>
      <w:szCs w:val="44"/>
      <w:lang w:val="en-US" w:eastAsia="zh-CN"/>
    </w:rPr>
  </w:style>
  <w:style w:type="character" w:customStyle="1" w:styleId="92">
    <w:name w:val="news_title1"/>
    <w:qFormat/>
    <w:uiPriority w:val="99"/>
    <w:rPr>
      <w:rFonts w:ascii="宋体" w:hAnsi="宋体" w:eastAsia="宋体" w:cs="宋体"/>
      <w:b/>
      <w:bCs/>
      <w:color w:val="000000"/>
      <w:sz w:val="36"/>
      <w:szCs w:val="36"/>
      <w:u w:val="none"/>
    </w:rPr>
  </w:style>
  <w:style w:type="character" w:customStyle="1" w:styleId="93">
    <w:name w:val="font21"/>
    <w:qFormat/>
    <w:uiPriority w:val="0"/>
    <w:rPr>
      <w:rFonts w:hint="eastAsia" w:ascii="宋体" w:hAnsi="宋体" w:eastAsia="宋体" w:cs="宋体"/>
      <w:color w:val="000000"/>
      <w:sz w:val="20"/>
      <w:szCs w:val="20"/>
      <w:u w:val="none"/>
    </w:rPr>
  </w:style>
  <w:style w:type="character" w:customStyle="1" w:styleId="94">
    <w:name w:val="日期 Char"/>
    <w:qFormat/>
    <w:uiPriority w:val="99"/>
    <w:rPr>
      <w:rFonts w:ascii="仿宋_GB2312" w:eastAsia="仿宋_GB2312" w:cs="仿宋_GB2312"/>
      <w:kern w:val="2"/>
      <w:sz w:val="30"/>
      <w:szCs w:val="30"/>
      <w:lang w:val="en-US" w:eastAsia="zh-CN"/>
    </w:rPr>
  </w:style>
  <w:style w:type="character" w:customStyle="1" w:styleId="95">
    <w:name w:val="font11"/>
    <w:qFormat/>
    <w:uiPriority w:val="0"/>
    <w:rPr>
      <w:rFonts w:ascii="黑体" w:hAnsi="宋体" w:eastAsia="黑体" w:cs="黑体"/>
      <w:b/>
      <w:color w:val="000000"/>
      <w:sz w:val="22"/>
      <w:szCs w:val="22"/>
      <w:u w:val="none"/>
    </w:rPr>
  </w:style>
  <w:style w:type="character" w:customStyle="1" w:styleId="96">
    <w:name w:val="textcontents"/>
    <w:qFormat/>
    <w:uiPriority w:val="99"/>
  </w:style>
  <w:style w:type="character" w:customStyle="1" w:styleId="97">
    <w:name w:val="批注框文本 Char1"/>
    <w:qFormat/>
    <w:uiPriority w:val="99"/>
    <w:rPr>
      <w:kern w:val="2"/>
      <w:sz w:val="18"/>
      <w:szCs w:val="18"/>
    </w:rPr>
  </w:style>
  <w:style w:type="character" w:customStyle="1" w:styleId="98">
    <w:name w:val="bigfont"/>
    <w:basedOn w:val="49"/>
    <w:qFormat/>
    <w:uiPriority w:val="99"/>
  </w:style>
  <w:style w:type="character" w:customStyle="1" w:styleId="99">
    <w:name w:val="Char Char"/>
    <w:qFormat/>
    <w:uiPriority w:val="99"/>
    <w:rPr>
      <w:rFonts w:ascii="Arial" w:hAnsi="Arial" w:eastAsia="黑体" w:cs="Arial"/>
      <w:b/>
      <w:bCs/>
      <w:kern w:val="2"/>
      <w:sz w:val="32"/>
      <w:szCs w:val="32"/>
      <w:lang w:val="en-US" w:eastAsia="zh-CN"/>
    </w:rPr>
  </w:style>
  <w:style w:type="character" w:customStyle="1" w:styleId="100">
    <w:name w:val="不明显参考1"/>
    <w:qFormat/>
    <w:uiPriority w:val="99"/>
    <w:rPr>
      <w:smallCaps/>
      <w:color w:val="auto"/>
      <w:u w:val="single"/>
    </w:rPr>
  </w:style>
  <w:style w:type="character" w:customStyle="1" w:styleId="101">
    <w:name w:val="正文文本 Char1"/>
    <w:qFormat/>
    <w:uiPriority w:val="99"/>
    <w:rPr>
      <w:kern w:val="2"/>
      <w:sz w:val="22"/>
      <w:szCs w:val="22"/>
    </w:rPr>
  </w:style>
  <w:style w:type="character" w:customStyle="1" w:styleId="102">
    <w:name w:val="font01"/>
    <w:qFormat/>
    <w:uiPriority w:val="0"/>
    <w:rPr>
      <w:rFonts w:hint="eastAsia" w:ascii="宋体" w:hAnsi="宋体" w:eastAsia="宋体" w:cs="宋体"/>
      <w:b/>
      <w:color w:val="FF0000"/>
      <w:sz w:val="20"/>
      <w:szCs w:val="20"/>
      <w:u w:val="single"/>
    </w:rPr>
  </w:style>
  <w:style w:type="character" w:customStyle="1" w:styleId="103">
    <w:name w:val="文档结构图 Char1"/>
    <w:qFormat/>
    <w:uiPriority w:val="99"/>
    <w:rPr>
      <w:rFonts w:ascii="宋体" w:cs="宋体"/>
      <w:kern w:val="2"/>
      <w:sz w:val="18"/>
      <w:szCs w:val="18"/>
    </w:rPr>
  </w:style>
  <w:style w:type="character" w:customStyle="1" w:styleId="104">
    <w:name w:val="标题 2 Char Char"/>
    <w:qFormat/>
    <w:locked/>
    <w:uiPriority w:val="99"/>
    <w:rPr>
      <w:rFonts w:ascii="Arial" w:hAnsi="Arial" w:eastAsia="黑体" w:cs="Arial"/>
      <w:b/>
      <w:bCs/>
      <w:kern w:val="2"/>
      <w:sz w:val="32"/>
      <w:szCs w:val="32"/>
      <w:lang w:val="en-US" w:eastAsia="zh-CN"/>
    </w:rPr>
  </w:style>
  <w:style w:type="character" w:customStyle="1" w:styleId="105">
    <w:name w:val="标题5 Char Char"/>
    <w:link w:val="106"/>
    <w:qFormat/>
    <w:locked/>
    <w:uiPriority w:val="99"/>
    <w:rPr>
      <w:rFonts w:ascii="Arial" w:hAnsi="Arial" w:cs="Arial"/>
      <w:b/>
      <w:bCs/>
      <w:sz w:val="32"/>
      <w:szCs w:val="32"/>
    </w:rPr>
  </w:style>
  <w:style w:type="paragraph" w:customStyle="1" w:styleId="106">
    <w:name w:val="标题5"/>
    <w:basedOn w:val="9"/>
    <w:link w:val="105"/>
    <w:qFormat/>
    <w:uiPriority w:val="99"/>
    <w:pPr>
      <w:spacing w:line="413" w:lineRule="auto"/>
    </w:pPr>
    <w:rPr>
      <w:rFonts w:ascii="Arial" w:hAnsi="Arial"/>
      <w:kern w:val="0"/>
    </w:rPr>
  </w:style>
  <w:style w:type="character" w:customStyle="1" w:styleId="107">
    <w:name w:val="明显强调1"/>
    <w:qFormat/>
    <w:uiPriority w:val="99"/>
    <w:rPr>
      <w:b/>
      <w:bCs/>
      <w:i/>
      <w:iCs/>
      <w:color w:val="4F81BD"/>
    </w:rPr>
  </w:style>
  <w:style w:type="character" w:customStyle="1" w:styleId="108">
    <w:name w:val="批注文字 Char Char"/>
    <w:qFormat/>
    <w:uiPriority w:val="99"/>
    <w:rPr>
      <w:rFonts w:ascii="宋体" w:hAnsi="Times New Roman" w:eastAsia="宋体" w:cs="宋体"/>
      <w:sz w:val="20"/>
      <w:szCs w:val="20"/>
    </w:rPr>
  </w:style>
  <w:style w:type="character" w:customStyle="1" w:styleId="109">
    <w:name w:val="明显参考1"/>
    <w:qFormat/>
    <w:uiPriority w:val="99"/>
    <w:rPr>
      <w:b/>
      <w:bCs/>
      <w:smallCaps/>
      <w:color w:val="auto"/>
      <w:spacing w:val="5"/>
      <w:u w:val="single"/>
    </w:rPr>
  </w:style>
  <w:style w:type="character" w:customStyle="1" w:styleId="110">
    <w:name w:val="font101"/>
    <w:qFormat/>
    <w:uiPriority w:val="0"/>
    <w:rPr>
      <w:rFonts w:hint="eastAsia" w:ascii="仿宋" w:hAnsi="仿宋" w:eastAsia="仿宋" w:cs="仿宋"/>
      <w:b/>
      <w:color w:val="000000"/>
      <w:sz w:val="22"/>
      <w:szCs w:val="22"/>
      <w:u w:val="none"/>
    </w:rPr>
  </w:style>
  <w:style w:type="character" w:customStyle="1" w:styleId="111">
    <w:name w:val="font161"/>
    <w:qFormat/>
    <w:uiPriority w:val="99"/>
    <w:rPr>
      <w:b/>
      <w:bCs/>
      <w:sz w:val="32"/>
      <w:szCs w:val="32"/>
    </w:rPr>
  </w:style>
  <w:style w:type="character" w:customStyle="1" w:styleId="112">
    <w:name w:val="日期 Char1"/>
    <w:qFormat/>
    <w:uiPriority w:val="99"/>
    <w:rPr>
      <w:kern w:val="2"/>
      <w:sz w:val="22"/>
      <w:szCs w:val="22"/>
    </w:rPr>
  </w:style>
  <w:style w:type="character" w:customStyle="1" w:styleId="113">
    <w:name w:val="font71"/>
    <w:qFormat/>
    <w:uiPriority w:val="0"/>
    <w:rPr>
      <w:rFonts w:hint="eastAsia" w:ascii="仿宋" w:hAnsi="仿宋" w:eastAsia="仿宋" w:cs="仿宋"/>
      <w:color w:val="000000"/>
      <w:sz w:val="22"/>
      <w:szCs w:val="22"/>
      <w:u w:val="none"/>
    </w:rPr>
  </w:style>
  <w:style w:type="character" w:customStyle="1" w:styleId="114">
    <w:name w:val="书籍标题1"/>
    <w:qFormat/>
    <w:uiPriority w:val="99"/>
    <w:rPr>
      <w:b/>
      <w:bCs/>
      <w:smallCaps/>
      <w:spacing w:val="5"/>
    </w:rPr>
  </w:style>
  <w:style w:type="character" w:customStyle="1" w:styleId="115">
    <w:name w:val="Char Char1"/>
    <w:qFormat/>
    <w:uiPriority w:val="99"/>
    <w:rPr>
      <w:rFonts w:ascii="宋体" w:hAnsi="Times New Roman" w:cs="宋体"/>
      <w:sz w:val="28"/>
      <w:szCs w:val="28"/>
    </w:rPr>
  </w:style>
  <w:style w:type="character" w:customStyle="1" w:styleId="116">
    <w:name w:val="引用 Char"/>
    <w:link w:val="117"/>
    <w:qFormat/>
    <w:locked/>
    <w:uiPriority w:val="99"/>
    <w:rPr>
      <w:i/>
      <w:iCs/>
      <w:color w:val="000000"/>
      <w:kern w:val="2"/>
      <w:sz w:val="22"/>
      <w:szCs w:val="22"/>
    </w:rPr>
  </w:style>
  <w:style w:type="paragraph" w:customStyle="1" w:styleId="117">
    <w:name w:val="引用1"/>
    <w:basedOn w:val="1"/>
    <w:next w:val="1"/>
    <w:link w:val="116"/>
    <w:qFormat/>
    <w:uiPriority w:val="99"/>
    <w:rPr>
      <w:i/>
      <w:iCs/>
      <w:color w:val="000000"/>
      <w:sz w:val="22"/>
      <w:szCs w:val="22"/>
    </w:rPr>
  </w:style>
  <w:style w:type="paragraph" w:customStyle="1" w:styleId="118">
    <w:name w:val="Blockquote"/>
    <w:basedOn w:val="1"/>
    <w:qFormat/>
    <w:uiPriority w:val="0"/>
    <w:pPr>
      <w:autoSpaceDE w:val="0"/>
      <w:autoSpaceDN w:val="0"/>
      <w:adjustRightInd w:val="0"/>
      <w:spacing w:before="100" w:after="100"/>
      <w:ind w:left="360" w:right="360"/>
      <w:jc w:val="left"/>
    </w:pPr>
    <w:rPr>
      <w:kern w:val="0"/>
      <w:sz w:val="24"/>
      <w:szCs w:val="24"/>
    </w:rPr>
  </w:style>
  <w:style w:type="paragraph" w:customStyle="1" w:styleId="119">
    <w:name w:val="样式3"/>
    <w:basedOn w:val="9"/>
    <w:qFormat/>
    <w:uiPriority w:val="99"/>
    <w:pPr>
      <w:spacing w:line="413" w:lineRule="auto"/>
    </w:pPr>
  </w:style>
  <w:style w:type="paragraph" w:customStyle="1" w:styleId="120">
    <w:name w:val="样式1"/>
    <w:basedOn w:val="9"/>
    <w:qFormat/>
    <w:uiPriority w:val="99"/>
    <w:pPr>
      <w:spacing w:line="413" w:lineRule="auto"/>
    </w:pPr>
  </w:style>
  <w:style w:type="paragraph" w:customStyle="1" w:styleId="121">
    <w:name w:val="样式4"/>
    <w:basedOn w:val="9"/>
    <w:qFormat/>
    <w:uiPriority w:val="99"/>
    <w:pPr>
      <w:spacing w:line="413" w:lineRule="auto"/>
    </w:pPr>
  </w:style>
  <w:style w:type="paragraph" w:customStyle="1" w:styleId="122">
    <w:name w:val="Char"/>
    <w:basedOn w:val="1"/>
    <w:next w:val="1"/>
    <w:qFormat/>
    <w:uiPriority w:val="99"/>
    <w:pPr>
      <w:widowControl/>
      <w:spacing w:line="360" w:lineRule="auto"/>
      <w:jc w:val="left"/>
    </w:pPr>
    <w:rPr>
      <w:kern w:val="0"/>
      <w:lang w:eastAsia="en-US"/>
    </w:rPr>
  </w:style>
  <w:style w:type="paragraph" w:customStyle="1" w:styleId="123">
    <w:name w:val="样式 标题 2 + Times New Roman 四号 非加粗 段前: 5 磅 段后: 0 磅 行距: 固定值 20..."/>
    <w:basedOn w:val="8"/>
    <w:qFormat/>
    <w:uiPriority w:val="99"/>
    <w:pPr>
      <w:spacing w:before="100" w:after="0" w:line="400" w:lineRule="exact"/>
    </w:pPr>
    <w:rPr>
      <w:rFonts w:ascii="Times New Roman" w:hAnsi="Times New Roman"/>
      <w:b w:val="0"/>
      <w:bCs w:val="0"/>
      <w:kern w:val="0"/>
      <w:sz w:val="28"/>
      <w:szCs w:val="28"/>
    </w:rPr>
  </w:style>
  <w:style w:type="paragraph" w:customStyle="1" w:styleId="124">
    <w:name w:val="表格"/>
    <w:basedOn w:val="1"/>
    <w:qFormat/>
    <w:uiPriority w:val="99"/>
    <w:pPr>
      <w:jc w:val="center"/>
      <w:textAlignment w:val="center"/>
    </w:pPr>
    <w:rPr>
      <w:rFonts w:ascii="华文细黑" w:hAnsi="华文细黑" w:cs="华文细黑"/>
      <w:kern w:val="0"/>
    </w:rPr>
  </w:style>
  <w:style w:type="paragraph" w:customStyle="1" w:styleId="125">
    <w:name w:val="修订1"/>
    <w:qFormat/>
    <w:uiPriority w:val="99"/>
    <w:rPr>
      <w:rFonts w:ascii="Times New Roman" w:hAnsi="Times New Roman" w:eastAsia="宋体" w:cs="Times New Roman"/>
      <w:kern w:val="2"/>
      <w:sz w:val="21"/>
      <w:szCs w:val="21"/>
      <w:lang w:val="en-US" w:eastAsia="zh-CN" w:bidi="ar-SA"/>
    </w:rPr>
  </w:style>
  <w:style w:type="paragraph" w:customStyle="1" w:styleId="126">
    <w:name w:val="列出段落1"/>
    <w:basedOn w:val="1"/>
    <w:qFormat/>
    <w:uiPriority w:val="99"/>
    <w:pPr>
      <w:ind w:firstLine="420" w:firstLineChars="200"/>
    </w:pPr>
    <w:rPr>
      <w:rFonts w:ascii="Calibri" w:hAnsi="Calibri" w:cs="Calibri"/>
    </w:rPr>
  </w:style>
  <w:style w:type="paragraph" w:styleId="127">
    <w:name w:val="List Paragraph"/>
    <w:basedOn w:val="1"/>
    <w:qFormat/>
    <w:uiPriority w:val="0"/>
    <w:pPr>
      <w:ind w:firstLine="420" w:firstLineChars="200"/>
    </w:pPr>
    <w:rPr>
      <w:szCs w:val="24"/>
    </w:rPr>
  </w:style>
  <w:style w:type="paragraph" w:customStyle="1" w:styleId="128">
    <w:name w:val="表格文字"/>
    <w:basedOn w:val="1"/>
    <w:qFormat/>
    <w:uiPriority w:val="99"/>
    <w:pPr>
      <w:adjustRightInd w:val="0"/>
      <w:spacing w:line="420" w:lineRule="atLeast"/>
      <w:jc w:val="left"/>
      <w:textAlignment w:val="baseline"/>
    </w:pPr>
    <w:rPr>
      <w:kern w:val="0"/>
    </w:rPr>
  </w:style>
  <w:style w:type="paragraph" w:customStyle="1" w:styleId="129">
    <w:name w:val="Char Char Char Char Char Char Char Char Char Char Char Char Char"/>
    <w:basedOn w:val="1"/>
    <w:qFormat/>
    <w:uiPriority w:val="99"/>
  </w:style>
  <w:style w:type="paragraph" w:customStyle="1" w:styleId="130">
    <w:name w:val="1"/>
    <w:basedOn w:val="1"/>
    <w:next w:val="1"/>
    <w:qFormat/>
    <w:uiPriority w:val="99"/>
  </w:style>
  <w:style w:type="paragraph" w:customStyle="1" w:styleId="13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2">
    <w:name w:val="样式 标题 1 + 黑体 三号 非加粗 居中 段前: 6 磅 段后: 6 磅 行距: 固定值 20 磅"/>
    <w:basedOn w:val="7"/>
    <w:qFormat/>
    <w:uiPriority w:val="99"/>
    <w:pPr>
      <w:spacing w:before="120" w:after="120" w:line="400" w:lineRule="exact"/>
      <w:jc w:val="center"/>
    </w:pPr>
    <w:rPr>
      <w:rFonts w:ascii="黑体" w:hAnsi="黑体" w:eastAsia="黑体" w:cs="黑体"/>
      <w:b w:val="0"/>
      <w:bCs w:val="0"/>
      <w:sz w:val="32"/>
      <w:szCs w:val="32"/>
    </w:rPr>
  </w:style>
  <w:style w:type="paragraph" w:customStyle="1" w:styleId="133">
    <w:name w:val="TOC 标题1"/>
    <w:basedOn w:val="7"/>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34">
    <w:name w:val="样式2"/>
    <w:basedOn w:val="9"/>
    <w:qFormat/>
    <w:uiPriority w:val="99"/>
    <w:pPr>
      <w:spacing w:line="413" w:lineRule="auto"/>
    </w:pPr>
  </w:style>
  <w:style w:type="paragraph" w:customStyle="1" w:styleId="135">
    <w:name w:val="6'"/>
    <w:basedOn w:val="1"/>
    <w:qFormat/>
    <w:uiPriority w:val="99"/>
    <w:pPr>
      <w:autoSpaceDE w:val="0"/>
      <w:autoSpaceDN w:val="0"/>
      <w:adjustRightInd w:val="0"/>
      <w:snapToGrid w:val="0"/>
      <w:spacing w:line="320" w:lineRule="exact"/>
      <w:jc w:val="center"/>
      <w:textAlignment w:val="baseline"/>
    </w:pPr>
    <w:rPr>
      <w:spacing w:val="20"/>
      <w:kern w:val="28"/>
    </w:rPr>
  </w:style>
  <w:style w:type="paragraph" w:customStyle="1" w:styleId="136">
    <w:name w:val="Char1"/>
    <w:basedOn w:val="1"/>
    <w:qFormat/>
    <w:uiPriority w:val="99"/>
    <w:rPr>
      <w:rFonts w:ascii="Tahoma" w:hAnsi="Tahoma" w:cs="Tahoma"/>
      <w:sz w:val="24"/>
      <w:szCs w:val="24"/>
    </w:rPr>
  </w:style>
  <w:style w:type="paragraph" w:customStyle="1" w:styleId="137">
    <w:name w:val="列出段落2"/>
    <w:basedOn w:val="1"/>
    <w:qFormat/>
    <w:uiPriority w:val="99"/>
    <w:pPr>
      <w:ind w:firstLine="420" w:firstLineChars="200"/>
    </w:pPr>
    <w:rPr>
      <w:szCs w:val="20"/>
    </w:rPr>
  </w:style>
  <w:style w:type="paragraph" w:customStyle="1" w:styleId="138">
    <w:name w:val="样式 标题 3 + (中文) 黑体 小四 非加粗 段前: 7.8 磅 段后: 0 磅 行距: 固定值 20 磅"/>
    <w:basedOn w:val="9"/>
    <w:qFormat/>
    <w:uiPriority w:val="99"/>
    <w:pPr>
      <w:spacing w:before="0" w:after="0" w:line="400" w:lineRule="exact"/>
    </w:pPr>
    <w:rPr>
      <w:rFonts w:eastAsia="黑体"/>
      <w:b w:val="0"/>
      <w:bCs w:val="0"/>
      <w:sz w:val="24"/>
      <w:szCs w:val="24"/>
    </w:rPr>
  </w:style>
  <w:style w:type="paragraph" w:customStyle="1" w:styleId="139">
    <w:name w:val="Char Char Char Char Char Char Char Char Char Char Char Char Char1"/>
    <w:basedOn w:val="18"/>
    <w:qFormat/>
    <w:uiPriority w:val="99"/>
    <w:rPr>
      <w:rFonts w:ascii="Tahoma" w:hAnsi="Tahoma" w:cs="Tahoma"/>
      <w:shd w:val="clear" w:color="auto" w:fill="auto"/>
    </w:rPr>
  </w:style>
  <w:style w:type="paragraph" w:customStyle="1" w:styleId="140">
    <w:name w:val="TOC 标题11"/>
    <w:basedOn w:val="7"/>
    <w:next w:val="1"/>
    <w:qFormat/>
    <w:uiPriority w:val="99"/>
    <w:pPr>
      <w:spacing w:line="576" w:lineRule="auto"/>
      <w:outlineLvl w:val="9"/>
    </w:pPr>
    <w:rPr>
      <w:rFonts w:ascii="Calibri" w:hAnsi="Calibri" w:cs="Calibri"/>
    </w:rPr>
  </w:style>
  <w:style w:type="paragraph" w:customStyle="1" w:styleId="141">
    <w:name w:val="正文首行缩进两字符"/>
    <w:basedOn w:val="1"/>
    <w:qFormat/>
    <w:uiPriority w:val="0"/>
    <w:pPr>
      <w:spacing w:line="360" w:lineRule="auto"/>
      <w:ind w:firstLine="200" w:firstLineChars="200"/>
    </w:pPr>
    <w:rPr>
      <w:szCs w:val="24"/>
    </w:rPr>
  </w:style>
  <w:style w:type="paragraph" w:customStyle="1" w:styleId="142">
    <w:name w:val="正文1"/>
    <w:qFormat/>
    <w:uiPriority w:val="99"/>
    <w:pPr>
      <w:widowControl w:val="0"/>
      <w:adjustRightInd w:val="0"/>
      <w:spacing w:line="312" w:lineRule="atLeast"/>
      <w:jc w:val="both"/>
      <w:textAlignment w:val="baseline"/>
    </w:pPr>
    <w:rPr>
      <w:rFonts w:ascii="宋体" w:hAnsi="Times New Roman" w:eastAsia="宋体" w:cs="宋体"/>
      <w:sz w:val="24"/>
      <w:szCs w:val="24"/>
      <w:lang w:val="en-US" w:eastAsia="zh-CN" w:bidi="ar-SA"/>
    </w:rPr>
  </w:style>
  <w:style w:type="paragraph" w:customStyle="1" w:styleId="143">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144">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45">
    <w:name w:val="默认段落字体 Para Char Char Char Char"/>
    <w:basedOn w:val="1"/>
    <w:qFormat/>
    <w:uiPriority w:val="99"/>
  </w:style>
  <w:style w:type="paragraph" w:customStyle="1" w:styleId="146">
    <w:name w:val="无间隔1"/>
    <w:qFormat/>
    <w:uiPriority w:val="99"/>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4"/>
    <customShpInfo spid="_x0000_s307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3944</Words>
  <Characters>22486</Characters>
  <Lines>187</Lines>
  <Paragraphs>52</Paragraphs>
  <TotalTime>34</TotalTime>
  <ScaleCrop>false</ScaleCrop>
  <LinksUpToDate>false</LinksUpToDate>
  <CharactersWithSpaces>26378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2022-07-15T16:30:00Z</dcterms:created>
  <dc:creator>微软用户</dc:creator>
  <cp:lastModifiedBy>好男人就是……</cp:lastModifiedBy>
  <cp:lastPrinted>2022-07-17T00:35:00Z</cp:lastPrinted>
  <dcterms:modified xsi:type="dcterms:W3CDTF">2023-05-15T07:33:12Z</dcterms:modified>
  <dc:title>创业园小区9#楼工程施工</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4171858BC1DC406FAA1620F243D5492D</vt:lpwstr>
  </property>
</Properties>
</file>