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4"/>
      <w:bookmarkStart w:id="1" w:name="OLE_LINK2"/>
      <w:bookmarkStart w:id="2" w:name="OLE_LINK1"/>
      <w:bookmarkStart w:id="3" w:name="OLE_LINK3"/>
    </w:p>
    <w:p w14:paraId="73634926">
      <w:pPr>
        <w:spacing w:before="162" w:beforeLines="50" w:after="162" w:afterLines="50" w:line="400" w:lineRule="atLeast"/>
        <w:jc w:val="center"/>
        <w:rPr>
          <w:rFonts w:hAnsi="宋体" w:cs="宋体"/>
          <w:b/>
          <w:bCs/>
          <w:color w:val="auto"/>
          <w:sz w:val="48"/>
          <w:szCs w:val="48"/>
          <w:highlight w:val="none"/>
        </w:rPr>
      </w:pPr>
      <w:bookmarkStart w:id="4" w:name="_Toc11523"/>
      <w:r>
        <w:rPr>
          <w:rFonts w:hint="eastAsia" w:hAnsi="宋体" w:cs="宋体"/>
          <w:b/>
          <w:bCs/>
          <w:color w:val="auto"/>
          <w:sz w:val="48"/>
          <w:szCs w:val="48"/>
          <w:highlight w:val="none"/>
        </w:rPr>
        <w:t>滁州学院2024年经管学院会议室设备采购及安装</w:t>
      </w:r>
    </w:p>
    <w:p w14:paraId="36EF3DBA">
      <w:pPr>
        <w:spacing w:before="162" w:beforeLines="50" w:after="162" w:afterLines="50" w:line="400" w:lineRule="atLeast"/>
        <w:jc w:val="center"/>
        <w:outlineLvl w:val="0"/>
        <w:rPr>
          <w:rFonts w:ascii="宋体" w:hAnsi="宋体" w:cs="宋体"/>
          <w:b/>
          <w:bCs/>
          <w:color w:val="auto"/>
          <w:sz w:val="24"/>
          <w:szCs w:val="16"/>
          <w:highlight w:val="none"/>
        </w:rPr>
      </w:pPr>
    </w:p>
    <w:p w14:paraId="42FA1909">
      <w:pPr>
        <w:spacing w:before="162" w:beforeLines="50" w:after="162" w:afterLines="50" w:line="400" w:lineRule="atLeast"/>
        <w:jc w:val="center"/>
        <w:outlineLvl w:val="0"/>
        <w:rPr>
          <w:rFonts w:ascii="宋体" w:hAnsi="宋体" w:cs="宋体"/>
          <w:b/>
          <w:bCs/>
          <w:color w:val="auto"/>
          <w:sz w:val="44"/>
          <w:highlight w:val="none"/>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2024CG-059</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2024年1</w:t>
      </w:r>
      <w:r>
        <w:rPr>
          <w:rFonts w:hint="eastAsia" w:ascii="宋体" w:hAnsi="宋体" w:cs="宋体"/>
          <w:b/>
          <w:color w:val="auto"/>
          <w:sz w:val="28"/>
          <w:szCs w:val="28"/>
          <w:highlight w:val="none"/>
          <w:u w:val="single"/>
          <w:lang w:val="en-US" w:eastAsia="zh-CN"/>
        </w:rPr>
        <w:t>2</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167017C6">
      <w:pPr>
        <w:adjustRightInd w:val="0"/>
        <w:snapToGrid w:val="0"/>
        <w:spacing w:line="460" w:lineRule="exact"/>
        <w:jc w:val="center"/>
        <w:rPr>
          <w:rFonts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rPr>
        <w:t>滁州学院2024年经管学院会议室设备采购及安装招标公告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滁州学院2024年经管学院会议室设备采购及安装的潜在投标供应商应在滁州学院网站（http://zcc.chzu.edu.cn）资产与实验室管理处网页采购公告栏中下载文件。并于</w:t>
      </w:r>
      <w:r>
        <w:rPr>
          <w:rFonts w:hint="eastAsia" w:ascii="黑体" w:hAnsi="黑体" w:eastAsia="黑体" w:cs="黑体"/>
          <w:b/>
          <w:bCs/>
          <w:color w:val="auto"/>
          <w:szCs w:val="21"/>
          <w:highlight w:val="none"/>
          <w:lang w:eastAsia="zh-CN"/>
        </w:rPr>
        <w:t>2024年12月25日15时00分</w:t>
      </w:r>
      <w:r>
        <w:rPr>
          <w:rFonts w:hint="eastAsia" w:ascii="宋体" w:hAnsi="宋体" w:cs="宋体"/>
          <w:color w:val="auto"/>
          <w:szCs w:val="21"/>
          <w:highlight w:val="none"/>
        </w:rPr>
        <w:t>（北京时间）前递交投标文件。</w:t>
      </w:r>
      <w:bookmarkStart w:id="13" w:name="_Toc28359079"/>
      <w:bookmarkStart w:id="14" w:name="_Toc5872"/>
      <w:bookmarkStart w:id="15" w:name="_Toc35393621"/>
      <w:bookmarkStart w:id="16" w:name="_Toc28359002"/>
      <w:bookmarkStart w:id="17" w:name="_Toc35393790"/>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rPr>
        <w:t>2024CG-059</w:t>
      </w:r>
    </w:p>
    <w:p w14:paraId="345222BB">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bidi="ar-SA"/>
        </w:rPr>
        <w:t xml:space="preserve">滁州学院2024年经管学院会议室设备采购及安装    </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项目预算：28.5万元</w:t>
      </w:r>
    </w:p>
    <w:p w14:paraId="1B92623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最高限价：贰拾捌万伍仟元整（285000.00元）</w:t>
      </w:r>
      <w:r>
        <w:rPr>
          <w:rFonts w:hint="eastAsia" w:ascii="宋体" w:hAnsi="宋体" w:cs="宋体"/>
          <w:color w:val="auto"/>
          <w:sz w:val="22"/>
          <w:szCs w:val="22"/>
          <w:highlight w:val="none"/>
          <w:u w:color="000000"/>
        </w:rPr>
        <w:t>，</w:t>
      </w:r>
      <w:r>
        <w:rPr>
          <w:rFonts w:hint="eastAsia" w:ascii="宋体" w:hAnsi="宋体" w:cs="宋体"/>
          <w:color w:val="auto"/>
          <w:highlight w:val="none"/>
        </w:rPr>
        <w:t>供应商的响应报价不得高于采购人发布的最高限价，</w:t>
      </w:r>
      <w:r>
        <w:rPr>
          <w:rFonts w:hint="eastAsia" w:ascii="宋体" w:hAnsi="宋体" w:cs="宋体"/>
          <w:color w:val="auto"/>
          <w:szCs w:val="21"/>
          <w:highlight w:val="none"/>
        </w:rPr>
        <w:t>且综合单价不得高于采购人设置的综合单价最高限价，</w:t>
      </w:r>
      <w:r>
        <w:rPr>
          <w:rFonts w:hint="eastAsia" w:ascii="宋体" w:hAnsi="宋体" w:cs="宋体"/>
          <w:color w:val="auto"/>
          <w:highlight w:val="none"/>
        </w:rPr>
        <w:t>否则按无效标处理</w:t>
      </w:r>
      <w:r>
        <w:rPr>
          <w:rFonts w:hint="eastAsia" w:ascii="宋体" w:hAnsi="宋体" w:cs="宋体"/>
          <w:color w:val="auto"/>
          <w:szCs w:val="21"/>
          <w:highlight w:val="none"/>
        </w:rPr>
        <w:t>。</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color w:val="auto"/>
          <w:highlight w:val="none"/>
        </w:rPr>
      </w:pPr>
      <w:r>
        <w:rPr>
          <w:rFonts w:hint="eastAsia" w:ascii="宋体" w:hAnsi="宋体" w:cs="宋体"/>
          <w:color w:val="auto"/>
          <w:szCs w:val="21"/>
          <w:highlight w:val="none"/>
        </w:rPr>
        <w:t>合同履行期限：合同生效后，待采购人通知供货起30个日历天完成供货，待搬迁结束后进行安装调试，具体以学院安排时间为准。</w:t>
      </w:r>
    </w:p>
    <w:p w14:paraId="4A6D7B8C">
      <w:pPr>
        <w:spacing w:line="44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质保期：</w:t>
      </w:r>
      <w:r>
        <w:rPr>
          <w:rFonts w:hint="eastAsia" w:ascii="宋体" w:hAnsi="宋体"/>
          <w:color w:val="auto"/>
          <w:szCs w:val="21"/>
          <w:highlight w:val="none"/>
        </w:rPr>
        <w:t>项目验收合格后提供三年免费售后服务（最终根据承诺的质保期为准）</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35393622"/>
      <w:bookmarkStart w:id="21" w:name="_Toc28359003"/>
      <w:bookmarkStart w:id="22" w:name="_Toc28359080"/>
      <w:bookmarkStart w:id="23" w:name="_Toc35393791"/>
      <w:bookmarkStart w:id="24" w:name="_Toc26156"/>
      <w:bookmarkStart w:id="25" w:name="_Toc22650"/>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35393792"/>
      <w:bookmarkStart w:id="27" w:name="_Toc35393623"/>
      <w:bookmarkStart w:id="28" w:name="_Toc28359004"/>
      <w:bookmarkStart w:id="29" w:name="_Toc28359081"/>
      <w:r>
        <w:rPr>
          <w:rFonts w:hint="eastAsia" w:ascii="宋体" w:hAnsi="宋体" w:cs="宋体"/>
          <w:color w:val="auto"/>
          <w:szCs w:val="21"/>
          <w:highlight w:val="none"/>
        </w:rPr>
        <w:t>1、供应商必须具有承担民事责任能力，并且具有有效的营业执照（或三证合一有效证件）；</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hint="eastAsia" w:ascii="黑体" w:hAnsi="黑体" w:eastAsia="黑体" w:cs="黑体"/>
          <w:b/>
          <w:bCs/>
          <w:color w:val="auto"/>
          <w:szCs w:val="21"/>
          <w:highlight w:val="none"/>
          <w:lang w:eastAsia="zh-CN"/>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rPr>
        <w:t>日至</w:t>
      </w:r>
      <w:r>
        <w:rPr>
          <w:rFonts w:hint="eastAsia" w:ascii="黑体" w:hAnsi="黑体" w:eastAsia="黑体" w:cs="黑体"/>
          <w:b/>
          <w:bCs/>
          <w:color w:val="auto"/>
          <w:szCs w:val="21"/>
          <w:highlight w:val="none"/>
          <w:lang w:eastAsia="zh-CN"/>
        </w:rPr>
        <w:t>2024年12月25日15时00分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lang w:eastAsia="zh-CN"/>
        </w:rPr>
        <w:t>2024年12月25日15时00分</w:t>
      </w:r>
      <w:r>
        <w:rPr>
          <w:rFonts w:hint="eastAsia" w:ascii="宋体" w:hAnsi="宋体" w:eastAsia="宋体" w:cs="宋体"/>
          <w:bCs w:val="0"/>
          <w:color w:val="auto"/>
          <w:kern w:val="0"/>
          <w:sz w:val="21"/>
          <w:szCs w:val="21"/>
          <w:highlight w:val="none"/>
        </w:rPr>
        <w:t>（北京时间）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8"/>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采购联系人：李老师、王老师</w:t>
      </w:r>
    </w:p>
    <w:p w14:paraId="44F123D4">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电话：0550-3512003、18855052517　</w:t>
      </w:r>
    </w:p>
    <w:p w14:paraId="71F86596">
      <w:pPr>
        <w:pStyle w:val="8"/>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40633238">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ascii="宋体" w:hAnsi="宋体" w:cs="宋体"/>
                <w:color w:val="auto"/>
                <w:kern w:val="0"/>
                <w:szCs w:val="21"/>
                <w:highlight w:val="none"/>
              </w:rPr>
            </w:pPr>
            <w:r>
              <w:rPr>
                <w:rFonts w:hint="eastAsia" w:ascii="宋体" w:hAnsi="宋体" w:cs="宋体"/>
                <w:color w:val="auto"/>
                <w:szCs w:val="21"/>
                <w:highlight w:val="none"/>
              </w:rPr>
              <w:t xml:space="preserve">滁州学院2024年经管学院会议室设备采购及安装    </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ascii="宋体" w:hAnsi="宋体" w:cs="宋体"/>
                <w:color w:val="auto"/>
                <w:szCs w:val="21"/>
                <w:highlight w:val="none"/>
              </w:rPr>
            </w:pPr>
            <w:r>
              <w:rPr>
                <w:rFonts w:hint="eastAsia" w:ascii="宋体" w:hAnsi="宋体" w:cs="宋体"/>
                <w:color w:val="auto"/>
                <w:szCs w:val="21"/>
                <w:highlight w:val="none"/>
              </w:rPr>
              <w:t>2024CG-059</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合同生效后，待采购人通知供货起30个日历天完成供货，待搬迁结束后进行安装调试，具体以学院安排时间为准。</w:t>
            </w:r>
          </w:p>
          <w:p w14:paraId="105DE9E3">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lang w:val="en-US" w:eastAsia="zh-CN"/>
              </w:rPr>
              <w:t>质保期：</w:t>
            </w:r>
            <w:r>
              <w:rPr>
                <w:rFonts w:hint="eastAsia" w:ascii="宋体" w:hAnsi="宋体"/>
                <w:color w:val="auto"/>
                <w:szCs w:val="21"/>
                <w:highlight w:val="none"/>
              </w:rPr>
              <w:t>项目验收合格后提供三年免费售后服务（最终根据承诺的质保期为准）</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169CB4F1">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2"/>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2"/>
              <w:wordWrap w:val="0"/>
              <w:spacing w:line="440" w:lineRule="exact"/>
              <w:rPr>
                <w:rFonts w:hAnsi="宋体" w:cs="宋体"/>
                <w:color w:val="auto"/>
                <w:szCs w:val="21"/>
                <w:highlight w:val="none"/>
              </w:rPr>
            </w:pPr>
            <w:r>
              <w:rPr>
                <w:rFonts w:hint="eastAsia" w:hAnsi="宋体" w:cs="宋体"/>
                <w:color w:val="auto"/>
                <w:szCs w:val="21"/>
                <w:highlight w:val="none"/>
              </w:rPr>
              <w:t>联系人：</w:t>
            </w:r>
            <w:r>
              <w:rPr>
                <w:rFonts w:hint="eastAsia" w:hAnsi="宋体" w:cs="宋体"/>
                <w:color w:val="auto"/>
                <w:szCs w:val="21"/>
                <w:highlight w:val="none"/>
                <w:lang w:val="en-US" w:eastAsia="zh-CN"/>
              </w:rPr>
              <w:t>李</w:t>
            </w:r>
            <w:r>
              <w:rPr>
                <w:rFonts w:hint="eastAsia" w:hAnsi="宋体" w:cs="宋体"/>
                <w:color w:val="auto"/>
                <w:szCs w:val="21"/>
                <w:highlight w:val="none"/>
              </w:rPr>
              <w:t>老师、王老师</w:t>
            </w:r>
          </w:p>
          <w:p w14:paraId="657F975F">
            <w:pPr>
              <w:pStyle w:val="12"/>
              <w:wordWrap w:val="0"/>
              <w:spacing w:line="440" w:lineRule="exact"/>
              <w:rPr>
                <w:rFonts w:hAnsi="宋体" w:cs="宋体"/>
                <w:color w:val="auto"/>
                <w:szCs w:val="21"/>
                <w:highlight w:val="none"/>
              </w:rPr>
            </w:pPr>
            <w:r>
              <w:rPr>
                <w:rFonts w:hint="eastAsia" w:hAnsi="宋体" w:cs="宋体"/>
                <w:color w:val="auto"/>
                <w:szCs w:val="21"/>
                <w:highlight w:val="none"/>
              </w:rPr>
              <w:t>电话：0550-3512003、18855052517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49F46EA7">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联系人：全晨曦、翁海玲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2"/>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2"/>
              <w:wordWrap w:val="0"/>
              <w:spacing w:line="440" w:lineRule="exact"/>
              <w:rPr>
                <w:rFonts w:hAnsi="宋体" w:cs="宋体"/>
                <w:b/>
                <w:bCs/>
                <w:color w:val="auto"/>
                <w:szCs w:val="21"/>
                <w:highlight w:val="none"/>
              </w:rPr>
            </w:pPr>
            <w:r>
              <w:rPr>
                <w:rFonts w:hint="eastAsia" w:hAnsi="宋体" w:cs="宋体"/>
                <w:b/>
                <w:bCs/>
                <w:color w:val="auto"/>
                <w:szCs w:val="21"/>
                <w:highlight w:val="none"/>
              </w:rPr>
              <w:t>285000.00元。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7F604774">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贰拾捌万伍仟元整（285000.00元），供应商的响应报价不得高于采购人发布的最高限价，且综合单价不得高于采购人设置的综合单价最高限价，否则按无效标处理。</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09CBD9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6C5EAC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07035A4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26AA809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761459A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05BF4C7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16E5E02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0BD601D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2C11EA6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3"/>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3"/>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12</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2024年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w:t>
            </w:r>
            <w:bookmarkStart w:id="181" w:name="_GoBack"/>
            <w:bookmarkEnd w:id="181"/>
            <w:r>
              <w:rPr>
                <w:rFonts w:hint="eastAsia" w:ascii="宋体" w:hAnsi="宋体" w:cs="宋体"/>
                <w:bCs/>
                <w:color w:val="auto"/>
                <w:szCs w:val="21"/>
                <w:highlight w:val="none"/>
              </w:rPr>
              <w:t>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2"/>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2"/>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2"/>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时  间：</w:t>
            </w:r>
            <w:r>
              <w:rPr>
                <w:rFonts w:hint="eastAsia" w:ascii="黑体" w:hAnsi="黑体" w:eastAsia="黑体" w:cs="黑体"/>
                <w:b/>
                <w:bCs/>
                <w:color w:val="auto"/>
                <w:szCs w:val="21"/>
                <w:highlight w:val="none"/>
                <w:lang w:eastAsia="zh-CN"/>
              </w:rPr>
              <w:t>2024年12月25日15时00分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lang w:eastAsia="zh-CN"/>
              </w:rPr>
              <w:t>2024年12月25日15时00分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2"/>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2"/>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2"/>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2"/>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2"/>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2"/>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供货（服务）完成，经验收合格后付全款。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1.1 本项目名称：滁州学院2024年经管学院会议室设备采购及安装    </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2.1本项目投资约28.5万元。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4.1合同生效后，待采购人通知供货起30个日历天完成供货，待搬迁结束后进行安装调试，具体以学院安排为准。</w:t>
      </w:r>
    </w:p>
    <w:p w14:paraId="372EE6B9">
      <w:pPr>
        <w:spacing w:line="440" w:lineRule="exact"/>
        <w:ind w:firstLine="420" w:firstLineChars="200"/>
        <w:jc w:val="left"/>
        <w:outlineLvl w:val="3"/>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4.2质保期：</w:t>
      </w:r>
      <w:r>
        <w:rPr>
          <w:rFonts w:hint="eastAsia" w:ascii="宋体" w:hAnsi="宋体"/>
          <w:color w:val="auto"/>
          <w:szCs w:val="21"/>
          <w:highlight w:val="none"/>
        </w:rPr>
        <w:t>项目验收合格后提供三年免费售后服务（最终根据承诺的质保期为准）</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5.2本项目不接受联合体投标；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固定总价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（4）诚信投标承诺书（格式见附件）；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E82D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4CEED95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02140D8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（3）质量承诺及保证体系、措施、应急方案；</w:t>
      </w:r>
    </w:p>
    <w:p w14:paraId="0BAD5E5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本项目最高限价为贰拾捌万伍仟元整（285000.00元），供应商的响应报价不得高于采购人发布的最高限价，且综合单价不得高于采购人设置的综合单价最高限价，否则按无效标处理。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18.3.1在投标文件密封袋上应写明投标项目名称、供应商名称。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hint="eastAsia" w:ascii="宋体" w:hAnsi="宋体" w:eastAsia="宋体" w:cs="宋体"/>
          <w:color w:val="auto"/>
          <w:kern w:val="0"/>
          <w:szCs w:val="21"/>
          <w:highlight w:val="none"/>
          <w:u w:val="single"/>
          <w:lang w:eastAsia="zh-CN"/>
        </w:rPr>
      </w:pPr>
      <w:r>
        <w:rPr>
          <w:rFonts w:hint="eastAsia" w:ascii="宋体" w:hAnsi="宋体" w:cs="宋体"/>
          <w:b/>
          <w:bCs/>
          <w:color w:val="auto"/>
          <w:kern w:val="0"/>
          <w:szCs w:val="21"/>
          <w:highlight w:val="none"/>
        </w:rPr>
        <w:t>时  间：</w:t>
      </w:r>
      <w:r>
        <w:rPr>
          <w:rFonts w:hint="eastAsia" w:ascii="宋体" w:hAnsi="宋体" w:cs="宋体"/>
          <w:b/>
          <w:bCs/>
          <w:color w:val="auto"/>
          <w:kern w:val="0"/>
          <w:szCs w:val="21"/>
          <w:highlight w:val="none"/>
          <w:lang w:eastAsia="zh-CN"/>
        </w:rPr>
        <w:t>2024年12月25日15时00分</w:t>
      </w:r>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4"/>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2"/>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30355"/>
      <w:bookmarkStart w:id="92" w:name="_Toc13054"/>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13934"/>
      <w:bookmarkStart w:id="94" w:name="_Toc27135"/>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1332"/>
      <w:bookmarkStart w:id="98" w:name="_Toc19439"/>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27057"/>
      <w:bookmarkStart w:id="100" w:name="_Toc10755"/>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4940"/>
      <w:bookmarkStart w:id="102" w:name="_Toc18168"/>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0184"/>
      <w:bookmarkStart w:id="104" w:name="_Toc14073"/>
      <w:r>
        <w:rPr>
          <w:rFonts w:hint="eastAsia" w:ascii="宋体" w:hAnsi="宋体" w:cs="宋体"/>
          <w:b/>
          <w:color w:val="auto"/>
          <w:szCs w:val="21"/>
          <w:highlight w:val="none"/>
        </w:rPr>
        <w:t>29.解释权</w:t>
      </w:r>
      <w:bookmarkEnd w:id="103"/>
      <w:bookmarkEnd w:id="104"/>
    </w:p>
    <w:p w14:paraId="5B35F311">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3336"/>
      <w:bookmarkStart w:id="106" w:name="_Toc20892"/>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16257"/>
      <w:bookmarkStart w:id="108" w:name="_Toc759"/>
      <w:bookmarkStart w:id="109" w:name="_Toc16681"/>
      <w:bookmarkStart w:id="110" w:name="_Toc469495731"/>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469495732"/>
      <w:bookmarkStart w:id="112" w:name="_Toc4193"/>
      <w:bookmarkStart w:id="113" w:name="_Toc16128"/>
      <w:bookmarkStart w:id="114" w:name="_Toc19225"/>
      <w:bookmarkStart w:id="115" w:name="_Toc362983801"/>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362983802"/>
      <w:bookmarkStart w:id="119" w:name="_Toc469495733"/>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22076"/>
      <w:bookmarkStart w:id="122" w:name="_Toc23006"/>
      <w:bookmarkStart w:id="123" w:name="_Toc15979"/>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156758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highlight w:val="none"/>
        </w:rPr>
      </w:pPr>
      <w:bookmarkStart w:id="126" w:name="_Toc8811"/>
      <w:bookmarkStart w:id="127" w:name="_Toc469495734"/>
      <w:bookmarkStart w:id="128" w:name="_Toc362983803"/>
      <w:bookmarkStart w:id="129" w:name="_Toc20667"/>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31" w:name="_Toc27786"/>
      <w:bookmarkStart w:id="132" w:name="_Toc6932"/>
      <w:bookmarkStart w:id="133" w:name="_Toc362983805"/>
      <w:bookmarkStart w:id="134" w:name="_Toc469495736"/>
      <w:bookmarkStart w:id="135" w:name="_Toc29803"/>
      <w:bookmarkStart w:id="136" w:name="_Toc23516"/>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6.1资信评审细则（16分）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spacing w:line="440" w:lineRule="exact"/>
              <w:ind w:firstLine="0"/>
              <w:jc w:val="center"/>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w:t>
            </w:r>
          </w:p>
        </w:tc>
        <w:tc>
          <w:tcPr>
            <w:tcW w:w="7661" w:type="dxa"/>
            <w:vAlign w:val="center"/>
          </w:tcPr>
          <w:p w14:paraId="3A8FA2DD">
            <w:pPr>
              <w:pStyle w:val="57"/>
              <w:spacing w:line="440" w:lineRule="exact"/>
              <w:ind w:firstLine="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月1日至开标截止时间前，</w:t>
            </w:r>
            <w:r>
              <w:rPr>
                <w:rFonts w:hint="eastAsia" w:ascii="宋体" w:hAnsi="宋体" w:cs="宋体"/>
                <w:color w:val="auto"/>
                <w:kern w:val="0"/>
                <w:sz w:val="21"/>
                <w:szCs w:val="21"/>
                <w:highlight w:val="none"/>
              </w:rPr>
              <w:t>投标供应商具有一份类似项目业绩的得5分，本项满分10分。</w:t>
            </w:r>
          </w:p>
          <w:p w14:paraId="3367D905">
            <w:pPr>
              <w:pStyle w:val="57"/>
              <w:spacing w:line="440" w:lineRule="exact"/>
              <w:ind w:firstLine="0"/>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注：提供采购合同复印件加盖投标供应商公章。业绩时间以合同签署日期为准，业绩类型以合同内容为准。</w:t>
            </w:r>
          </w:p>
        </w:tc>
      </w:tr>
      <w:tr w14:paraId="799D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22" w:type="dxa"/>
            <w:vAlign w:val="center"/>
          </w:tcPr>
          <w:p w14:paraId="0EF06A0B">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3820D687">
            <w:pPr>
              <w:pStyle w:val="57"/>
              <w:spacing w:line="440" w:lineRule="exact"/>
              <w:ind w:firstLine="0"/>
              <w:jc w:val="center"/>
              <w:rPr>
                <w:rStyle w:val="46"/>
                <w:rFonts w:ascii="宋体" w:hAnsi="宋体" w:cs="宋体"/>
                <w:color w:val="auto"/>
                <w:szCs w:val="21"/>
                <w:highlight w:val="none"/>
              </w:rPr>
            </w:pPr>
            <w:r>
              <w:rPr>
                <w:rStyle w:val="46"/>
                <w:rFonts w:hint="eastAsia" w:ascii="宋体" w:hAnsi="宋体" w:cs="宋体"/>
                <w:color w:val="auto"/>
                <w:szCs w:val="21"/>
                <w:highlight w:val="none"/>
              </w:rPr>
              <w:t>体系认证</w:t>
            </w:r>
          </w:p>
          <w:p w14:paraId="5ED2CB2A">
            <w:pPr>
              <w:pStyle w:val="57"/>
              <w:spacing w:line="440" w:lineRule="exact"/>
              <w:ind w:firstLine="0"/>
              <w:jc w:val="center"/>
              <w:rPr>
                <w:rFonts w:ascii="宋体" w:hAnsi="宋体" w:cs="宋体"/>
                <w:color w:val="auto"/>
                <w:kern w:val="0"/>
                <w:sz w:val="21"/>
                <w:szCs w:val="21"/>
                <w:highlight w:val="none"/>
              </w:rPr>
            </w:pPr>
            <w:r>
              <w:rPr>
                <w:rStyle w:val="46"/>
                <w:rFonts w:hint="eastAsia" w:ascii="宋体" w:hAnsi="宋体" w:cs="宋体"/>
                <w:color w:val="auto"/>
                <w:szCs w:val="21"/>
                <w:highlight w:val="none"/>
              </w:rPr>
              <w:t>（6分）</w:t>
            </w:r>
          </w:p>
        </w:tc>
        <w:tc>
          <w:tcPr>
            <w:tcW w:w="7661" w:type="dxa"/>
            <w:vAlign w:val="center"/>
          </w:tcPr>
          <w:p w14:paraId="57C8E718">
            <w:pPr>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投标供应商具有质量管理体系认证证书和信息安全管理体系认证证书和环境管理体系认证证书的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每提供一个对应证书的得2分，本项最高</w:t>
            </w:r>
            <w:r>
              <w:rPr>
                <w:rFonts w:hint="eastAsia" w:ascii="宋体" w:hAnsi="宋体" w:cs="宋体"/>
                <w:color w:val="auto"/>
                <w:szCs w:val="21"/>
                <w:highlight w:val="none"/>
              </w:rPr>
              <w:t>得6分；</w:t>
            </w:r>
            <w:r>
              <w:rPr>
                <w:rFonts w:hint="eastAsia" w:ascii="宋体" w:hAnsi="宋体" w:cs="仿宋"/>
                <w:color w:val="auto"/>
                <w:szCs w:val="21"/>
                <w:highlight w:val="none"/>
              </w:rPr>
              <w:t>否则不得分。</w:t>
            </w:r>
          </w:p>
          <w:p w14:paraId="51565F95">
            <w:pPr>
              <w:snapToGrid w:val="0"/>
              <w:spacing w:line="440" w:lineRule="exact"/>
              <w:jc w:val="left"/>
              <w:rPr>
                <w:rFonts w:ascii="宋体" w:hAnsi="宋体" w:cs="宋体"/>
                <w:b/>
                <w:bCs/>
                <w:color w:val="auto"/>
                <w:szCs w:val="21"/>
                <w:highlight w:val="none"/>
              </w:rPr>
            </w:pPr>
            <w:r>
              <w:rPr>
                <w:rFonts w:hint="eastAsia" w:ascii="黑体" w:hAnsi="黑体" w:eastAsia="黑体" w:cs="黑体"/>
                <w:b/>
                <w:bCs/>
                <w:color w:val="auto"/>
                <w:szCs w:val="21"/>
                <w:highlight w:val="none"/>
              </w:rPr>
              <w:t>注：上述证书均在有效期内，提供证书复印件加盖投标供应商公章。证书单位名称与投标供应商名称一致，在全国认证认可信息公共服务平台（http://cx.cnca.cn/）网站上可查，并提供查询截图，否则不得分。</w:t>
            </w:r>
          </w:p>
        </w:tc>
      </w:tr>
    </w:tbl>
    <w:p w14:paraId="460C380F">
      <w:pPr>
        <w:spacing w:line="440" w:lineRule="atLeast"/>
        <w:ind w:firstLine="422" w:firstLineChars="200"/>
        <w:jc w:val="left"/>
        <w:rPr>
          <w:rFonts w:ascii="宋体" w:hAnsi="宋体"/>
          <w:b/>
          <w:bCs/>
          <w:color w:val="auto"/>
          <w:szCs w:val="21"/>
          <w:highlight w:val="none"/>
        </w:rPr>
      </w:pPr>
      <w:r>
        <w:rPr>
          <w:rFonts w:hint="eastAsia" w:ascii="宋体" w:hAnsi="宋体"/>
          <w:b/>
          <w:bCs/>
          <w:color w:val="auto"/>
          <w:szCs w:val="21"/>
          <w:highlight w:val="none"/>
        </w:rPr>
        <w:t>6.2技术评审细则（54分）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7DCB2544">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产品技术参数（</w:t>
            </w:r>
            <w:r>
              <w:rPr>
                <w:rFonts w:ascii="宋体" w:hAnsi="宋体" w:cs="宋体"/>
                <w:color w:val="auto"/>
                <w:szCs w:val="21"/>
                <w:highlight w:val="none"/>
              </w:rPr>
              <w:t>40</w:t>
            </w:r>
            <w:r>
              <w:rPr>
                <w:rFonts w:hint="eastAsia" w:ascii="宋体" w:hAnsi="宋体" w:cs="宋体"/>
                <w:color w:val="auto"/>
                <w:szCs w:val="21"/>
                <w:highlight w:val="none"/>
              </w:rPr>
              <w:t>分）</w:t>
            </w:r>
          </w:p>
        </w:tc>
        <w:tc>
          <w:tcPr>
            <w:tcW w:w="7863" w:type="dxa"/>
            <w:vAlign w:val="center"/>
          </w:tcPr>
          <w:p w14:paraId="756196AA">
            <w:pPr>
              <w:spacing w:line="440" w:lineRule="exact"/>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4ADDC860">
            <w:pPr>
              <w:spacing w:line="44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标注“</w:t>
            </w:r>
            <w:r>
              <w:rPr>
                <w:rFonts w:hint="eastAsia" w:ascii="宋体" w:hAnsi="宋体" w:cs="宋体"/>
                <w:bCs/>
                <w:color w:val="auto"/>
                <w:szCs w:val="21"/>
                <w:highlight w:val="none"/>
              </w:rPr>
              <w:t>■</w:t>
            </w:r>
            <w:r>
              <w:rPr>
                <w:rFonts w:hint="eastAsia" w:ascii="宋体" w:hAnsi="宋体" w:cs="宋体"/>
                <w:color w:val="auto"/>
                <w:szCs w:val="21"/>
                <w:highlight w:val="none"/>
              </w:rPr>
              <w:t>”的条款每有一项满足</w:t>
            </w:r>
            <w:r>
              <w:rPr>
                <w:rFonts w:ascii="宋体" w:hAnsi="宋体" w:cs="宋体"/>
                <w:color w:val="auto"/>
                <w:szCs w:val="21"/>
                <w:highlight w:val="none"/>
              </w:rPr>
              <w:t>3</w:t>
            </w:r>
            <w:r>
              <w:rPr>
                <w:rFonts w:hint="eastAsia" w:ascii="宋体" w:hAnsi="宋体" w:cs="宋体"/>
                <w:color w:val="auto"/>
                <w:szCs w:val="21"/>
                <w:highlight w:val="none"/>
              </w:rPr>
              <w:t>分，共</w:t>
            </w:r>
            <w:r>
              <w:rPr>
                <w:rFonts w:ascii="宋体" w:hAnsi="宋体" w:cs="宋体"/>
                <w:color w:val="auto"/>
                <w:szCs w:val="21"/>
                <w:highlight w:val="none"/>
              </w:rPr>
              <w:t>8</w:t>
            </w:r>
            <w:r>
              <w:rPr>
                <w:rFonts w:hint="eastAsia" w:ascii="宋体" w:hAnsi="宋体" w:cs="宋体"/>
                <w:color w:val="auto"/>
                <w:szCs w:val="21"/>
                <w:highlight w:val="none"/>
              </w:rPr>
              <w:t>项，共计</w:t>
            </w:r>
            <w:r>
              <w:rPr>
                <w:rFonts w:ascii="宋体" w:hAnsi="宋体" w:cs="宋体"/>
                <w:color w:val="auto"/>
                <w:szCs w:val="21"/>
                <w:highlight w:val="none"/>
              </w:rPr>
              <w:t>24</w:t>
            </w:r>
            <w:r>
              <w:rPr>
                <w:rFonts w:hint="eastAsia" w:ascii="宋体" w:hAnsi="宋体" w:cs="宋体"/>
                <w:color w:val="auto"/>
                <w:szCs w:val="21"/>
                <w:highlight w:val="none"/>
              </w:rPr>
              <w:t>分；</w:t>
            </w:r>
          </w:p>
          <w:p w14:paraId="395CF07A">
            <w:pPr>
              <w:pStyle w:val="58"/>
              <w:spacing w:line="440" w:lineRule="exact"/>
              <w:ind w:firstLine="0" w:firstLineChars="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标注“</w:t>
            </w:r>
            <w:r>
              <w:rPr>
                <w:rFonts w:hint="eastAsia" w:ascii="仿宋" w:hAnsi="仿宋" w:eastAsia="仿宋" w:cs="宋体"/>
                <w:color w:val="auto"/>
                <w:szCs w:val="21"/>
                <w:highlight w:val="none"/>
              </w:rPr>
              <w:t>●</w:t>
            </w:r>
            <w:r>
              <w:rPr>
                <w:rFonts w:hint="eastAsia" w:ascii="宋体" w:hAnsi="宋体" w:cs="宋体"/>
                <w:color w:val="auto"/>
                <w:szCs w:val="21"/>
                <w:highlight w:val="none"/>
              </w:rPr>
              <w:t>”的条款每有一项满足</w:t>
            </w:r>
            <w:r>
              <w:rPr>
                <w:rFonts w:ascii="宋体" w:hAnsi="宋体" w:cs="宋体"/>
                <w:color w:val="auto"/>
                <w:szCs w:val="21"/>
                <w:highlight w:val="none"/>
              </w:rPr>
              <w:t>2</w:t>
            </w:r>
            <w:r>
              <w:rPr>
                <w:rFonts w:hint="eastAsia" w:ascii="宋体" w:hAnsi="宋体" w:cs="宋体"/>
                <w:color w:val="auto"/>
                <w:szCs w:val="21"/>
                <w:highlight w:val="none"/>
              </w:rPr>
              <w:t>分，共</w:t>
            </w:r>
            <w:r>
              <w:rPr>
                <w:rFonts w:ascii="宋体" w:hAnsi="宋体" w:cs="宋体"/>
                <w:color w:val="auto"/>
                <w:szCs w:val="21"/>
                <w:highlight w:val="none"/>
              </w:rPr>
              <w:t>8</w:t>
            </w:r>
            <w:r>
              <w:rPr>
                <w:rFonts w:hint="eastAsia" w:ascii="宋体" w:hAnsi="宋体" w:cs="宋体"/>
                <w:color w:val="auto"/>
                <w:szCs w:val="21"/>
                <w:highlight w:val="none"/>
              </w:rPr>
              <w:t>项，共计</w:t>
            </w:r>
            <w:r>
              <w:rPr>
                <w:rFonts w:ascii="宋体" w:hAnsi="宋体" w:cs="宋体"/>
                <w:color w:val="auto"/>
                <w:szCs w:val="21"/>
                <w:highlight w:val="none"/>
              </w:rPr>
              <w:t>16</w:t>
            </w:r>
            <w:r>
              <w:rPr>
                <w:rFonts w:hint="eastAsia" w:ascii="宋体" w:hAnsi="宋体" w:cs="宋体"/>
                <w:color w:val="auto"/>
                <w:szCs w:val="21"/>
                <w:highlight w:val="none"/>
              </w:rPr>
              <w:t>分；</w:t>
            </w:r>
          </w:p>
          <w:p w14:paraId="3D825DD9">
            <w:pPr>
              <w:spacing w:line="440" w:lineRule="exac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未标注符号的参数，最大允许偏离3项，超过最大允许偏离项数的，投标无效</w:t>
            </w:r>
            <w:r>
              <w:rPr>
                <w:rFonts w:hint="eastAsia" w:ascii="宋体" w:hAnsi="宋体"/>
                <w:color w:val="auto"/>
                <w:szCs w:val="21"/>
                <w:highlight w:val="none"/>
              </w:rPr>
              <w:t>。</w:t>
            </w:r>
          </w:p>
          <w:p w14:paraId="4D572C64">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rPr>
              <w:t>注：以采购需求中要求提供的材料作为评审依据，不满足的、要求提供证明文件或承诺，未提供的、配置不详的、技术参数不清或缺漏的，均视为负偏离。所有承诺函需加盖投标供应商公章</w:t>
            </w:r>
            <w:r>
              <w:rPr>
                <w:rFonts w:hint="eastAsia" w:ascii="宋体" w:hAnsi="宋体" w:cs="宋体"/>
                <w:bCs/>
                <w:color w:val="auto"/>
                <w:szCs w:val="21"/>
                <w:highlight w:val="none"/>
              </w:rPr>
              <w:t>。</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0CD3530D">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安装、售后服务及维保方案（</w:t>
            </w:r>
            <w:r>
              <w:rPr>
                <w:rStyle w:val="46"/>
                <w:rFonts w:ascii="宋体" w:hAnsi="宋体" w:cs="宋体"/>
                <w:color w:val="auto"/>
                <w:szCs w:val="21"/>
                <w:highlight w:val="none"/>
              </w:rPr>
              <w:t>6</w:t>
            </w:r>
            <w:r>
              <w:rPr>
                <w:rStyle w:val="46"/>
                <w:rFonts w:hint="eastAsia" w:ascii="宋体" w:hAnsi="宋体" w:cs="宋体"/>
                <w:color w:val="auto"/>
                <w:szCs w:val="21"/>
                <w:highlight w:val="none"/>
              </w:rPr>
              <w:t>分）</w:t>
            </w:r>
          </w:p>
        </w:tc>
        <w:tc>
          <w:tcPr>
            <w:tcW w:w="7863" w:type="dxa"/>
            <w:vAlign w:val="center"/>
          </w:tcPr>
          <w:p w14:paraId="3C87D55F">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根据投标人的安装方案，售后服务及维保体系完备、合理情况，售后技术服务承诺、保修期、保修内容及优惠条件进行综合评分。</w:t>
            </w:r>
          </w:p>
          <w:p w14:paraId="36FB708A">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1、与本项目的具体特点和实际需要适应度高，利于项目实施，有针对性得</w:t>
            </w: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分；与本项目的具体特点和实际需要适应度较高，较利于项目实施，有一定针对性得</w:t>
            </w: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分；与本项目的具体特点以及项目实际需要适应程度不够，有待完善得1分；差的或未提供相关内容的不得分。</w:t>
            </w:r>
          </w:p>
          <w:p w14:paraId="278EF50B">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2、服务响应时间：响应迅速，能够妥善解决问题得</w:t>
            </w: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分；响应较为及时，基本保障项目需要得</w:t>
            </w: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分；能够响应服务要求，细节有待完善得1分；差的或未提供相关内容的不得分。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vAlign w:val="center"/>
          </w:tcPr>
          <w:p w14:paraId="2E98DCA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质量承诺及应急方案（5分）</w:t>
            </w:r>
          </w:p>
        </w:tc>
        <w:tc>
          <w:tcPr>
            <w:tcW w:w="7863" w:type="dxa"/>
            <w:vAlign w:val="center"/>
          </w:tcPr>
          <w:p w14:paraId="5B4DBC18">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质量承诺、应急处置能力部署的方案等进行综合评审，由评委进行打分，</w:t>
            </w:r>
            <w:r>
              <w:rPr>
                <w:rFonts w:hint="eastAsia" w:ascii="宋体" w:hAnsi="宋体" w:cs="宋体"/>
                <w:color w:val="auto"/>
                <w:highlight w:val="none"/>
              </w:rPr>
              <w:t>内容全面，表述清晰的</w:t>
            </w:r>
            <w:r>
              <w:rPr>
                <w:rStyle w:val="46"/>
                <w:rFonts w:hint="eastAsia" w:ascii="宋体" w:hAnsi="宋体" w:cs="宋体"/>
                <w:color w:val="auto"/>
                <w:szCs w:val="21"/>
                <w:highlight w:val="none"/>
              </w:rPr>
              <w:t>优于采购需求的得5分，</w:t>
            </w:r>
            <w:r>
              <w:rPr>
                <w:rFonts w:hint="eastAsia" w:ascii="宋体" w:hAnsi="宋体" w:cs="宋体"/>
                <w:color w:val="auto"/>
                <w:highlight w:val="none"/>
              </w:rPr>
              <w:t>内容基本全面，表述内容清晰满足</w:t>
            </w:r>
            <w:r>
              <w:rPr>
                <w:rStyle w:val="46"/>
                <w:rFonts w:hint="eastAsia" w:ascii="宋体" w:hAnsi="宋体" w:cs="宋体"/>
                <w:color w:val="auto"/>
                <w:szCs w:val="21"/>
                <w:highlight w:val="none"/>
              </w:rPr>
              <w:t>采购需求的得3分，</w:t>
            </w:r>
            <w:r>
              <w:rPr>
                <w:rFonts w:hint="eastAsia" w:ascii="宋体" w:hAnsi="宋体" w:cs="宋体"/>
                <w:color w:val="auto"/>
                <w:highlight w:val="none"/>
              </w:rPr>
              <w:t>具体实施内容不贴合，出现与本项目无关内容的</w:t>
            </w:r>
            <w:r>
              <w:rPr>
                <w:rStyle w:val="46"/>
                <w:rFonts w:hint="eastAsia" w:ascii="宋体" w:hAnsi="宋体" w:cs="宋体"/>
                <w:color w:val="auto"/>
                <w:szCs w:val="21"/>
                <w:highlight w:val="none"/>
              </w:rPr>
              <w:t>得1分；差或未提供不得分。</w:t>
            </w:r>
          </w:p>
        </w:tc>
      </w:tr>
      <w:tr w14:paraId="024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0F0AF01">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325" w:type="dxa"/>
            <w:vAlign w:val="center"/>
          </w:tcPr>
          <w:p w14:paraId="2EA97F03">
            <w:pPr>
              <w:snapToGrid w:val="0"/>
              <w:spacing w:line="440" w:lineRule="exact"/>
              <w:jc w:val="center"/>
              <w:rPr>
                <w:rStyle w:val="46"/>
                <w:rFonts w:ascii="宋体" w:hAnsi="宋体" w:cs="宋体"/>
                <w:color w:val="auto"/>
                <w:szCs w:val="21"/>
                <w:highlight w:val="none"/>
              </w:rPr>
            </w:pPr>
            <w:r>
              <w:rPr>
                <w:rStyle w:val="46"/>
                <w:rFonts w:hint="eastAsia" w:ascii="宋体" w:hAnsi="宋体" w:cs="宋体"/>
                <w:color w:val="auto"/>
                <w:szCs w:val="21"/>
                <w:highlight w:val="none"/>
              </w:rPr>
              <w:t>质保期</w:t>
            </w:r>
          </w:p>
          <w:p w14:paraId="321571E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（3分）</w:t>
            </w:r>
          </w:p>
        </w:tc>
        <w:tc>
          <w:tcPr>
            <w:tcW w:w="7863" w:type="dxa"/>
            <w:vAlign w:val="center"/>
          </w:tcPr>
          <w:p w14:paraId="1C54CF83">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rPr>
              <w:t>投标人所投所有产品质保期满足招标文件规定3年免费质保期的情况下，每延长1年得1分，最高得3分（所有产品质保期均做延长方予认可）；</w:t>
            </w:r>
          </w:p>
          <w:p w14:paraId="03878EFF">
            <w:pPr>
              <w:snapToGrid w:val="0"/>
              <w:spacing w:line="440" w:lineRule="exact"/>
              <w:jc w:val="left"/>
              <w:rPr>
                <w:rStyle w:val="46"/>
                <w:rFonts w:ascii="宋体" w:hAnsi="宋体" w:cs="宋体"/>
                <w:color w:val="auto"/>
                <w:szCs w:val="21"/>
                <w:highlight w:val="none"/>
              </w:rPr>
            </w:pPr>
            <w:r>
              <w:rPr>
                <w:rStyle w:val="46"/>
                <w:rFonts w:hint="eastAsia" w:ascii="宋体" w:hAnsi="宋体" w:cs="宋体"/>
                <w:b/>
                <w:bCs/>
                <w:color w:val="auto"/>
                <w:szCs w:val="21"/>
                <w:highlight w:val="none"/>
              </w:rPr>
              <w:t>注：投标人自行承诺，格式自拟，不承诺不得分。</w:t>
            </w:r>
          </w:p>
        </w:tc>
      </w:tr>
    </w:tbl>
    <w:p w14:paraId="6CB4056A">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widowControl w:val="0"/>
        <w:snapToGrid w:val="0"/>
        <w:spacing w:line="440" w:lineRule="atLeast"/>
        <w:ind w:firstLine="420" w:firstLineChars="200"/>
        <w:outlineLvl w:val="3"/>
        <w:rPr>
          <w:rFonts w:hint="eastAsia"/>
          <w:bCs/>
          <w:color w:val="auto"/>
          <w:sz w:val="21"/>
          <w:szCs w:val="21"/>
          <w:highlight w:val="none"/>
        </w:rPr>
      </w:pPr>
      <w:r>
        <w:rPr>
          <w:rFonts w:hint="eastAsia"/>
          <w:bCs/>
          <w:color w:val="auto"/>
          <w:sz w:val="21"/>
          <w:szCs w:val="21"/>
          <w:highlight w:val="none"/>
        </w:rPr>
        <w:t>6.3商务标评审细则（30分）</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57"/>
        <w:gridCol w:w="7605"/>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37E270E6">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7605"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Align w:val="center"/>
          </w:tcPr>
          <w:p w14:paraId="53F67AB3">
            <w:pPr>
              <w:keepNext/>
              <w:wordWrap w:val="0"/>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E1F7DA">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7605"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1、评标基准价=所有效投标供应商的最低报价；其得分为满分；</w:t>
            </w:r>
          </w:p>
          <w:p w14:paraId="12F9F226">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2、其它报价得分=评标基准价/投标报价*30分，小数点后保留两位小数，第三位四舍五入；</w:t>
            </w:r>
          </w:p>
          <w:p w14:paraId="19CB63E3">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65D66449">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7"/>
    </w:p>
    <w:p w14:paraId="27C7A5FF">
      <w:pPr>
        <w:keepNext/>
        <w:tabs>
          <w:tab w:val="left" w:pos="420"/>
        </w:tabs>
        <w:spacing w:line="440" w:lineRule="exact"/>
        <w:ind w:firstLine="420"/>
        <w:jc w:val="left"/>
        <w:outlineLvl w:val="2"/>
        <w:rPr>
          <w:rFonts w:ascii="宋体"/>
          <w:b/>
          <w:color w:val="auto"/>
          <w:szCs w:val="21"/>
          <w:highlight w:val="none"/>
        </w:rPr>
      </w:pPr>
      <w:bookmarkStart w:id="138" w:name="_Toc18551"/>
      <w:r>
        <w:rPr>
          <w:rFonts w:hint="eastAsia" w:ascii="宋体"/>
          <w:b/>
          <w:color w:val="auto"/>
          <w:szCs w:val="21"/>
          <w:highlight w:val="none"/>
        </w:rPr>
        <w:t>一、采购清单及技术参数</w:t>
      </w:r>
    </w:p>
    <w:tbl>
      <w:tblPr>
        <w:tblStyle w:val="26"/>
        <w:tblW w:w="14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8"/>
        <w:gridCol w:w="9271"/>
        <w:gridCol w:w="813"/>
        <w:gridCol w:w="700"/>
        <w:gridCol w:w="1128"/>
        <w:gridCol w:w="1406"/>
      </w:tblGrid>
      <w:tr w14:paraId="787A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3137E202">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888" w:type="dxa"/>
            <w:vAlign w:val="center"/>
          </w:tcPr>
          <w:p w14:paraId="47E62D4F">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名称</w:t>
            </w:r>
          </w:p>
        </w:tc>
        <w:tc>
          <w:tcPr>
            <w:tcW w:w="9271" w:type="dxa"/>
            <w:vAlign w:val="center"/>
          </w:tcPr>
          <w:p w14:paraId="64650D95">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主要技术参数</w:t>
            </w:r>
          </w:p>
        </w:tc>
        <w:tc>
          <w:tcPr>
            <w:tcW w:w="813" w:type="dxa"/>
            <w:vAlign w:val="center"/>
          </w:tcPr>
          <w:p w14:paraId="13C6FDD3">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数量</w:t>
            </w:r>
          </w:p>
        </w:tc>
        <w:tc>
          <w:tcPr>
            <w:tcW w:w="700" w:type="dxa"/>
            <w:vAlign w:val="center"/>
          </w:tcPr>
          <w:p w14:paraId="54044252">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单位</w:t>
            </w:r>
          </w:p>
        </w:tc>
        <w:tc>
          <w:tcPr>
            <w:tcW w:w="1128" w:type="dxa"/>
            <w:vAlign w:val="center"/>
          </w:tcPr>
          <w:p w14:paraId="09D50C4B">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最高综合单价（元）</w:t>
            </w:r>
          </w:p>
        </w:tc>
        <w:tc>
          <w:tcPr>
            <w:tcW w:w="1406" w:type="dxa"/>
            <w:vAlign w:val="center"/>
          </w:tcPr>
          <w:p w14:paraId="4D453EB6">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合价</w:t>
            </w:r>
          </w:p>
          <w:p w14:paraId="74839F0F">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（元）</w:t>
            </w:r>
          </w:p>
        </w:tc>
      </w:tr>
      <w:tr w14:paraId="10E0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C34AD71">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w:t>
            </w:r>
          </w:p>
        </w:tc>
        <w:tc>
          <w:tcPr>
            <w:tcW w:w="888" w:type="dxa"/>
            <w:vAlign w:val="center"/>
          </w:tcPr>
          <w:p w14:paraId="0BEECE8D">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LED屏</w:t>
            </w:r>
          </w:p>
        </w:tc>
        <w:tc>
          <w:tcPr>
            <w:tcW w:w="9271" w:type="dxa"/>
            <w:vAlign w:val="center"/>
          </w:tcPr>
          <w:p w14:paraId="58EF728A">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（1）LED像素点间距≤1.86mm;像素密度≥280000点/㎡，每个像素点采用1纯红1纯绿1纯蓝三像素，表贴三合一封装。</w:t>
            </w:r>
          </w:p>
          <w:p w14:paraId="7509FB43">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（2）可根据自身产品尺寸进行拼接，但是设计显示尺寸长和宽均不得小于规定长宽，误差范围不超过2％。</w:t>
            </w:r>
          </w:p>
          <w:p w14:paraId="1AF91F18">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（3）PCB设计焊盘采用沉金工艺处理，LED显示屏整屏平整度：≤0.05mm，单元平整度：≤0.05mm，模组间缝隙：≤0.10mm。</w:t>
            </w:r>
          </w:p>
          <w:p w14:paraId="622AA8F8">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（4）色彩：≥16Bit，≥280万亿色，色域覆盖率100%，NTSC色域覆盖率≥120%上，YLV(PAL)色域覆盖率≥170%，支持BT.2020、DCI.P3、BT.709、sRGB等多种色域转换。</w:t>
            </w:r>
          </w:p>
          <w:p w14:paraId="19A1165A">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（5）LED显示屏整屏像素失控率小于0.000001且区域像素失控率小于0.000003。</w:t>
            </w:r>
          </w:p>
          <w:p w14:paraId="53E32F85">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（6）投标产品水平和垂直视角≥170°；亮度均匀性≥99%，色度均匀性≤±0.001Cx、Cy之内。</w:t>
            </w:r>
          </w:p>
          <w:p w14:paraId="4DA2DD54">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（7）LED 显示屏观看舒适度需符合：“人眼视觉舒适度(VICO)”指数低于2.0，去除100% 紫外线，消除 80%摩尔纹。</w:t>
            </w:r>
          </w:p>
          <w:p w14:paraId="051A794C">
            <w:pPr>
              <w:spacing w:line="440" w:lineRule="exact"/>
              <w:rPr>
                <w:color w:val="auto"/>
                <w:szCs w:val="21"/>
                <w:highlight w:val="none"/>
              </w:rPr>
            </w:pPr>
            <w:r>
              <w:rPr>
                <w:rFonts w:hint="eastAsia" w:ascii="宋体" w:hAnsi="宋体"/>
                <w:b/>
                <w:bCs w:val="0"/>
                <w:color w:val="auto"/>
                <w:kern w:val="0"/>
                <w:highlight w:val="none"/>
                <w:lang w:val="en-US" w:eastAsia="zh-CN"/>
              </w:rPr>
              <w:t>（8）投标时提供所投产品需要获得CCC认证证书复印件加盖单位公章。</w:t>
            </w:r>
          </w:p>
        </w:tc>
        <w:tc>
          <w:tcPr>
            <w:tcW w:w="813" w:type="dxa"/>
            <w:shd w:val="clear" w:color="auto" w:fill="auto"/>
            <w:vAlign w:val="center"/>
          </w:tcPr>
          <w:p w14:paraId="63AC16DF">
            <w:pPr>
              <w:widowControl/>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700" w:type="dxa"/>
            <w:vAlign w:val="center"/>
          </w:tcPr>
          <w:p w14:paraId="5BF6670A">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平方</w:t>
            </w:r>
          </w:p>
        </w:tc>
        <w:tc>
          <w:tcPr>
            <w:tcW w:w="1128" w:type="dxa"/>
            <w:vAlign w:val="center"/>
          </w:tcPr>
          <w:p w14:paraId="16DBD868">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7500</w:t>
            </w:r>
          </w:p>
        </w:tc>
        <w:tc>
          <w:tcPr>
            <w:tcW w:w="1406" w:type="dxa"/>
            <w:vAlign w:val="center"/>
          </w:tcPr>
          <w:p w14:paraId="0B09C53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60000</w:t>
            </w:r>
          </w:p>
        </w:tc>
      </w:tr>
      <w:tr w14:paraId="6A95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BEE3F01">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w:t>
            </w:r>
          </w:p>
        </w:tc>
        <w:tc>
          <w:tcPr>
            <w:tcW w:w="888" w:type="dxa"/>
            <w:vAlign w:val="center"/>
          </w:tcPr>
          <w:p w14:paraId="2066E941">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接收卡</w:t>
            </w:r>
          </w:p>
        </w:tc>
        <w:tc>
          <w:tcPr>
            <w:tcW w:w="9271" w:type="dxa"/>
            <w:vAlign w:val="center"/>
          </w:tcPr>
          <w:p w14:paraId="7874B086">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单卡带载≤256*256像素；支持16组RGB并行数据；集成≥8个HUB75接口，免接HUB板。</w:t>
            </w:r>
          </w:p>
        </w:tc>
        <w:tc>
          <w:tcPr>
            <w:tcW w:w="813" w:type="dxa"/>
            <w:shd w:val="clear" w:color="auto" w:fill="auto"/>
            <w:vAlign w:val="center"/>
          </w:tcPr>
          <w:p w14:paraId="28A0EE31">
            <w:pPr>
              <w:widowControl/>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rPr>
              <w:t>26</w:t>
            </w:r>
          </w:p>
        </w:tc>
        <w:tc>
          <w:tcPr>
            <w:tcW w:w="700" w:type="dxa"/>
            <w:vAlign w:val="center"/>
          </w:tcPr>
          <w:p w14:paraId="59E6ACF5">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张</w:t>
            </w:r>
          </w:p>
        </w:tc>
        <w:tc>
          <w:tcPr>
            <w:tcW w:w="1128" w:type="dxa"/>
            <w:vAlign w:val="center"/>
          </w:tcPr>
          <w:p w14:paraId="0A210578">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260</w:t>
            </w:r>
          </w:p>
        </w:tc>
        <w:tc>
          <w:tcPr>
            <w:tcW w:w="1406" w:type="dxa"/>
            <w:vAlign w:val="center"/>
          </w:tcPr>
          <w:p w14:paraId="1C8854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6760</w:t>
            </w:r>
          </w:p>
        </w:tc>
      </w:tr>
      <w:tr w14:paraId="7B56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9EE9B2A">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w:t>
            </w:r>
          </w:p>
        </w:tc>
        <w:tc>
          <w:tcPr>
            <w:tcW w:w="888" w:type="dxa"/>
            <w:vAlign w:val="center"/>
          </w:tcPr>
          <w:p w14:paraId="06EC5E53">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视频处理器</w:t>
            </w:r>
          </w:p>
        </w:tc>
        <w:tc>
          <w:tcPr>
            <w:tcW w:w="9271" w:type="dxa"/>
            <w:vAlign w:val="center"/>
          </w:tcPr>
          <w:p w14:paraId="6A9CD789">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视频处理器：</w:t>
            </w:r>
          </w:p>
          <w:p w14:paraId="17F6BC2C">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（1）集成发送卡、视频处理、U盘播放功能于一体；支持≥1路DVI/HDMI/VGA/CVBS输入，≥1路USB播放；支持≥4路网口输出，≥260万像素点带载。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（2）支持画面全屏缩放、点对点显示、自定义缩放三种缩放模式；支持窗口位置、大小调整及窗口截取功能；支持≥6个预设场景。</w:t>
            </w:r>
          </w:p>
          <w:p w14:paraId="5F589851">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（3）支持输出软调映射功能。LED屏调试时，无需将处理器输出端口与LED屏发送卡按照固定的顺序进行连接，可通过软件平台快速对应输出端口与LED屏的映射关系。</w:t>
            </w:r>
          </w:p>
          <w:p w14:paraId="5FC25017">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（4）强大视频处理能力、搭载 SuperView III 画质处理技术、支持输出画面无极缩放。</w:t>
            </w:r>
          </w:p>
          <w:p w14:paraId="205CBD55">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（5）上电即可工作，启动速度快、稳定性高，不会出现死机、黑屏现象，启动时间＜5S。</w:t>
            </w:r>
          </w:p>
          <w:p w14:paraId="2C7FB0F1">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云联服务器：</w:t>
            </w:r>
          </w:p>
          <w:p w14:paraId="04FC8CC2">
            <w:pPr>
              <w:widowControl/>
              <w:spacing w:line="440" w:lineRule="exact"/>
              <w:jc w:val="left"/>
              <w:rPr>
                <w:rFonts w:ascii="宋体" w:hAnsi="宋体"/>
                <w:bCs/>
                <w:color w:val="auto"/>
                <w:kern w:val="0"/>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（1）</w:t>
            </w:r>
            <w:r>
              <w:rPr>
                <w:rFonts w:hint="eastAsia" w:ascii="宋体" w:hAnsi="宋体"/>
                <w:bCs/>
                <w:color w:val="auto"/>
                <w:kern w:val="0"/>
                <w:highlight w:val="none"/>
              </w:rPr>
              <w:t>检验项目至少包含但不限于</w:t>
            </w:r>
            <w:r>
              <w:rPr>
                <w:rFonts w:hint="eastAsia" w:ascii="宋体" w:hAnsi="宋体"/>
                <w:bCs/>
                <w:color w:val="auto"/>
                <w:kern w:val="0"/>
                <w:highlight w:val="none"/>
                <w:lang w:eastAsia="zh-CN"/>
              </w:rPr>
              <w:t>：</w:t>
            </w:r>
            <w:r>
              <w:rPr>
                <w:rFonts w:hint="eastAsia" w:ascii="宋体" w:hAnsi="宋体" w:cs="宋体"/>
                <w:color w:val="auto"/>
                <w:kern w:val="0"/>
                <w:szCs w:val="21"/>
                <w:highlight w:val="none"/>
              </w:rPr>
              <w:t>不少于6个HDMI输出，HDMI最大支持8K输出，可以显示不少于6个不同画面，</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p w14:paraId="012CF43B">
            <w:pPr>
              <w:widowControl/>
              <w:spacing w:line="440" w:lineRule="exact"/>
              <w:jc w:val="left"/>
              <w:rPr>
                <w:rFonts w:ascii="宋体" w:hAnsi="宋体"/>
                <w:bCs/>
                <w:color w:val="auto"/>
                <w:kern w:val="0"/>
                <w:highlight w:val="none"/>
              </w:rPr>
            </w:pPr>
            <w:r>
              <w:rPr>
                <w:rFonts w:hint="eastAsia" w:ascii="宋体" w:hAnsi="宋体" w:cs="宋体"/>
                <w:color w:val="auto"/>
                <w:kern w:val="0"/>
                <w:szCs w:val="21"/>
                <w:highlight w:val="none"/>
              </w:rPr>
              <w:t>（2）支持H.265/H.264视频解码，最高8K60FPS。</w:t>
            </w:r>
          </w:p>
          <w:p w14:paraId="7DD6836E">
            <w:pPr>
              <w:widowControl/>
              <w:spacing w:line="440" w:lineRule="exact"/>
              <w:jc w:val="left"/>
              <w:rPr>
                <w:rFonts w:ascii="宋体" w:hAnsi="宋体"/>
                <w:bCs/>
                <w:color w:val="auto"/>
                <w:kern w:val="0"/>
                <w:highlight w:val="none"/>
              </w:rPr>
            </w:pPr>
            <w:r>
              <w:rPr>
                <w:rFonts w:hint="eastAsia" w:ascii="宋体" w:hAnsi="宋体"/>
                <w:bCs/>
                <w:color w:val="auto"/>
                <w:kern w:val="0"/>
                <w:highlight w:val="none"/>
              </w:rPr>
              <w:t>■（</w:t>
            </w:r>
            <w:r>
              <w:rPr>
                <w:rFonts w:ascii="宋体" w:hAnsi="宋体"/>
                <w:bCs/>
                <w:color w:val="auto"/>
                <w:kern w:val="0"/>
                <w:highlight w:val="none"/>
              </w:rPr>
              <w:t>3</w:t>
            </w:r>
            <w:r>
              <w:rPr>
                <w:rFonts w:hint="eastAsia" w:ascii="宋体" w:hAnsi="宋体"/>
                <w:bCs/>
                <w:color w:val="auto"/>
                <w:kern w:val="0"/>
                <w:highlight w:val="none"/>
              </w:rPr>
              <w:t>）在一个屏幕上可以任意分屏，最大支持6块不同的显示屏任意分屏，开窗，漫游显示（投标文件中提供与所投产品同品牌同型号的</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p w14:paraId="297D0527">
            <w:pPr>
              <w:widowControl/>
              <w:spacing w:line="440" w:lineRule="exact"/>
              <w:jc w:val="left"/>
              <w:rPr>
                <w:rFonts w:ascii="宋体" w:hAnsi="宋体"/>
                <w:bCs/>
                <w:color w:val="auto"/>
                <w:kern w:val="0"/>
                <w:highlight w:val="none"/>
              </w:rPr>
            </w:pPr>
            <w:r>
              <w:rPr>
                <w:rFonts w:hint="eastAsia" w:ascii="宋体" w:hAnsi="宋体"/>
                <w:bCs/>
                <w:color w:val="auto"/>
                <w:kern w:val="0"/>
                <w:highlight w:val="none"/>
              </w:rPr>
              <w:t>（</w:t>
            </w:r>
            <w:r>
              <w:rPr>
                <w:rFonts w:ascii="宋体" w:hAnsi="宋体"/>
                <w:bCs/>
                <w:color w:val="auto"/>
                <w:kern w:val="0"/>
                <w:highlight w:val="none"/>
              </w:rPr>
              <w:t>4</w:t>
            </w:r>
            <w:r>
              <w:rPr>
                <w:rFonts w:hint="eastAsia" w:ascii="宋体" w:hAnsi="宋体"/>
                <w:bCs/>
                <w:color w:val="auto"/>
                <w:kern w:val="0"/>
                <w:highlight w:val="none"/>
              </w:rPr>
              <w:t>）服务器系统采用B/S架构，管理人员只需通过WEB页面即可访问节目制作编辑系统。</w:t>
            </w:r>
          </w:p>
          <w:p w14:paraId="3C3B7C1D">
            <w:pPr>
              <w:widowControl/>
              <w:spacing w:line="440" w:lineRule="exact"/>
              <w:jc w:val="left"/>
              <w:rPr>
                <w:rFonts w:ascii="宋体" w:hAnsi="宋体"/>
                <w:bCs/>
                <w:color w:val="auto"/>
                <w:kern w:val="0"/>
                <w:highlight w:val="none"/>
              </w:rPr>
            </w:pPr>
            <w:r>
              <w:rPr>
                <w:rFonts w:hint="eastAsia" w:ascii="宋体" w:hAnsi="宋体"/>
                <w:bCs/>
                <w:color w:val="auto"/>
                <w:kern w:val="0"/>
                <w:highlight w:val="none"/>
              </w:rPr>
              <w:t>（5）系统界面默认支持简单中文、繁体、英文、俄语、日语（可扩展支持其它语言包）。</w:t>
            </w:r>
          </w:p>
          <w:p w14:paraId="5115414C">
            <w:pPr>
              <w:widowControl/>
              <w:spacing w:line="440" w:lineRule="exact"/>
              <w:jc w:val="left"/>
              <w:rPr>
                <w:rFonts w:ascii="宋体" w:hAnsi="宋体"/>
                <w:bCs/>
                <w:color w:val="auto"/>
                <w:kern w:val="0"/>
                <w:highlight w:val="none"/>
              </w:rPr>
            </w:pPr>
            <w:r>
              <w:rPr>
                <w:rFonts w:hint="eastAsia" w:ascii="宋体" w:hAnsi="宋体"/>
                <w:bCs/>
                <w:color w:val="auto"/>
                <w:kern w:val="0"/>
                <w:highlight w:val="none"/>
              </w:rPr>
              <w:t>（6）支持windows操作系统(x86架构)。</w:t>
            </w:r>
          </w:p>
          <w:p w14:paraId="3776D581">
            <w:pPr>
              <w:widowControl/>
              <w:spacing w:line="440" w:lineRule="exact"/>
              <w:jc w:val="left"/>
              <w:rPr>
                <w:rFonts w:ascii="宋体" w:hAnsi="宋体"/>
                <w:bCs/>
                <w:color w:val="auto"/>
                <w:kern w:val="0"/>
                <w:highlight w:val="none"/>
              </w:rPr>
            </w:pPr>
            <w:r>
              <w:rPr>
                <w:rFonts w:hint="eastAsia" w:ascii="宋体" w:hAnsi="宋体"/>
                <w:bCs/>
                <w:color w:val="auto"/>
                <w:kern w:val="0"/>
                <w:highlight w:val="none"/>
              </w:rPr>
              <w:t>（7）支持局域网（内网）、互联网（公网）、专网等， 包括3G/4G/Wifi/Adsl/光纤等各种网络。</w:t>
            </w:r>
          </w:p>
          <w:p w14:paraId="64E987FC">
            <w:pPr>
              <w:widowControl/>
              <w:spacing w:line="440" w:lineRule="exact"/>
              <w:jc w:val="left"/>
              <w:rPr>
                <w:rFonts w:ascii="宋体" w:hAnsi="宋体"/>
                <w:bCs/>
                <w:color w:val="auto"/>
                <w:kern w:val="0"/>
                <w:highlight w:val="none"/>
              </w:rPr>
            </w:pPr>
            <w:r>
              <w:rPr>
                <w:rFonts w:hint="eastAsia" w:ascii="宋体" w:hAnsi="宋体"/>
                <w:bCs/>
                <w:color w:val="auto"/>
                <w:kern w:val="0"/>
                <w:highlight w:val="none"/>
              </w:rPr>
              <w:t>（8）终端安装简单，只需要指定服务器IP或者域名，通电联网就可以使用。</w:t>
            </w:r>
          </w:p>
          <w:p w14:paraId="6E12AB61">
            <w:pPr>
              <w:widowControl/>
              <w:spacing w:line="440" w:lineRule="exact"/>
              <w:jc w:val="left"/>
              <w:rPr>
                <w:rFonts w:ascii="宋体" w:hAnsi="宋体"/>
                <w:bCs/>
                <w:color w:val="auto"/>
                <w:kern w:val="0"/>
                <w:highlight w:val="none"/>
              </w:rPr>
            </w:pPr>
            <w:r>
              <w:rPr>
                <w:rFonts w:hint="eastAsia" w:ascii="宋体" w:hAnsi="宋体"/>
                <w:bCs/>
                <w:color w:val="auto"/>
                <w:kern w:val="0"/>
                <w:highlight w:val="none"/>
              </w:rPr>
              <w:t>（9）支持上传超过2G以上超大文件。</w:t>
            </w:r>
          </w:p>
          <w:p w14:paraId="524E1198">
            <w:pPr>
              <w:widowControl/>
              <w:spacing w:line="440" w:lineRule="exact"/>
              <w:jc w:val="left"/>
              <w:rPr>
                <w:rFonts w:ascii="宋体" w:hAnsi="宋体" w:cs="宋体"/>
                <w:color w:val="auto"/>
                <w:kern w:val="0"/>
                <w:szCs w:val="21"/>
                <w:highlight w:val="none"/>
              </w:rPr>
            </w:pPr>
            <w:r>
              <w:rPr>
                <w:rFonts w:hint="eastAsia" w:ascii="宋体" w:hAnsi="宋体"/>
                <w:bCs/>
                <w:color w:val="auto"/>
                <w:kern w:val="0"/>
                <w:highlight w:val="none"/>
              </w:rPr>
              <w:t>（1</w:t>
            </w:r>
            <w:r>
              <w:rPr>
                <w:rFonts w:ascii="宋体" w:hAnsi="宋体"/>
                <w:bCs/>
                <w:color w:val="auto"/>
                <w:kern w:val="0"/>
                <w:highlight w:val="none"/>
              </w:rPr>
              <w:t>0</w:t>
            </w:r>
            <w:r>
              <w:rPr>
                <w:rFonts w:hint="eastAsia" w:ascii="宋体" w:hAnsi="宋体"/>
                <w:bCs/>
                <w:color w:val="auto"/>
                <w:kern w:val="0"/>
                <w:highlight w:val="none"/>
              </w:rPr>
              <w:t>）windows终端互动按钮支持：上一个，下一个，播放，暂停，停止，退出。</w:t>
            </w:r>
          </w:p>
        </w:tc>
        <w:tc>
          <w:tcPr>
            <w:tcW w:w="813" w:type="dxa"/>
            <w:shd w:val="clear" w:color="auto" w:fill="auto"/>
            <w:vAlign w:val="center"/>
          </w:tcPr>
          <w:p w14:paraId="748D158C">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0" w:type="dxa"/>
            <w:vAlign w:val="center"/>
          </w:tcPr>
          <w:p w14:paraId="0C043E0D">
            <w:pPr>
              <w:spacing w:line="440" w:lineRule="exact"/>
              <w:jc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rPr>
              <w:t>套</w:t>
            </w:r>
          </w:p>
        </w:tc>
        <w:tc>
          <w:tcPr>
            <w:tcW w:w="1128" w:type="dxa"/>
            <w:vAlign w:val="center"/>
          </w:tcPr>
          <w:p w14:paraId="154FDD44">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3600</w:t>
            </w:r>
          </w:p>
        </w:tc>
        <w:tc>
          <w:tcPr>
            <w:tcW w:w="1406" w:type="dxa"/>
            <w:vAlign w:val="center"/>
          </w:tcPr>
          <w:p w14:paraId="21183D0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3600</w:t>
            </w:r>
          </w:p>
        </w:tc>
      </w:tr>
      <w:tr w14:paraId="4846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89E5968">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4</w:t>
            </w:r>
          </w:p>
        </w:tc>
        <w:tc>
          <w:tcPr>
            <w:tcW w:w="888" w:type="dxa"/>
            <w:vAlign w:val="center"/>
          </w:tcPr>
          <w:p w14:paraId="3D080F1E">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电源</w:t>
            </w:r>
          </w:p>
        </w:tc>
        <w:tc>
          <w:tcPr>
            <w:tcW w:w="9271" w:type="dxa"/>
            <w:vAlign w:val="center"/>
          </w:tcPr>
          <w:p w14:paraId="57813017">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数控开关电源在接到数控信号后,调整输出电压，然后送到LED显示屏。</w:t>
            </w:r>
          </w:p>
        </w:tc>
        <w:tc>
          <w:tcPr>
            <w:tcW w:w="813" w:type="dxa"/>
            <w:shd w:val="clear" w:color="auto" w:fill="auto"/>
            <w:vAlign w:val="center"/>
          </w:tcPr>
          <w:p w14:paraId="3020C052">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40 </w:t>
            </w:r>
          </w:p>
        </w:tc>
        <w:tc>
          <w:tcPr>
            <w:tcW w:w="700" w:type="dxa"/>
            <w:vAlign w:val="center"/>
          </w:tcPr>
          <w:p w14:paraId="27146E34">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E6E40EF">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122</w:t>
            </w:r>
          </w:p>
        </w:tc>
        <w:tc>
          <w:tcPr>
            <w:tcW w:w="1406" w:type="dxa"/>
            <w:vAlign w:val="center"/>
          </w:tcPr>
          <w:p w14:paraId="087E5D3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4880</w:t>
            </w:r>
          </w:p>
        </w:tc>
      </w:tr>
      <w:tr w14:paraId="652C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EE73EEB">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5</w:t>
            </w:r>
          </w:p>
        </w:tc>
        <w:tc>
          <w:tcPr>
            <w:tcW w:w="888" w:type="dxa"/>
            <w:vAlign w:val="center"/>
          </w:tcPr>
          <w:p w14:paraId="0F5D65AE">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配电柜</w:t>
            </w:r>
          </w:p>
        </w:tc>
        <w:tc>
          <w:tcPr>
            <w:tcW w:w="9271" w:type="dxa"/>
            <w:vAlign w:val="center"/>
          </w:tcPr>
          <w:p w14:paraId="099934D8">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（1）功能特性： 控制方式：手动+时控+选控三位一体； 手动状态：一键启停，分步上电、断电； 时控状态：设置4组控制时间段； 选控控制：多功能卡、PLC、干接点 ； 空调控制：单独温度设定控制；级联控制：自动级联控制。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（2）输入接线 接线方式 ：≥国家3相5线；输入电压 ：3相380V，50Hz；额定功率：≥10KW。</w:t>
            </w:r>
          </w:p>
        </w:tc>
        <w:tc>
          <w:tcPr>
            <w:tcW w:w="813" w:type="dxa"/>
            <w:shd w:val="clear" w:color="auto" w:fill="auto"/>
            <w:vAlign w:val="center"/>
          </w:tcPr>
          <w:p w14:paraId="3A832CE8">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0" w:type="dxa"/>
            <w:vAlign w:val="center"/>
          </w:tcPr>
          <w:p w14:paraId="2268F4DE">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套</w:t>
            </w:r>
          </w:p>
        </w:tc>
        <w:tc>
          <w:tcPr>
            <w:tcW w:w="1128" w:type="dxa"/>
            <w:vAlign w:val="center"/>
          </w:tcPr>
          <w:p w14:paraId="716912E3">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3500</w:t>
            </w:r>
          </w:p>
        </w:tc>
        <w:tc>
          <w:tcPr>
            <w:tcW w:w="1406" w:type="dxa"/>
            <w:vAlign w:val="center"/>
          </w:tcPr>
          <w:p w14:paraId="5955CB4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3500</w:t>
            </w:r>
          </w:p>
        </w:tc>
      </w:tr>
      <w:tr w14:paraId="2EE9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C2D029F">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6</w:t>
            </w:r>
          </w:p>
        </w:tc>
        <w:tc>
          <w:tcPr>
            <w:tcW w:w="888" w:type="dxa"/>
            <w:vAlign w:val="center"/>
          </w:tcPr>
          <w:p w14:paraId="415765AB">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控制软件</w:t>
            </w:r>
          </w:p>
        </w:tc>
        <w:tc>
          <w:tcPr>
            <w:tcW w:w="9271" w:type="dxa"/>
            <w:vAlign w:val="center"/>
          </w:tcPr>
          <w:p w14:paraId="55223D16">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（1）多显示屏导播、远程显示屏管理通过一台计算机的操作远程控制和发布播放方案到显示屏。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（2）多日期多时段调度功能、多节目页功能、节目页多窗口功能。</w:t>
            </w:r>
          </w:p>
          <w:p w14:paraId="07357457">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（3）多种媒体类型：支持视频，音频、图片、Flash、自定义文本、单行文本、静态文本、走马灯、模拟时钟、数字时钟、天气预报、倒计时、视频设备、网页等。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（4）媒体属性：支持媒体的背景颜色、背景图片、透明度、音量、显示比例、出入场特效、特效速度、文字颜色、文字效果、字体、风格、透明等属性设置。</w:t>
            </w:r>
          </w:p>
          <w:p w14:paraId="68A39E2A">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（5）硬盘备份功能:可将当前的播放方案和包含的全部媒体备份到指定的硬盘位置,可监测U盘的插入，并自动播放U盘中的播放方案。</w:t>
            </w:r>
          </w:p>
        </w:tc>
        <w:tc>
          <w:tcPr>
            <w:tcW w:w="813" w:type="dxa"/>
            <w:shd w:val="clear" w:color="auto" w:fill="auto"/>
            <w:vAlign w:val="center"/>
          </w:tcPr>
          <w:p w14:paraId="7E8058D7">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71617EFC">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套</w:t>
            </w:r>
          </w:p>
        </w:tc>
        <w:tc>
          <w:tcPr>
            <w:tcW w:w="1128" w:type="dxa"/>
            <w:vAlign w:val="center"/>
          </w:tcPr>
          <w:p w14:paraId="35E2E128">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2200</w:t>
            </w:r>
          </w:p>
        </w:tc>
        <w:tc>
          <w:tcPr>
            <w:tcW w:w="1406" w:type="dxa"/>
            <w:vAlign w:val="center"/>
          </w:tcPr>
          <w:p w14:paraId="581E50D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2200</w:t>
            </w:r>
          </w:p>
        </w:tc>
      </w:tr>
      <w:tr w14:paraId="3E84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17E6CA6">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7</w:t>
            </w:r>
          </w:p>
        </w:tc>
        <w:tc>
          <w:tcPr>
            <w:tcW w:w="888" w:type="dxa"/>
            <w:vAlign w:val="center"/>
          </w:tcPr>
          <w:p w14:paraId="7757B2BD">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屏体结构</w:t>
            </w:r>
          </w:p>
        </w:tc>
        <w:tc>
          <w:tcPr>
            <w:tcW w:w="9271" w:type="dxa"/>
            <w:vAlign w:val="center"/>
          </w:tcPr>
          <w:p w14:paraId="373D5F6E">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安装方式：壁挂式安装。钢架结构采用国标</w:t>
            </w:r>
            <w:r>
              <w:rPr>
                <w:rFonts w:ascii="宋体" w:hAnsi="宋体" w:cs="宋体"/>
                <w:color w:val="auto"/>
                <w:kern w:val="0"/>
                <w:szCs w:val="21"/>
                <w:highlight w:val="none"/>
              </w:rPr>
              <w:t>40mm(±10mm)*40mm(±10mm)</w:t>
            </w:r>
            <w:r>
              <w:rPr>
                <w:rFonts w:hint="eastAsia" w:ascii="宋体" w:hAnsi="宋体" w:cs="宋体"/>
                <w:color w:val="auto"/>
                <w:kern w:val="0"/>
                <w:szCs w:val="21"/>
                <w:highlight w:val="none"/>
              </w:rPr>
              <w:t>镀锌钢管，中间采用50（±10mm）*30（±10mm）国标镀锌方管等，外部装潢采用不锈钢包边。钢架结构整体美观整齐、牢固稳定，采用标准工艺、焊接角铁及方管的方式组成框架。</w:t>
            </w:r>
          </w:p>
        </w:tc>
        <w:tc>
          <w:tcPr>
            <w:tcW w:w="813" w:type="dxa"/>
            <w:shd w:val="clear" w:color="auto" w:fill="auto"/>
            <w:vAlign w:val="center"/>
          </w:tcPr>
          <w:p w14:paraId="54D4DA8E">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00" w:type="dxa"/>
            <w:vAlign w:val="center"/>
          </w:tcPr>
          <w:p w14:paraId="2AECC4C2">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平方</w:t>
            </w:r>
          </w:p>
        </w:tc>
        <w:tc>
          <w:tcPr>
            <w:tcW w:w="1128" w:type="dxa"/>
            <w:vAlign w:val="center"/>
          </w:tcPr>
          <w:p w14:paraId="6CB1D5D6">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870</w:t>
            </w:r>
          </w:p>
        </w:tc>
        <w:tc>
          <w:tcPr>
            <w:tcW w:w="1406" w:type="dxa"/>
            <w:vAlign w:val="center"/>
          </w:tcPr>
          <w:p w14:paraId="155AF87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6960</w:t>
            </w:r>
          </w:p>
        </w:tc>
      </w:tr>
      <w:tr w14:paraId="5666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73127E0">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8</w:t>
            </w:r>
          </w:p>
        </w:tc>
        <w:tc>
          <w:tcPr>
            <w:tcW w:w="888" w:type="dxa"/>
            <w:vAlign w:val="center"/>
          </w:tcPr>
          <w:p w14:paraId="763DB21F">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机柜</w:t>
            </w:r>
          </w:p>
        </w:tc>
        <w:tc>
          <w:tcPr>
            <w:tcW w:w="9271" w:type="dxa"/>
            <w:vAlign w:val="center"/>
          </w:tcPr>
          <w:p w14:paraId="24CC467C">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（1）容量：≥20U；兼容</w:t>
            </w:r>
            <w:r>
              <w:rPr>
                <w:rFonts w:hint="eastAsia" w:asciiTheme="minorEastAsia" w:hAnsiTheme="minorEastAsia" w:eastAsiaTheme="minorEastAsia" w:cstheme="minorEastAsia"/>
                <w:color w:val="auto"/>
                <w:sz w:val="22"/>
                <w:szCs w:val="22"/>
                <w:highlight w:val="none"/>
                <w:shd w:val="clear" w:color="auto" w:fill="FDFDFE"/>
              </w:rPr>
              <w:t>GB/T 13879-2017</w:t>
            </w:r>
            <w:r>
              <w:rPr>
                <w:rFonts w:hint="eastAsia" w:ascii="宋体" w:hAnsi="宋体" w:cs="宋体"/>
                <w:color w:val="auto"/>
                <w:kern w:val="0"/>
                <w:szCs w:val="21"/>
                <w:highlight w:val="none"/>
              </w:rPr>
              <w:t>标准；门及门锁：高密度六角网孔前后门。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（2）材料及工艺：优质冷扎钢板制作；厚度：方孔条1.5±0.5mmmm，安装梁 1.2±0.5mm，其它 1.0±0.5mm；表面处理：方孔条镀蓝锌；其余：脱脂、磷化、静电喷塑；附加功能：前后为圆形通风孔的上下框。</w:t>
            </w:r>
          </w:p>
        </w:tc>
        <w:tc>
          <w:tcPr>
            <w:tcW w:w="813" w:type="dxa"/>
            <w:shd w:val="clear" w:color="auto" w:fill="auto"/>
            <w:vAlign w:val="center"/>
          </w:tcPr>
          <w:p w14:paraId="7FE7CDB3">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64341673">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753346D5">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1400</w:t>
            </w:r>
          </w:p>
        </w:tc>
        <w:tc>
          <w:tcPr>
            <w:tcW w:w="1406" w:type="dxa"/>
            <w:vAlign w:val="center"/>
          </w:tcPr>
          <w:p w14:paraId="5593B41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1400</w:t>
            </w:r>
          </w:p>
        </w:tc>
      </w:tr>
      <w:tr w14:paraId="0692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14F7491">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9</w:t>
            </w:r>
          </w:p>
        </w:tc>
        <w:tc>
          <w:tcPr>
            <w:tcW w:w="888" w:type="dxa"/>
            <w:vAlign w:val="center"/>
          </w:tcPr>
          <w:p w14:paraId="45292693">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控制电脑（笔记本电脑）</w:t>
            </w:r>
          </w:p>
        </w:tc>
        <w:tc>
          <w:tcPr>
            <w:tcW w:w="9271" w:type="dxa"/>
            <w:vAlign w:val="center"/>
          </w:tcPr>
          <w:p w14:paraId="2F7E70F6">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（1）处理器：配置≥2颗，单颗CPU核数≥16核，主频≥2.5GHz；内存：≥16GB DDR5 5200MHz内存, 双内存插槽，最大支持 32G；硬盘：≥512G M.2 SSD硬盘。</w:t>
            </w:r>
          </w:p>
          <w:p w14:paraId="3EAF3C9D">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（2）显示屏：14” IPS防眩光液晶显示屏（≥1920x1200），≥300nit,屏幕支持180度平放，IPS通过低蓝光认证。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（3）网卡：802.11 AX 2x2无线网卡（支持WIFI6协议）。</w:t>
            </w:r>
          </w:p>
          <w:p w14:paraId="47939892">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（4）操作系统：出厂预装正版 Windows 11操作系统；适配器：65WTYPE-C电源适配器。</w:t>
            </w:r>
          </w:p>
        </w:tc>
        <w:tc>
          <w:tcPr>
            <w:tcW w:w="813" w:type="dxa"/>
            <w:shd w:val="clear" w:color="auto" w:fill="auto"/>
            <w:vAlign w:val="center"/>
          </w:tcPr>
          <w:p w14:paraId="051C1D4D">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2FD004A5">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7EB7F020">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4800</w:t>
            </w:r>
          </w:p>
        </w:tc>
        <w:tc>
          <w:tcPr>
            <w:tcW w:w="1406" w:type="dxa"/>
            <w:vAlign w:val="center"/>
          </w:tcPr>
          <w:p w14:paraId="251D7DE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4800</w:t>
            </w:r>
          </w:p>
        </w:tc>
      </w:tr>
      <w:tr w14:paraId="15C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B53AA4C">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10</w:t>
            </w:r>
          </w:p>
        </w:tc>
        <w:tc>
          <w:tcPr>
            <w:tcW w:w="888" w:type="dxa"/>
            <w:vAlign w:val="center"/>
          </w:tcPr>
          <w:p w14:paraId="5FC9B7F5">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视频会议摄像头</w:t>
            </w:r>
          </w:p>
        </w:tc>
        <w:tc>
          <w:tcPr>
            <w:tcW w:w="9271" w:type="dxa"/>
            <w:vAlign w:val="center"/>
          </w:tcPr>
          <w:p w14:paraId="69CEE47A">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（1）传感器类型: 1/2.8"2MP CMOS;最高分辨率: 1920(水平)x1080(垂直)。</w:t>
            </w:r>
          </w:p>
          <w:p w14:paraId="2DD19862">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（2）最低照度: 0.2Lux @(F1.8-2.8，AGC ON)；镜头: 变焦:3mm-15mm。</w:t>
            </w:r>
          </w:p>
          <w:p w14:paraId="080B75B4">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（3）三轴或两轴调节角度，支持自动/手动白平衡、背光补偿、左右翻转/上下翻转/中心镜像。</w:t>
            </w:r>
          </w:p>
        </w:tc>
        <w:tc>
          <w:tcPr>
            <w:tcW w:w="813" w:type="dxa"/>
            <w:shd w:val="clear" w:color="auto" w:fill="auto"/>
            <w:vAlign w:val="center"/>
          </w:tcPr>
          <w:p w14:paraId="1A1F6514">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52B7AC62">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268C7F8C">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3600</w:t>
            </w:r>
          </w:p>
        </w:tc>
        <w:tc>
          <w:tcPr>
            <w:tcW w:w="1406" w:type="dxa"/>
            <w:vAlign w:val="center"/>
          </w:tcPr>
          <w:p w14:paraId="188F566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3600</w:t>
            </w:r>
          </w:p>
        </w:tc>
      </w:tr>
      <w:tr w14:paraId="2321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631FE79">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11</w:t>
            </w:r>
          </w:p>
        </w:tc>
        <w:tc>
          <w:tcPr>
            <w:tcW w:w="888" w:type="dxa"/>
            <w:vAlign w:val="center"/>
          </w:tcPr>
          <w:p w14:paraId="2973D47A">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视频会议麦克风</w:t>
            </w:r>
          </w:p>
        </w:tc>
        <w:tc>
          <w:tcPr>
            <w:tcW w:w="9271" w:type="dxa"/>
            <w:vAlign w:val="center"/>
          </w:tcPr>
          <w:p w14:paraId="3FF31EC8">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（1）主机接口：2.4G 无线数据传输，3.5mm音频输出接口1个，USB充电接口1个。</w:t>
            </w:r>
          </w:p>
          <w:p w14:paraId="0C3B39F2">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（2）内置锂电池：1800mAh电池容量，连续使用时间8小时左右(视工作环境条件会有变化);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（3）USB 无线适配器：2.4G无线数据传输，USB20接口(电脑端)。</w:t>
            </w:r>
          </w:p>
        </w:tc>
        <w:tc>
          <w:tcPr>
            <w:tcW w:w="813" w:type="dxa"/>
            <w:shd w:val="clear" w:color="auto" w:fill="auto"/>
            <w:vAlign w:val="center"/>
          </w:tcPr>
          <w:p w14:paraId="55AF7C29">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4D7A2B7C">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11AAC4D">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2200</w:t>
            </w:r>
          </w:p>
        </w:tc>
        <w:tc>
          <w:tcPr>
            <w:tcW w:w="1406" w:type="dxa"/>
            <w:vAlign w:val="center"/>
          </w:tcPr>
          <w:p w14:paraId="3919D66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2200</w:t>
            </w:r>
          </w:p>
        </w:tc>
      </w:tr>
      <w:tr w14:paraId="6D98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BB06369">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12</w:t>
            </w:r>
          </w:p>
        </w:tc>
        <w:tc>
          <w:tcPr>
            <w:tcW w:w="888" w:type="dxa"/>
            <w:vAlign w:val="center"/>
          </w:tcPr>
          <w:p w14:paraId="6C0552CF">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无线同屏</w:t>
            </w:r>
          </w:p>
        </w:tc>
        <w:tc>
          <w:tcPr>
            <w:tcW w:w="9271" w:type="dxa"/>
            <w:vAlign w:val="center"/>
          </w:tcPr>
          <w:p w14:paraId="11DF23C5">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（1）嵌入式硬件架构，A7 1.4GHz四核CPU，支持1路4K或2路1080P解码，支持1路1080P编码，内置LINUX操作系统。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（2）支持操作系统：支持主流计算机操作系统，和连接主流手机、平板。 </w:t>
            </w:r>
          </w:p>
          <w:p w14:paraId="6A6892DD">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（3）硬件规格：1 x HDMI 2.0接口相当及以上，1 x网络接口（百兆网口）相当及以上，1 x 3.5mm音频接口相当及以上，2 x TYPEA USB2.0接口相当及以上，1 x TYPEC USB2.0接口相当及以上，1 x 12V/1A电源接口HDMI相当及以上，输出分辨率：4K60Hz相当及以上，解码格式：H.265、H.264， 解码能力：最大4K30帧数：可达30帧/每秒，HDMI分辨率：3840x2160P60、3840x2160P30、1920x1080P60、1280x720P60、1024x768P60，支持三种发射器：USB发射器（1080P编码）、HDMI发射器（支持4K编码）和TYPEC发射器（支持4K编码），支持WIN 纯软件投屏，通过WIN Sender应用软件，支持miracast投屏，不需要切换主机WiFi配置。</w:t>
            </w:r>
          </w:p>
        </w:tc>
        <w:tc>
          <w:tcPr>
            <w:tcW w:w="813" w:type="dxa"/>
            <w:shd w:val="clear" w:color="auto" w:fill="auto"/>
            <w:vAlign w:val="center"/>
          </w:tcPr>
          <w:p w14:paraId="3B4F5A98">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5381E4A6">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5E0B30D">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1400</w:t>
            </w:r>
          </w:p>
        </w:tc>
        <w:tc>
          <w:tcPr>
            <w:tcW w:w="1406" w:type="dxa"/>
            <w:vAlign w:val="center"/>
          </w:tcPr>
          <w:p w14:paraId="199AA04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1400</w:t>
            </w:r>
          </w:p>
        </w:tc>
      </w:tr>
      <w:tr w14:paraId="0BD0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87610E8">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13</w:t>
            </w:r>
          </w:p>
        </w:tc>
        <w:tc>
          <w:tcPr>
            <w:tcW w:w="888" w:type="dxa"/>
            <w:vAlign w:val="center"/>
          </w:tcPr>
          <w:p w14:paraId="1F59CFC9">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主扩全频扬声器</w:t>
            </w:r>
          </w:p>
        </w:tc>
        <w:tc>
          <w:tcPr>
            <w:tcW w:w="9271" w:type="dxa"/>
            <w:vAlign w:val="center"/>
          </w:tcPr>
          <w:p w14:paraId="6A3ED413">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（1）10英寸大功率低音驱动单元，1.35英寸钛膜压缩高音单元；90°×60°号角覆盖。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（2）额定功率≥250W，峰值功率≥1000W，额定阻抗≥8Ω，灵敏度≥97dB/W/m，连续声压级≥121dB/W/m，最大声压级≥127dB/W/m，频率范围：55-20000Hz，覆盖角度（H×V）≥ 90º×60º可旋转高音号角，扬声器单元：LF约10″×1  HF约1.35″×1。</w:t>
            </w:r>
          </w:p>
          <w:p w14:paraId="0F47C9DE">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●（3）中纤板音箱材质，表面黑色点漆处理，多孔铁网罩；单元配置：不小于10寸50芯170磁低音单元；不小于1.3寸34芯高音单元；连接方式：2xNL4 Speakon，</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tc>
        <w:tc>
          <w:tcPr>
            <w:tcW w:w="813" w:type="dxa"/>
            <w:shd w:val="clear" w:color="auto" w:fill="auto"/>
            <w:vAlign w:val="center"/>
          </w:tcPr>
          <w:p w14:paraId="49483AE5">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00" w:type="dxa"/>
            <w:vAlign w:val="center"/>
          </w:tcPr>
          <w:p w14:paraId="5DAC3568">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只</w:t>
            </w:r>
          </w:p>
        </w:tc>
        <w:tc>
          <w:tcPr>
            <w:tcW w:w="1128" w:type="dxa"/>
            <w:vAlign w:val="center"/>
          </w:tcPr>
          <w:p w14:paraId="3BD00548">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2500</w:t>
            </w:r>
          </w:p>
        </w:tc>
        <w:tc>
          <w:tcPr>
            <w:tcW w:w="1406" w:type="dxa"/>
            <w:vAlign w:val="center"/>
          </w:tcPr>
          <w:p w14:paraId="095A937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r>
      <w:tr w14:paraId="68F5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1F69C5DC">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14</w:t>
            </w:r>
          </w:p>
        </w:tc>
        <w:tc>
          <w:tcPr>
            <w:tcW w:w="888" w:type="dxa"/>
            <w:vAlign w:val="center"/>
          </w:tcPr>
          <w:p w14:paraId="0F9A5A3F">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主扩功率放大器</w:t>
            </w:r>
          </w:p>
        </w:tc>
        <w:tc>
          <w:tcPr>
            <w:tcW w:w="9271" w:type="dxa"/>
            <w:vAlign w:val="center"/>
          </w:tcPr>
          <w:p w14:paraId="15496987">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（1）采用全分立元件的移相控制自激振荡电路；无冲击声的开关机控制、平衡差分音频信号输入（也可以接成非平衡）；输出功率（RMS）：≥ 2×400W/8Ω2×680W/4Ω2×1150W/2Ω输出功率（桥接）：≥1×800W/16Ω1×1360W/8Ω1×2300W/4Ω。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■（2）多种保护和警告功能：温度保护、过载保护、短路保护，</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（3）频率响应：20Hz-20kHz±0.5dB；总谐波失真（THD+N)：≤0.03%（10%输出功率，1KHZ,A计权）；输入灵敏度：35dB/32dB /29dB/26dB（±0.5dB）；过载电动势：≥12dB；信噪比：≥105dB；输入阻抗：平衡20KΩ，非平衡10KΩ；串扰抑制：≥85dB（A计权，1KHZ,8Ω,输入衰减1dB）；声道增益差：≤0.5dB（输入衰减10dB，8Ω）。</w:t>
            </w:r>
          </w:p>
        </w:tc>
        <w:tc>
          <w:tcPr>
            <w:tcW w:w="813" w:type="dxa"/>
            <w:shd w:val="clear" w:color="auto" w:fill="auto"/>
            <w:vAlign w:val="center"/>
          </w:tcPr>
          <w:p w14:paraId="18B068F4">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00" w:type="dxa"/>
            <w:vAlign w:val="center"/>
          </w:tcPr>
          <w:p w14:paraId="4A5066C0">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0230AF4A">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3950</w:t>
            </w:r>
          </w:p>
        </w:tc>
        <w:tc>
          <w:tcPr>
            <w:tcW w:w="1406" w:type="dxa"/>
            <w:vAlign w:val="center"/>
          </w:tcPr>
          <w:p w14:paraId="2DD988A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7900</w:t>
            </w:r>
          </w:p>
        </w:tc>
      </w:tr>
      <w:tr w14:paraId="3D40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4CCEA6BD">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15</w:t>
            </w:r>
          </w:p>
        </w:tc>
        <w:tc>
          <w:tcPr>
            <w:tcW w:w="888" w:type="dxa"/>
            <w:vAlign w:val="center"/>
          </w:tcPr>
          <w:p w14:paraId="7AA84718">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调音台</w:t>
            </w:r>
          </w:p>
        </w:tc>
        <w:tc>
          <w:tcPr>
            <w:tcW w:w="9271" w:type="dxa"/>
            <w:vAlign w:val="center"/>
          </w:tcPr>
          <w:p w14:paraId="6618DE42">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（1）机架式调音台，上≥19英寸标准机柜；≥12路独立平衡线路输入，≥1组立体声输入，≥1组立体声输出；≥2路主输出加2编组输出，≥一路辅助输出；带USB接口和操作界面，可直接播放WMA、MP3双格式音乐。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（2）频率响应：≥20Hz-20KHz；总谐波失真：20Hz-20KHz时为+14dbu；输入GAIN控制旋钮至最小值；幻象电源：48V；输入均衡：HIGH:12KHz，MID:2.5KHz,LOW:80Hz。</w:t>
            </w:r>
          </w:p>
          <w:p w14:paraId="4DF7846E">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●（3）两个辅助输出，一个AUX发送，一个FX发送，AUX发送为推子前信号，FX发送为推子后信号，信号发送量都由旋钮控制，</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p w14:paraId="1AA34C1B">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●（4）左右主输出，60mm推子控制；两编组输出，两个推子独立控制，60mm推子，</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tc>
        <w:tc>
          <w:tcPr>
            <w:tcW w:w="813" w:type="dxa"/>
            <w:shd w:val="clear" w:color="auto" w:fill="auto"/>
            <w:vAlign w:val="center"/>
          </w:tcPr>
          <w:p w14:paraId="35DD2AE7">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0CA58031">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21E3AB40">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3500</w:t>
            </w:r>
          </w:p>
        </w:tc>
        <w:tc>
          <w:tcPr>
            <w:tcW w:w="1406" w:type="dxa"/>
            <w:vAlign w:val="center"/>
          </w:tcPr>
          <w:p w14:paraId="0A61E81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3500</w:t>
            </w:r>
          </w:p>
        </w:tc>
      </w:tr>
      <w:tr w14:paraId="0100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3D121D2">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16</w:t>
            </w:r>
          </w:p>
        </w:tc>
        <w:tc>
          <w:tcPr>
            <w:tcW w:w="888" w:type="dxa"/>
            <w:vAlign w:val="center"/>
          </w:tcPr>
          <w:p w14:paraId="54DFF141">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数字音频矩阵</w:t>
            </w:r>
          </w:p>
        </w:tc>
        <w:tc>
          <w:tcPr>
            <w:tcW w:w="9271" w:type="dxa"/>
            <w:vAlign w:val="center"/>
          </w:tcPr>
          <w:p w14:paraId="59AB2390">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（1）24-bit DSP技术，高性能AD /DA；灵活组合的2输入，6输出，多种分频模式；输入输出音量调节，范围从-40dB到+12dB，最小步进0.1dB。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USB，RS485等多种方式与上位机连接；多台机器联网功能，一台电脑可同时连接3种类型机器，同一类型最多达32台；≥132*32点阵LCD液晶显示屏；≥7段输入输出电平显示LED；静音显示LED灯，按键指示LED灯；动态范围：≥117dB；最大用户程式数：30；开关电源：AC90V-250V，50Hz/60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（3）频率响应：10Hz-22KHz；总谐波失真：≤0.01%。</w:t>
            </w:r>
          </w:p>
          <w:p w14:paraId="36E2C944">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4）8路模拟平衡输入，8路模拟平衡输出，最大输入输出17dBu（5.48Vrms）不失真；输入每通道带48V幻像电源；输入每通道带麦克风放大器，0~40dB增益可调，步进1dB。立体声USB声卡功能，支持播放和录音；标配USB（TYPE-B）口：支持免驱自动连接软件调试；内置U盘功能，存放软件和说明书；内置1路RS232接口，1路RS485接口、1路网络接口，8路GPIO接口，用于电脑软件控制和中控功能，</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tc>
        <w:tc>
          <w:tcPr>
            <w:tcW w:w="813" w:type="dxa"/>
            <w:shd w:val="clear" w:color="auto" w:fill="auto"/>
            <w:vAlign w:val="center"/>
          </w:tcPr>
          <w:p w14:paraId="770312A6">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6FAB395F">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08C60DFB">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3500</w:t>
            </w:r>
          </w:p>
        </w:tc>
        <w:tc>
          <w:tcPr>
            <w:tcW w:w="1406" w:type="dxa"/>
            <w:vAlign w:val="center"/>
          </w:tcPr>
          <w:p w14:paraId="73C574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3500</w:t>
            </w:r>
          </w:p>
        </w:tc>
      </w:tr>
      <w:tr w14:paraId="3D52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9168867">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17</w:t>
            </w:r>
          </w:p>
        </w:tc>
        <w:tc>
          <w:tcPr>
            <w:tcW w:w="888" w:type="dxa"/>
            <w:vAlign w:val="center"/>
          </w:tcPr>
          <w:p w14:paraId="35438A57">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反馈抑制器</w:t>
            </w:r>
          </w:p>
        </w:tc>
        <w:tc>
          <w:tcPr>
            <w:tcW w:w="9271" w:type="dxa"/>
            <w:vAlign w:val="center"/>
          </w:tcPr>
          <w:p w14:paraId="2A1E0E23">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（1）每通道具有≥24个可编程的滤波器；可调整立体每通道具有≥24个可编程的滤波器；可调整立体声或独立的双通道处理不少于48个可编程的滤波器。</w:t>
            </w:r>
          </w:p>
          <w:p w14:paraId="60F30F84">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（2）电子平衡的输入和输出端口XLR和TRS。</w:t>
            </w:r>
          </w:p>
          <w:p w14:paraId="772758FD">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输入接口：≥2个；输出接口：≥2个；最大输入电平：18dBu±1；频率响应：20Hz-20kHz±0.5dB；总谐波失真：≤0.05%，信噪比：≥100dB；过载源电动势：≥4500mV，最大输出电平：18dBu±1采样率：≥48KHz；电力消耗：≥9W；声或独立的双通道处理不少于48个可编程的滤波器。</w:t>
            </w:r>
          </w:p>
          <w:p w14:paraId="02C59BC9">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滤波器带宽可调整：1/5oct、1/10oct、1/20oct、1/80oct可选择滤波器脱开时间；滤波器应用的类型，包括：语言滤波器，低、中、高三段音乐滤波器；输入通道测量表，每通道24段滤波器测量表；电子平衡的输入和输出端口XLR和TRS。</w:t>
            </w:r>
          </w:p>
          <w:p w14:paraId="3D24BBBF">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■（5）子带（Sub-Band) 回声消除（Echo cancellation)技术，自适应动态噪声滤波器；AGC自动增益控制；数字压限器:可提高拾音的距离；10段图示均衡器</w:t>
            </w:r>
            <w:r>
              <w:rPr>
                <w:rFonts w:hint="eastAsia" w:ascii="宋体" w:hAnsi="宋体" w:cs="宋体"/>
                <w:color w:val="auto"/>
                <w:szCs w:val="21"/>
                <w:highlight w:val="none"/>
              </w:rPr>
              <w:t>，</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p w14:paraId="2CACED11">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●（6）可与运维平台对接，实时显示工作电压、工作状态信息并对以上设置进行实时预警报警，</w:t>
            </w:r>
            <w:r>
              <w:rPr>
                <w:rFonts w:hint="eastAsia" w:ascii="宋体" w:hAnsi="宋体" w:eastAsia="宋体" w:cs="宋体"/>
                <w:b/>
                <w:bCs/>
                <w:color w:val="auto"/>
                <w:kern w:val="0"/>
                <w:szCs w:val="21"/>
                <w:highlight w:val="none"/>
              </w:rPr>
              <w:t>投标文件中提供能体现此功能的功能截图或其他技术资料等证明材料。</w:t>
            </w:r>
          </w:p>
        </w:tc>
        <w:tc>
          <w:tcPr>
            <w:tcW w:w="813" w:type="dxa"/>
            <w:shd w:val="clear" w:color="auto" w:fill="auto"/>
            <w:vAlign w:val="center"/>
          </w:tcPr>
          <w:p w14:paraId="43F2A12A">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59126780">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06CD27F2">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3500</w:t>
            </w:r>
          </w:p>
        </w:tc>
        <w:tc>
          <w:tcPr>
            <w:tcW w:w="1406" w:type="dxa"/>
            <w:vAlign w:val="center"/>
          </w:tcPr>
          <w:p w14:paraId="544CC1C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3500</w:t>
            </w:r>
          </w:p>
        </w:tc>
      </w:tr>
      <w:tr w14:paraId="2E15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9609B75">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18</w:t>
            </w:r>
          </w:p>
        </w:tc>
        <w:tc>
          <w:tcPr>
            <w:tcW w:w="888" w:type="dxa"/>
            <w:vAlign w:val="center"/>
          </w:tcPr>
          <w:p w14:paraId="695B88DF">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无线一拖二手持话筒</w:t>
            </w:r>
          </w:p>
        </w:tc>
        <w:tc>
          <w:tcPr>
            <w:tcW w:w="9271" w:type="dxa"/>
            <w:vAlign w:val="center"/>
          </w:tcPr>
          <w:p w14:paraId="1236F0B5">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（1）双通道分集式接；LED 灯柱显示 RF/AF 强度；载波频段: UHF530～690.000MHZ； 单机频道数量：2000 个；频率间隔：≥25KHz；音频灵敏度: -48±3dB；综合 S/N 比 : &gt;100dB(A)； 频率响应 : 70Hz～15kHz；最大声压级：109dBA1KHz，THD1%。                                                                                                                                                                                                                         （2）指向性频响曲线 : 300～2000Hz≤-8dB；报告中需包含声性能“频率响应曲线图”和“指向性频率响应曲线图”。</w:t>
            </w:r>
          </w:p>
          <w:p w14:paraId="698892FF">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■（3）AI智能语言功能，通过语言控制电源时序器等受控设备；≥4种可调声音模式选择，</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tc>
        <w:tc>
          <w:tcPr>
            <w:tcW w:w="813" w:type="dxa"/>
            <w:shd w:val="clear" w:color="auto" w:fill="auto"/>
            <w:vAlign w:val="center"/>
          </w:tcPr>
          <w:p w14:paraId="01DD8606">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00" w:type="dxa"/>
            <w:vAlign w:val="center"/>
          </w:tcPr>
          <w:p w14:paraId="79ED290B">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套</w:t>
            </w:r>
          </w:p>
        </w:tc>
        <w:tc>
          <w:tcPr>
            <w:tcW w:w="1128" w:type="dxa"/>
            <w:vAlign w:val="center"/>
          </w:tcPr>
          <w:p w14:paraId="44094ACE">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3600</w:t>
            </w:r>
          </w:p>
        </w:tc>
        <w:tc>
          <w:tcPr>
            <w:tcW w:w="1406" w:type="dxa"/>
            <w:vAlign w:val="center"/>
          </w:tcPr>
          <w:p w14:paraId="75652A4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7200</w:t>
            </w:r>
          </w:p>
        </w:tc>
      </w:tr>
      <w:tr w14:paraId="001A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9A86602">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19</w:t>
            </w:r>
          </w:p>
        </w:tc>
        <w:tc>
          <w:tcPr>
            <w:tcW w:w="888" w:type="dxa"/>
            <w:vAlign w:val="center"/>
          </w:tcPr>
          <w:p w14:paraId="1108485A">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数字会议系统主机</w:t>
            </w:r>
          </w:p>
        </w:tc>
        <w:tc>
          <w:tcPr>
            <w:tcW w:w="9271" w:type="dxa"/>
            <w:vAlign w:val="center"/>
          </w:tcPr>
          <w:p w14:paraId="25193352">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（1）支持多种会议模式。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四组8P-DIN输出线，与单元手拉手连接；系统单路可控制≥35只列席单元，单台可连接≥60只列席单元；面板具有数码显示和多种工作模式调节及指示灯；高、中、低音均衡调节电路，独立调整系统音质；平衡线路输出接口及不平衡输出接口以适应各种设备连接方式。</w:t>
            </w:r>
          </w:p>
          <w:p w14:paraId="4CE5F43A">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（3）双重锁扣式“T”型连接盒DS-J2；标配≥10米延长线；工作电压：AC 220V/50Hz。频率响应：100Hz-13KHz；功率消耗:115W；总谐波失真：≤0.1%。</w:t>
            </w:r>
          </w:p>
          <w:p w14:paraId="7541F7DB">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■（4）带USB录音接口，</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p w14:paraId="460524A5">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（5）≥高清彩色3.5英寸显示屏。</w:t>
            </w:r>
          </w:p>
        </w:tc>
        <w:tc>
          <w:tcPr>
            <w:tcW w:w="813" w:type="dxa"/>
            <w:shd w:val="clear" w:color="auto" w:fill="auto"/>
            <w:vAlign w:val="center"/>
          </w:tcPr>
          <w:p w14:paraId="27358311">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2D47BFBF">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D15DE8D">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8900</w:t>
            </w:r>
          </w:p>
        </w:tc>
        <w:tc>
          <w:tcPr>
            <w:tcW w:w="1406" w:type="dxa"/>
            <w:vAlign w:val="center"/>
          </w:tcPr>
          <w:p w14:paraId="5E8F93A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8900</w:t>
            </w:r>
          </w:p>
        </w:tc>
      </w:tr>
      <w:tr w14:paraId="7E22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2672B408">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20</w:t>
            </w:r>
          </w:p>
        </w:tc>
        <w:tc>
          <w:tcPr>
            <w:tcW w:w="888" w:type="dxa"/>
            <w:vAlign w:val="center"/>
          </w:tcPr>
          <w:p w14:paraId="417D9145">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数字会议系统主席单元</w:t>
            </w:r>
          </w:p>
        </w:tc>
        <w:tc>
          <w:tcPr>
            <w:tcW w:w="9271" w:type="dxa"/>
            <w:vAlign w:val="center"/>
          </w:tcPr>
          <w:p w14:paraId="44EA5BCA">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（1）抗电磁及RF射频干扰，高灵敏度电容咪，长距离拾音；麦克风单元环形红色光环指示。</w:t>
            </w:r>
          </w:p>
          <w:p w14:paraId="0B27B8A1">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（2）全数控化设计，单元由系统主机供电，工作电压为DC18V；稳定可靠的纸质桌牌功能144（±20）×（61±15mm），指示发言者姓名；单元输出连接线角度及方向可调角度，适用于不同类型的会议桌安装。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（3）配备一条1.5m 8p连接线，同分线盒连接；技术参数：工作电压： DC18V（由主机提供）；频率响应：100Hz—13KHz；灵敏度： -44dB±2dB；参考讲话距离： 20—60cm；连接方法： “T”型连接盒及8芯专用连接线缆。</w:t>
            </w:r>
          </w:p>
          <w:p w14:paraId="4B2C20FC">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●（4）话筒单元使用2.4寸彩色显示屏，可实时显示当前会议模式、话筒ID号、话筒发言状态、发言计时、发言倒计时,方便与会者掌握时间,提高会议效率，</w:t>
            </w:r>
            <w:r>
              <w:rPr>
                <w:rFonts w:hint="eastAsia" w:ascii="宋体" w:hAnsi="宋体" w:eastAsia="宋体" w:cs="宋体"/>
                <w:b/>
                <w:bCs/>
                <w:color w:val="auto"/>
                <w:kern w:val="0"/>
                <w:szCs w:val="21"/>
                <w:highlight w:val="none"/>
              </w:rPr>
              <w:t>投标文件中提供能体现此功能的功能截图或其他技术资料等证明材料。</w:t>
            </w:r>
          </w:p>
        </w:tc>
        <w:tc>
          <w:tcPr>
            <w:tcW w:w="813" w:type="dxa"/>
            <w:shd w:val="clear" w:color="auto" w:fill="auto"/>
            <w:vAlign w:val="center"/>
          </w:tcPr>
          <w:p w14:paraId="6076B5CF">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4390101A">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11F9D45">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1860</w:t>
            </w:r>
          </w:p>
        </w:tc>
        <w:tc>
          <w:tcPr>
            <w:tcW w:w="1406" w:type="dxa"/>
            <w:vAlign w:val="center"/>
          </w:tcPr>
          <w:p w14:paraId="613EE50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1860</w:t>
            </w:r>
          </w:p>
        </w:tc>
      </w:tr>
      <w:tr w14:paraId="61A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FB4EB21">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21</w:t>
            </w:r>
          </w:p>
        </w:tc>
        <w:tc>
          <w:tcPr>
            <w:tcW w:w="888" w:type="dxa"/>
            <w:vAlign w:val="center"/>
          </w:tcPr>
          <w:p w14:paraId="6E62A8A4">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数字会议系统主代表单元</w:t>
            </w:r>
          </w:p>
        </w:tc>
        <w:tc>
          <w:tcPr>
            <w:tcW w:w="9271" w:type="dxa"/>
            <w:vAlign w:val="center"/>
          </w:tcPr>
          <w:p w14:paraId="4871EB5C">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（1）抗电磁及RF射频干扰，高灵敏度电容咪，长距离拾音；麦克风单元环形红色光环指示。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（2）全数控化设计，单元由系统主机供电，工作电压为DC18V；稳定可靠的纸质桌牌功能（144±20×61±15mm），指示发言者姓名；单元输出连接线角度及方向可调角度，适用于不同类型的会议桌安装。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（3）配备一条1.5m 8p连接线，同分线盒连接；技术参数：工作电压： DC18V（由主机提供）；频率响应：100Hz—13KHz；灵敏度： -44dB±2dB；参考讲话距离： 20—60cm；连接方法： “T”型连接盒及8芯专用连接线缆。</w:t>
            </w:r>
          </w:p>
          <w:p w14:paraId="38986595">
            <w:pPr>
              <w:widowControl/>
              <w:spacing w:line="44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●（4）话筒单元具备3.5MM监听耳机插孔，可随时调节音量大小，可连接录音设备或监听耳机，</w:t>
            </w:r>
            <w:r>
              <w:rPr>
                <w:rFonts w:hint="eastAsia" w:ascii="宋体" w:hAnsi="宋体" w:eastAsia="宋体" w:cs="宋体"/>
                <w:b/>
                <w:bCs/>
                <w:color w:val="auto"/>
                <w:kern w:val="0"/>
                <w:szCs w:val="21"/>
                <w:highlight w:val="none"/>
              </w:rPr>
              <w:t>投标文件中提供能体现此功能的功能截图或其他技术资料等证明材料。</w:t>
            </w:r>
          </w:p>
          <w:p w14:paraId="6ECE8643">
            <w:pPr>
              <w:widowControl/>
              <w:spacing w:line="440" w:lineRule="exact"/>
              <w:jc w:val="left"/>
              <w:rPr>
                <w:rFonts w:ascii="宋体" w:hAnsi="宋体" w:cs="宋体"/>
                <w:color w:val="auto"/>
                <w:szCs w:val="21"/>
                <w:highlight w:val="none"/>
              </w:rPr>
            </w:pPr>
            <w:r>
              <w:rPr>
                <w:rFonts w:hint="eastAsia" w:ascii="宋体" w:hAnsi="宋体" w:cs="宋体"/>
                <w:color w:val="auto"/>
                <w:kern w:val="0"/>
                <w:sz w:val="20"/>
                <w:szCs w:val="20"/>
                <w:highlight w:val="none"/>
              </w:rPr>
              <w:t>（5）话筒单元使用2.4寸彩色显示屏，可实时显示包括但不限于当前会议模式、话筒ID号、话筒发言状态、发言计时、发言倒计时。</w:t>
            </w:r>
          </w:p>
        </w:tc>
        <w:tc>
          <w:tcPr>
            <w:tcW w:w="813" w:type="dxa"/>
            <w:shd w:val="clear" w:color="auto" w:fill="auto"/>
            <w:vAlign w:val="center"/>
          </w:tcPr>
          <w:p w14:paraId="1ED4E1AB">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5 </w:t>
            </w:r>
          </w:p>
        </w:tc>
        <w:tc>
          <w:tcPr>
            <w:tcW w:w="700" w:type="dxa"/>
            <w:vAlign w:val="center"/>
          </w:tcPr>
          <w:p w14:paraId="0586CBFD">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6D6EFFF2">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1840</w:t>
            </w:r>
          </w:p>
        </w:tc>
        <w:tc>
          <w:tcPr>
            <w:tcW w:w="1406" w:type="dxa"/>
            <w:vAlign w:val="center"/>
          </w:tcPr>
          <w:p w14:paraId="02AE7E9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9200</w:t>
            </w:r>
          </w:p>
        </w:tc>
      </w:tr>
      <w:tr w14:paraId="640C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66378E6D">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22</w:t>
            </w:r>
          </w:p>
        </w:tc>
        <w:tc>
          <w:tcPr>
            <w:tcW w:w="888" w:type="dxa"/>
            <w:vAlign w:val="center"/>
          </w:tcPr>
          <w:p w14:paraId="6374D3B1">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数字会议系统天线分配器</w:t>
            </w:r>
          </w:p>
        </w:tc>
        <w:tc>
          <w:tcPr>
            <w:tcW w:w="9271" w:type="dxa"/>
            <w:vAlign w:val="center"/>
          </w:tcPr>
          <w:p w14:paraId="659DF658">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（1）采用最新超高动态低杂讯元件与超宽频微带线路设计，具有超低内调失真及损耗的特性，提供多频道接收系统同时使用时能排除混频干扰。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（2）载波范围为500MHZ─850MHZ。</w:t>
            </w:r>
          </w:p>
          <w:p w14:paraId="71F9CF67">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（3）分路器可提供≥4路12V DC电源输出，为≥4台无线接收机提供电源，简化机柜安装。</w:t>
            </w:r>
          </w:p>
        </w:tc>
        <w:tc>
          <w:tcPr>
            <w:tcW w:w="813" w:type="dxa"/>
            <w:shd w:val="clear" w:color="auto" w:fill="auto"/>
            <w:vAlign w:val="center"/>
          </w:tcPr>
          <w:p w14:paraId="427DE948">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37872E30">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402637B">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3200</w:t>
            </w:r>
          </w:p>
        </w:tc>
        <w:tc>
          <w:tcPr>
            <w:tcW w:w="1406" w:type="dxa"/>
            <w:vAlign w:val="center"/>
          </w:tcPr>
          <w:p w14:paraId="73E7B65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3200</w:t>
            </w:r>
          </w:p>
        </w:tc>
      </w:tr>
      <w:tr w14:paraId="2AA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CB4CC48">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23</w:t>
            </w:r>
          </w:p>
        </w:tc>
        <w:tc>
          <w:tcPr>
            <w:tcW w:w="888" w:type="dxa"/>
            <w:vAlign w:val="center"/>
          </w:tcPr>
          <w:p w14:paraId="3BC037E4">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数字会议系统有源对数周期天线</w:t>
            </w:r>
          </w:p>
        </w:tc>
        <w:tc>
          <w:tcPr>
            <w:tcW w:w="9271" w:type="dxa"/>
            <w:vAlign w:val="center"/>
          </w:tcPr>
          <w:p w14:paraId="44B343DC">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（1）UHF频段外接延长对数天线，适用的频宽涵盖500MHz ─850MHz范围，内建可调增益放大器以及衰减器，用户可根据实际使用环境调整增益，步进增益 总增益量：0 ─ 18dB ±2dB 步进量：±1dB。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（2）步进衰减，总衰减量：0 ─ 9dB ±2dB 步进量：±1dB ，天线阻抗 :50Ω，天线增益：3-5dB，驻波比：≤2.5:1，接收模式(3 dB 波束宽度)：65°（垂直角）,120°(水平面）。</w:t>
            </w:r>
          </w:p>
        </w:tc>
        <w:tc>
          <w:tcPr>
            <w:tcW w:w="813" w:type="dxa"/>
            <w:shd w:val="clear" w:color="auto" w:fill="auto"/>
            <w:vAlign w:val="center"/>
          </w:tcPr>
          <w:p w14:paraId="06F2BE3B">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00" w:type="dxa"/>
            <w:vAlign w:val="center"/>
          </w:tcPr>
          <w:p w14:paraId="7E62036E">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个</w:t>
            </w:r>
          </w:p>
        </w:tc>
        <w:tc>
          <w:tcPr>
            <w:tcW w:w="1128" w:type="dxa"/>
            <w:vAlign w:val="center"/>
          </w:tcPr>
          <w:p w14:paraId="6FBA93E9">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870</w:t>
            </w:r>
          </w:p>
        </w:tc>
        <w:tc>
          <w:tcPr>
            <w:tcW w:w="1406" w:type="dxa"/>
            <w:vAlign w:val="center"/>
          </w:tcPr>
          <w:p w14:paraId="16B19F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1740</w:t>
            </w:r>
          </w:p>
        </w:tc>
      </w:tr>
      <w:tr w14:paraId="79AB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2E5CDB3C">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24</w:t>
            </w:r>
          </w:p>
        </w:tc>
        <w:tc>
          <w:tcPr>
            <w:tcW w:w="888" w:type="dxa"/>
            <w:vAlign w:val="center"/>
          </w:tcPr>
          <w:p w14:paraId="2C643F40">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电源时序器</w:t>
            </w:r>
          </w:p>
        </w:tc>
        <w:tc>
          <w:tcPr>
            <w:tcW w:w="9271" w:type="dxa"/>
            <w:vAlign w:val="center"/>
          </w:tcPr>
          <w:p w14:paraId="100E3FFE">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（1）2寸彩色液晶智能显示窗，实时显示当前电压、日期时间，通道开关状态；10组设备开关场景数据保存/调用，场景管理应用简单便捷。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单路额定输出电流13A，总输出达30A，总功率6000W，单路最大功率2000W，支持多台设备级联控制，级联状态可自动检测及设置；配置RS232串口，支持外部中央控制设备控制；可实现远程集中控制，每台设备自带设备编码ID检测和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（3）额定输出电压: 交流220V.50Hz可控制电源: 8路外加2路输出辅助通道,10chs，每路动作延时时间: 0-999秒。</w:t>
            </w:r>
          </w:p>
          <w:p w14:paraId="2971C005">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■（4）≥1路USB，≥1路网口，≥2路直通电源口，</w:t>
            </w:r>
            <w:r>
              <w:rPr>
                <w:rFonts w:hint="eastAsia" w:ascii="宋体" w:hAnsi="宋体" w:eastAsia="宋体" w:cs="宋体"/>
                <w:b/>
                <w:bCs/>
                <w:color w:val="auto"/>
                <w:kern w:val="0"/>
                <w:szCs w:val="21"/>
                <w:highlight w:val="none"/>
              </w:rPr>
              <w:t>投标文件中提供能体现此功能的功能截图或其他技术资料等证明材料。</w:t>
            </w:r>
          </w:p>
          <w:p w14:paraId="6047D30F">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■（5）可与运维平台对接，实时显示工作电压、工作状态信息并对以上设置进行实时预警报警，</w:t>
            </w:r>
            <w:r>
              <w:rPr>
                <w:rFonts w:hint="eastAsia" w:ascii="宋体" w:hAnsi="宋体" w:eastAsia="宋体" w:cs="宋体"/>
                <w:b/>
                <w:bCs/>
                <w:color w:val="auto"/>
                <w:kern w:val="0"/>
                <w:szCs w:val="21"/>
                <w:highlight w:val="none"/>
              </w:rPr>
              <w:t>投标文件中提供能体现此功能的功能截图或其他技术资料等证明材料。</w:t>
            </w:r>
          </w:p>
        </w:tc>
        <w:tc>
          <w:tcPr>
            <w:tcW w:w="813" w:type="dxa"/>
            <w:shd w:val="clear" w:color="auto" w:fill="auto"/>
            <w:vAlign w:val="center"/>
          </w:tcPr>
          <w:p w14:paraId="71685938">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0F8DC863">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E8BEDC6">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1900</w:t>
            </w:r>
          </w:p>
        </w:tc>
        <w:tc>
          <w:tcPr>
            <w:tcW w:w="1406" w:type="dxa"/>
            <w:vAlign w:val="center"/>
          </w:tcPr>
          <w:p w14:paraId="5AD163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1900</w:t>
            </w:r>
          </w:p>
        </w:tc>
      </w:tr>
      <w:tr w14:paraId="1260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E4CEE4A">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25</w:t>
            </w:r>
          </w:p>
        </w:tc>
        <w:tc>
          <w:tcPr>
            <w:tcW w:w="888" w:type="dxa"/>
            <w:vAlign w:val="center"/>
          </w:tcPr>
          <w:p w14:paraId="5681B779">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直播灯光</w:t>
            </w:r>
          </w:p>
        </w:tc>
        <w:tc>
          <w:tcPr>
            <w:tcW w:w="9271" w:type="dxa"/>
            <w:vAlign w:val="center"/>
          </w:tcPr>
          <w:p w14:paraId="7C93F976">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（1）供电：100V-240V~50/60Hz1.6A；功率：最大160W。</w:t>
            </w:r>
          </w:p>
          <w:p w14:paraId="708FFCCD">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（2）色温：5600+200K。</w:t>
            </w:r>
          </w:p>
          <w:p w14:paraId="1FBC0286">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（3）TLCI：≈97；CRI：≈96；调光范围：0%-100%。</w:t>
            </w:r>
          </w:p>
        </w:tc>
        <w:tc>
          <w:tcPr>
            <w:tcW w:w="813" w:type="dxa"/>
            <w:shd w:val="clear" w:color="auto" w:fill="auto"/>
            <w:vAlign w:val="center"/>
          </w:tcPr>
          <w:p w14:paraId="2CA79603">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12 </w:t>
            </w:r>
          </w:p>
        </w:tc>
        <w:tc>
          <w:tcPr>
            <w:tcW w:w="700" w:type="dxa"/>
            <w:vAlign w:val="center"/>
          </w:tcPr>
          <w:p w14:paraId="34196CB4">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55809A6">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1800</w:t>
            </w:r>
          </w:p>
        </w:tc>
        <w:tc>
          <w:tcPr>
            <w:tcW w:w="1406" w:type="dxa"/>
            <w:vAlign w:val="center"/>
          </w:tcPr>
          <w:p w14:paraId="3A97827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21600</w:t>
            </w:r>
          </w:p>
        </w:tc>
      </w:tr>
      <w:tr w14:paraId="2079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10DD54BE">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26</w:t>
            </w:r>
          </w:p>
        </w:tc>
        <w:tc>
          <w:tcPr>
            <w:tcW w:w="888" w:type="dxa"/>
            <w:vAlign w:val="center"/>
          </w:tcPr>
          <w:p w14:paraId="10600A54">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电视</w:t>
            </w:r>
          </w:p>
        </w:tc>
        <w:tc>
          <w:tcPr>
            <w:tcW w:w="9271" w:type="dxa"/>
            <w:vAlign w:val="center"/>
          </w:tcPr>
          <w:p w14:paraId="41305EEA">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 xml:space="preserve">（1）CPU架构：≥四核A55，WIFI频段：2.4G&amp;5G，存储内存：≥16GB。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（2）系统：Android，背光方式：直下式/DLED，运行内存/RAM：≥2GB，音响功率：≥20W。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（3）屏幕尺寸：≥55英寸，屏幕分辨率：高清4K。</w:t>
            </w:r>
          </w:p>
        </w:tc>
        <w:tc>
          <w:tcPr>
            <w:tcW w:w="813" w:type="dxa"/>
            <w:shd w:val="clear" w:color="auto" w:fill="auto"/>
            <w:vAlign w:val="center"/>
          </w:tcPr>
          <w:p w14:paraId="220CFE25">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00" w:type="dxa"/>
            <w:vAlign w:val="center"/>
          </w:tcPr>
          <w:p w14:paraId="0D297A8B">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3150FD92">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2600</w:t>
            </w:r>
          </w:p>
        </w:tc>
        <w:tc>
          <w:tcPr>
            <w:tcW w:w="1406" w:type="dxa"/>
            <w:vAlign w:val="center"/>
          </w:tcPr>
          <w:p w14:paraId="64DF464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5200</w:t>
            </w:r>
          </w:p>
        </w:tc>
      </w:tr>
      <w:tr w14:paraId="2D3C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307E84CF">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27</w:t>
            </w:r>
          </w:p>
        </w:tc>
        <w:tc>
          <w:tcPr>
            <w:tcW w:w="888" w:type="dxa"/>
            <w:vAlign w:val="center"/>
          </w:tcPr>
          <w:p w14:paraId="68DF4329">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施工布线</w:t>
            </w:r>
          </w:p>
        </w:tc>
        <w:tc>
          <w:tcPr>
            <w:tcW w:w="9271" w:type="dxa"/>
            <w:vAlign w:val="center"/>
          </w:tcPr>
          <w:p w14:paraId="571FE329">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（1）电脑及音响等设备的安装；设备调试及扎带、膨胀螺丝、线槽、标签（盒）。选用标准 ≥16mm 及 ≥20mmpvc 穿线管，接头使用弯头，插座使用线盒，灯具使用四通。</w:t>
            </w:r>
          </w:p>
          <w:p w14:paraId="3FD2E19B">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（2）线路使用国标塑铜线， 所有电路施工均考虑接地线，所有工艺均标准化处理。</w:t>
            </w:r>
          </w:p>
        </w:tc>
        <w:tc>
          <w:tcPr>
            <w:tcW w:w="813" w:type="dxa"/>
            <w:shd w:val="clear" w:color="auto" w:fill="auto"/>
            <w:vAlign w:val="center"/>
          </w:tcPr>
          <w:p w14:paraId="64FC4875">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481B6FEE">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项</w:t>
            </w:r>
          </w:p>
        </w:tc>
        <w:tc>
          <w:tcPr>
            <w:tcW w:w="1128" w:type="dxa"/>
            <w:vAlign w:val="center"/>
          </w:tcPr>
          <w:p w14:paraId="3C1BE485">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10000</w:t>
            </w:r>
          </w:p>
        </w:tc>
        <w:tc>
          <w:tcPr>
            <w:tcW w:w="1406" w:type="dxa"/>
            <w:vAlign w:val="center"/>
          </w:tcPr>
          <w:p w14:paraId="27CAC5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r>
      <w:tr w14:paraId="707A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41987C6">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28</w:t>
            </w:r>
          </w:p>
        </w:tc>
        <w:tc>
          <w:tcPr>
            <w:tcW w:w="888" w:type="dxa"/>
            <w:vAlign w:val="center"/>
          </w:tcPr>
          <w:p w14:paraId="71A68785">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音箱</w:t>
            </w:r>
          </w:p>
        </w:tc>
        <w:tc>
          <w:tcPr>
            <w:tcW w:w="9271" w:type="dxa"/>
            <w:vAlign w:val="center"/>
          </w:tcPr>
          <w:p w14:paraId="14854349">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（1）8 英寸轻量化大功率、长冲程 Ferrite 低音驱动单元；顺性好，中低频饱满。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 英寸丝膜高音单元，加装压缩式号角。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（3）90°x 60°覆盖角设计，具有均匀且平滑的轴向和偏轴向的响应。</w:t>
            </w:r>
          </w:p>
          <w:p w14:paraId="2623C1E9">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（4）额定/峰值功率： 80W～320 W ；额定阻抗：≥8 Ω；特性灵敏度：≥90dB/W/m；输出声压级：≥109 dB/W/m(Continues)； 115 dB/W/m(Peak)；额定频率范围: ≥55 ~ 20000Hz；覆盖角度 HxV：≥90ºx60º；扬声器单元：LF: ≥1*8 英寸 HF: ≥1* 1.英寸；箱体尺寸(mm)：≥490(H) ×310(W)×265(D)。</w:t>
            </w:r>
          </w:p>
        </w:tc>
        <w:tc>
          <w:tcPr>
            <w:tcW w:w="813" w:type="dxa"/>
            <w:shd w:val="clear" w:color="auto" w:fill="auto"/>
            <w:vAlign w:val="center"/>
          </w:tcPr>
          <w:p w14:paraId="3B5FCC02">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 </w:t>
            </w:r>
          </w:p>
        </w:tc>
        <w:tc>
          <w:tcPr>
            <w:tcW w:w="700" w:type="dxa"/>
            <w:vAlign w:val="center"/>
          </w:tcPr>
          <w:p w14:paraId="0E6FE41E">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18EB644">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960</w:t>
            </w:r>
          </w:p>
        </w:tc>
        <w:tc>
          <w:tcPr>
            <w:tcW w:w="1406" w:type="dxa"/>
            <w:vAlign w:val="center"/>
          </w:tcPr>
          <w:p w14:paraId="178C1C2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19200</w:t>
            </w:r>
          </w:p>
        </w:tc>
      </w:tr>
      <w:tr w14:paraId="5080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8F8DD51">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29</w:t>
            </w:r>
          </w:p>
        </w:tc>
        <w:tc>
          <w:tcPr>
            <w:tcW w:w="888" w:type="dxa"/>
            <w:vAlign w:val="center"/>
          </w:tcPr>
          <w:p w14:paraId="5969DAC9">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有线话筒</w:t>
            </w:r>
          </w:p>
        </w:tc>
        <w:tc>
          <w:tcPr>
            <w:tcW w:w="9271" w:type="dxa"/>
            <w:vAlign w:val="center"/>
          </w:tcPr>
          <w:p w14:paraId="32CDF857">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（1）抗 RF 射频干扰能力强，减少手机等信号影响。</w:t>
            </w:r>
          </w:p>
          <w:p w14:paraId="1CF52DE4">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（2）换能方式: ECM 电容式；指 向 性: 心形单指向；频率响应: 65Hz-20KHz；灵 敏 度:-44dB±3dB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；输出阻抗:2KΩ±15%。</w:t>
            </w:r>
          </w:p>
        </w:tc>
        <w:tc>
          <w:tcPr>
            <w:tcW w:w="813" w:type="dxa"/>
            <w:shd w:val="clear" w:color="auto" w:fill="auto"/>
            <w:vAlign w:val="center"/>
          </w:tcPr>
          <w:p w14:paraId="43931ABA">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5 </w:t>
            </w:r>
          </w:p>
        </w:tc>
        <w:tc>
          <w:tcPr>
            <w:tcW w:w="700" w:type="dxa"/>
            <w:vAlign w:val="center"/>
          </w:tcPr>
          <w:p w14:paraId="693820EB">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34F1AA80">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370</w:t>
            </w:r>
          </w:p>
        </w:tc>
        <w:tc>
          <w:tcPr>
            <w:tcW w:w="1406" w:type="dxa"/>
            <w:vAlign w:val="center"/>
          </w:tcPr>
          <w:p w14:paraId="4F6EBF87">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1850</w:t>
            </w:r>
          </w:p>
        </w:tc>
      </w:tr>
      <w:tr w14:paraId="76B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0997E2A">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30</w:t>
            </w:r>
          </w:p>
        </w:tc>
        <w:tc>
          <w:tcPr>
            <w:tcW w:w="888" w:type="dxa"/>
            <w:vAlign w:val="center"/>
          </w:tcPr>
          <w:p w14:paraId="13922642">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功放</w:t>
            </w:r>
          </w:p>
        </w:tc>
        <w:tc>
          <w:tcPr>
            <w:tcW w:w="9271" w:type="dxa"/>
            <w:vAlign w:val="center"/>
          </w:tcPr>
          <w:p w14:paraId="5E8C6275">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（1）多功能功率放大器是针对各类现代教育培训和简易型多功能扩声并依据现代建筑声学原理和电声技术开发的专业多功能功放。</w:t>
            </w:r>
          </w:p>
          <w:p w14:paraId="2CDED862">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（2）集成了专业前级放大系统、音频信号处理系统、高保真低耗能功放系统等功能的专业一体式多功能功率放大器；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（3）额定输出功率： 2×220W/8Ω；2×320W/4Ω， 频率响应： 线路 20Hz～20KHz ±1.5dB；信噪比（线路 A 计权）：≥100dB，耐压测试 在高压 1.5KV（10mA）冲击 60 秒无损坏。</w:t>
            </w:r>
          </w:p>
          <w:p w14:paraId="563C6346">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（4）输入灵敏度：线路 500mV±20mV ；话筒 20mV±2mV，线路音调提衰量：10dB ±2db，话筒均衡提衰量：10dB ±2db，保护功能：过流、过载、超温、DC 保护等。</w:t>
            </w:r>
          </w:p>
          <w:p w14:paraId="626552F1">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5）产品具有反馈、混响调节功能，VFD显示，自带FM/AM收音功能；配套SD卡和MP3播放USB接口，自由选择播放上一曲/下一曲/暂停等功能轻触键，具有5路话筒输入，2路话筒优先功能，4路话筒幻象供电/移频效果独立切换开关选择，</w:t>
            </w:r>
            <w:r>
              <w:rPr>
                <w:rFonts w:hint="eastAsia" w:ascii="宋体" w:hAnsi="宋体"/>
                <w:b/>
                <w:bCs w:val="0"/>
                <w:color w:val="auto"/>
                <w:kern w:val="0"/>
                <w:highlight w:val="none"/>
              </w:rPr>
              <w:t>投标时提供第三方检测机构出具的检测报告</w:t>
            </w:r>
            <w:r>
              <w:rPr>
                <w:rFonts w:hint="eastAsia" w:ascii="宋体" w:hAnsi="宋体"/>
                <w:b/>
                <w:bCs w:val="0"/>
                <w:color w:val="auto"/>
                <w:kern w:val="0"/>
                <w:highlight w:val="none"/>
                <w:lang w:val="en-US" w:eastAsia="zh-CN"/>
              </w:rPr>
              <w:t>复印件加盖单位公章</w:t>
            </w:r>
            <w:r>
              <w:rPr>
                <w:rFonts w:hint="eastAsia" w:ascii="宋体" w:hAnsi="宋体"/>
                <w:bCs/>
                <w:color w:val="auto"/>
                <w:kern w:val="0"/>
                <w:highlight w:val="none"/>
              </w:rPr>
              <w:t>。</w:t>
            </w:r>
          </w:p>
        </w:tc>
        <w:tc>
          <w:tcPr>
            <w:tcW w:w="813" w:type="dxa"/>
            <w:shd w:val="clear" w:color="auto" w:fill="auto"/>
            <w:vAlign w:val="center"/>
          </w:tcPr>
          <w:p w14:paraId="6804AFC3">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5 </w:t>
            </w:r>
          </w:p>
        </w:tc>
        <w:tc>
          <w:tcPr>
            <w:tcW w:w="700" w:type="dxa"/>
            <w:vAlign w:val="center"/>
          </w:tcPr>
          <w:p w14:paraId="0861AA00">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46AA1807">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3650</w:t>
            </w:r>
          </w:p>
        </w:tc>
        <w:tc>
          <w:tcPr>
            <w:tcW w:w="1406" w:type="dxa"/>
            <w:vAlign w:val="center"/>
          </w:tcPr>
          <w:p w14:paraId="36A1303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18250</w:t>
            </w:r>
          </w:p>
        </w:tc>
      </w:tr>
      <w:tr w14:paraId="0456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78D4CFF9">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31</w:t>
            </w:r>
          </w:p>
        </w:tc>
        <w:tc>
          <w:tcPr>
            <w:tcW w:w="888" w:type="dxa"/>
            <w:vAlign w:val="center"/>
          </w:tcPr>
          <w:p w14:paraId="0D909C86">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触控一体机</w:t>
            </w:r>
          </w:p>
        </w:tc>
        <w:tc>
          <w:tcPr>
            <w:tcW w:w="9271" w:type="dxa"/>
            <w:vAlign w:val="center"/>
          </w:tcPr>
          <w:p w14:paraId="1C7E6347">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（1）液晶屏：尺寸≥86英寸，显示比例(16：9) ，A级液晶LED显示屏。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（2）分辨率：≥3840*2160； 亮度≥400cd/m，对比度≥8000:1，色彩覆盖率≥NTSC 95%。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（3）前置接口：HDMI*1（非转接）、USB 3.0*2、Type-C*1；USB支持同时在Windows及Android系统下被读取。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（4）Android 主板不低于四核CPU，ROM 不低于16GB，RAM 不低于2G，嵌入式操作系统。</w:t>
            </w:r>
          </w:p>
          <w:p w14:paraId="6BB6BDCF">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5）内置电脑：侧位插拔式OPS微型PC设计，配置≥2颗，单颗CPU核数≥16核，主频≥2.5GHz、16GB内存、512G固态硬盘；采用开放式可插接INTEL规范接口（OPS接口），双面合计80针；持WIFI无线网络，带双天线，带RJ45接口100M/1000Mbs ；具备电源（POWER）开关/（RESET）重置按键。</w:t>
            </w:r>
          </w:p>
        </w:tc>
        <w:tc>
          <w:tcPr>
            <w:tcW w:w="813" w:type="dxa"/>
            <w:shd w:val="clear" w:color="auto" w:fill="auto"/>
            <w:vAlign w:val="center"/>
          </w:tcPr>
          <w:p w14:paraId="742B82F1">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00" w:type="dxa"/>
            <w:vAlign w:val="center"/>
          </w:tcPr>
          <w:p w14:paraId="51257BDF">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台</w:t>
            </w:r>
          </w:p>
        </w:tc>
        <w:tc>
          <w:tcPr>
            <w:tcW w:w="1128" w:type="dxa"/>
            <w:vAlign w:val="center"/>
          </w:tcPr>
          <w:p w14:paraId="18F93D56">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12140</w:t>
            </w:r>
          </w:p>
        </w:tc>
        <w:tc>
          <w:tcPr>
            <w:tcW w:w="1406" w:type="dxa"/>
            <w:vAlign w:val="center"/>
          </w:tcPr>
          <w:p w14:paraId="383DC04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12140</w:t>
            </w:r>
          </w:p>
        </w:tc>
      </w:tr>
      <w:tr w14:paraId="2331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5D303A8">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32</w:t>
            </w:r>
          </w:p>
        </w:tc>
        <w:tc>
          <w:tcPr>
            <w:tcW w:w="888" w:type="dxa"/>
            <w:vAlign w:val="center"/>
          </w:tcPr>
          <w:p w14:paraId="51DD1F66">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网线</w:t>
            </w:r>
          </w:p>
        </w:tc>
        <w:tc>
          <w:tcPr>
            <w:tcW w:w="9271" w:type="dxa"/>
            <w:vAlign w:val="center"/>
          </w:tcPr>
          <w:p w14:paraId="711DF38B">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（1）六类0.53：DS-ZC6US-B/PVC，6类室内网线,Cat6非屏蔽双绞线,24AWG,工作温度为-20-60℃。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（2）标准：符合GB 50311、 GB 50312、GB/T 18015.5-2007要求。</w:t>
            </w:r>
          </w:p>
        </w:tc>
        <w:tc>
          <w:tcPr>
            <w:tcW w:w="813" w:type="dxa"/>
            <w:shd w:val="clear" w:color="auto" w:fill="auto"/>
            <w:vAlign w:val="center"/>
          </w:tcPr>
          <w:p w14:paraId="0CDB9A96">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30 </w:t>
            </w:r>
          </w:p>
        </w:tc>
        <w:tc>
          <w:tcPr>
            <w:tcW w:w="700" w:type="dxa"/>
            <w:vAlign w:val="center"/>
          </w:tcPr>
          <w:p w14:paraId="71997427">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箱</w:t>
            </w:r>
          </w:p>
        </w:tc>
        <w:tc>
          <w:tcPr>
            <w:tcW w:w="1128" w:type="dxa"/>
            <w:vAlign w:val="center"/>
          </w:tcPr>
          <w:p w14:paraId="5CD42619">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646</w:t>
            </w:r>
          </w:p>
        </w:tc>
        <w:tc>
          <w:tcPr>
            <w:tcW w:w="1406" w:type="dxa"/>
            <w:vAlign w:val="center"/>
          </w:tcPr>
          <w:p w14:paraId="41891A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19380</w:t>
            </w:r>
          </w:p>
        </w:tc>
      </w:tr>
      <w:tr w14:paraId="330B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14:paraId="04C65463">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33</w:t>
            </w:r>
          </w:p>
        </w:tc>
        <w:tc>
          <w:tcPr>
            <w:tcW w:w="888" w:type="dxa"/>
            <w:vAlign w:val="center"/>
          </w:tcPr>
          <w:p w14:paraId="2E37B56A">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电源线</w:t>
            </w:r>
          </w:p>
        </w:tc>
        <w:tc>
          <w:tcPr>
            <w:tcW w:w="9271" w:type="dxa"/>
            <w:vAlign w:val="center"/>
          </w:tcPr>
          <w:p w14:paraId="5A8D1225">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（1）标称截面：≥2.5mm²；每卷100米，执行标准：JB/T8734.2-2016。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（2）导体材质：99.99%无氧纯铜；绝缘材质：环保聚氯乙烯(PVC)；绝缘厚度：≥0.8mm；平均外径上/下限：3.9mm/3.6mm。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（3）额定电压：450/750V。</w:t>
            </w:r>
          </w:p>
        </w:tc>
        <w:tc>
          <w:tcPr>
            <w:tcW w:w="813" w:type="dxa"/>
            <w:shd w:val="clear" w:color="auto" w:fill="auto"/>
            <w:vAlign w:val="center"/>
          </w:tcPr>
          <w:p w14:paraId="462D45AC">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 </w:t>
            </w:r>
          </w:p>
        </w:tc>
        <w:tc>
          <w:tcPr>
            <w:tcW w:w="700" w:type="dxa"/>
            <w:vAlign w:val="center"/>
          </w:tcPr>
          <w:p w14:paraId="380800CC">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卷</w:t>
            </w:r>
          </w:p>
        </w:tc>
        <w:tc>
          <w:tcPr>
            <w:tcW w:w="1128" w:type="dxa"/>
            <w:vAlign w:val="center"/>
          </w:tcPr>
          <w:p w14:paraId="7D0E649A">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280</w:t>
            </w:r>
          </w:p>
        </w:tc>
        <w:tc>
          <w:tcPr>
            <w:tcW w:w="1406" w:type="dxa"/>
            <w:vAlign w:val="center"/>
          </w:tcPr>
          <w:p w14:paraId="7B8C1543">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5600</w:t>
            </w:r>
          </w:p>
        </w:tc>
      </w:tr>
      <w:tr w14:paraId="66EC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014B3A7C">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34</w:t>
            </w:r>
          </w:p>
        </w:tc>
        <w:tc>
          <w:tcPr>
            <w:tcW w:w="888" w:type="dxa"/>
            <w:vAlign w:val="center"/>
          </w:tcPr>
          <w:p w14:paraId="64BB8E77">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电源线</w:t>
            </w:r>
          </w:p>
        </w:tc>
        <w:tc>
          <w:tcPr>
            <w:tcW w:w="9271" w:type="dxa"/>
            <w:vAlign w:val="center"/>
          </w:tcPr>
          <w:p w14:paraId="113F5D95">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（1）标称截面：≥4mm²；每卷100米，执行标准：JB/T8734.2-2016。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（2）导体材质：99.99%无氧纯铜；绝缘材质：环保聚氯乙烯(PVC)；绝缘厚度：≥0.8mm；额定功率：5800W(220V)/13000W(380V)；平均外径上/下限：4.5mm/4.1mm。</w:t>
            </w:r>
          </w:p>
          <w:p w14:paraId="00CD1EEA">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（3）额定电压：450/750V。</w:t>
            </w:r>
          </w:p>
        </w:tc>
        <w:tc>
          <w:tcPr>
            <w:tcW w:w="813" w:type="dxa"/>
            <w:shd w:val="clear" w:color="auto" w:fill="auto"/>
            <w:vAlign w:val="center"/>
          </w:tcPr>
          <w:p w14:paraId="70835FB3">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700" w:type="dxa"/>
            <w:vAlign w:val="center"/>
          </w:tcPr>
          <w:p w14:paraId="3B76E6DC">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卷</w:t>
            </w:r>
          </w:p>
        </w:tc>
        <w:tc>
          <w:tcPr>
            <w:tcW w:w="1128" w:type="dxa"/>
            <w:vAlign w:val="center"/>
          </w:tcPr>
          <w:p w14:paraId="1AEF8D53">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400</w:t>
            </w:r>
          </w:p>
        </w:tc>
        <w:tc>
          <w:tcPr>
            <w:tcW w:w="1406" w:type="dxa"/>
            <w:vAlign w:val="center"/>
          </w:tcPr>
          <w:p w14:paraId="7DA16EA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4000</w:t>
            </w:r>
          </w:p>
        </w:tc>
      </w:tr>
      <w:tr w14:paraId="22C8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2" w:type="dxa"/>
            <w:vAlign w:val="center"/>
          </w:tcPr>
          <w:p w14:paraId="50FC0222">
            <w:pPr>
              <w:widowControl/>
              <w:spacing w:line="44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35</w:t>
            </w:r>
          </w:p>
        </w:tc>
        <w:tc>
          <w:tcPr>
            <w:tcW w:w="888" w:type="dxa"/>
            <w:vAlign w:val="center"/>
          </w:tcPr>
          <w:p w14:paraId="5A678E29">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插排</w:t>
            </w:r>
          </w:p>
        </w:tc>
        <w:tc>
          <w:tcPr>
            <w:tcW w:w="9271" w:type="dxa"/>
            <w:vAlign w:val="center"/>
          </w:tcPr>
          <w:p w14:paraId="22C0F997">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（1）开关类型：总控开关；控制方式：一控六相当及以上；插座数量：6插位相当及以上；线长：≥1.8米。</w:t>
            </w:r>
          </w:p>
          <w:p w14:paraId="7B7373E4">
            <w:pPr>
              <w:widowControl/>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（2）额定电压：250V；额定电流：10A；额定功率：2500W。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（3）阻燃标准：内芯750℃高温不燃烧；国家标准：CCC认证。</w:t>
            </w:r>
          </w:p>
        </w:tc>
        <w:tc>
          <w:tcPr>
            <w:tcW w:w="813" w:type="dxa"/>
            <w:shd w:val="clear" w:color="auto" w:fill="auto"/>
            <w:vAlign w:val="center"/>
          </w:tcPr>
          <w:p w14:paraId="5359480C">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60 </w:t>
            </w:r>
          </w:p>
        </w:tc>
        <w:tc>
          <w:tcPr>
            <w:tcW w:w="700" w:type="dxa"/>
            <w:vAlign w:val="center"/>
          </w:tcPr>
          <w:p w14:paraId="6FADB6A9">
            <w:pPr>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个</w:t>
            </w:r>
          </w:p>
        </w:tc>
        <w:tc>
          <w:tcPr>
            <w:tcW w:w="1128" w:type="dxa"/>
            <w:vAlign w:val="center"/>
          </w:tcPr>
          <w:p w14:paraId="455FAEA8">
            <w:pPr>
              <w:widowControl/>
              <w:spacing w:line="44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68</w:t>
            </w:r>
          </w:p>
        </w:tc>
        <w:tc>
          <w:tcPr>
            <w:tcW w:w="1406" w:type="dxa"/>
            <w:vAlign w:val="center"/>
          </w:tcPr>
          <w:p w14:paraId="1D5AD08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4080</w:t>
            </w:r>
          </w:p>
        </w:tc>
      </w:tr>
      <w:tr w14:paraId="101F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908" w:type="dxa"/>
            <w:gridSpan w:val="7"/>
            <w:vAlign w:val="center"/>
          </w:tcPr>
          <w:p w14:paraId="2B1B2C44">
            <w:pPr>
              <w:spacing w:line="440" w:lineRule="exact"/>
              <w:rPr>
                <w:rFonts w:ascii="宋体" w:hAnsi="宋体" w:cs="宋体"/>
                <w:color w:val="auto"/>
                <w:kern w:val="0"/>
                <w:szCs w:val="21"/>
                <w:highlight w:val="none"/>
              </w:rPr>
            </w:pPr>
            <w:r>
              <w:rPr>
                <w:rFonts w:hint="eastAsia" w:ascii="宋体" w:hAnsi="宋体" w:cs="宋体"/>
                <w:b/>
                <w:bCs/>
                <w:color w:val="auto"/>
                <w:kern w:val="0"/>
                <w:szCs w:val="21"/>
                <w:highlight w:val="none"/>
              </w:rPr>
              <w:t>最高限价：285000.00元</w:t>
            </w:r>
          </w:p>
        </w:tc>
      </w:tr>
    </w:tbl>
    <w:p w14:paraId="4912A73C">
      <w:pPr>
        <w:keepNext/>
        <w:tabs>
          <w:tab w:val="left" w:pos="420"/>
        </w:tabs>
        <w:spacing w:line="440" w:lineRule="exact"/>
        <w:ind w:firstLine="420"/>
        <w:jc w:val="left"/>
        <w:outlineLvl w:val="2"/>
        <w:rPr>
          <w:rFonts w:ascii="宋体"/>
          <w:b/>
          <w:color w:val="auto"/>
          <w:sz w:val="24"/>
          <w:highlight w:val="none"/>
        </w:rPr>
        <w:sectPr>
          <w:pgSz w:w="16838" w:h="11906" w:orient="landscape"/>
          <w:pgMar w:top="1417" w:right="1134" w:bottom="1417" w:left="1134" w:header="850" w:footer="992" w:gutter="0"/>
          <w:cols w:space="0" w:num="1"/>
          <w:docGrid w:type="lines" w:linePitch="324" w:charSpace="0"/>
        </w:sectPr>
      </w:pPr>
    </w:p>
    <w:bookmarkEnd w:id="138"/>
    <w:p w14:paraId="40471D45">
      <w:pPr>
        <w:pageBreakBefore/>
        <w:spacing w:before="162" w:beforeLines="50" w:after="162" w:afterLines="50" w:line="440" w:lineRule="exact"/>
        <w:jc w:val="center"/>
        <w:outlineLvl w:val="1"/>
        <w:rPr>
          <w:b/>
          <w:color w:val="auto"/>
          <w:sz w:val="30"/>
          <w:szCs w:val="30"/>
          <w:highlight w:val="none"/>
        </w:rPr>
      </w:pPr>
      <w:bookmarkStart w:id="139" w:name="_Toc30219"/>
      <w:r>
        <w:rPr>
          <w:rFonts w:hint="eastAsia" w:ascii="宋体" w:hAnsi="宋体" w:cs="宋体"/>
          <w:b/>
          <w:bCs/>
          <w:color w:val="auto"/>
          <w:sz w:val="32"/>
          <w:szCs w:val="32"/>
          <w:highlight w:val="none"/>
        </w:rPr>
        <w:t>第四章  合同条款及格式</w:t>
      </w:r>
      <w:bookmarkEnd w:id="139"/>
      <w:bookmarkStart w:id="140" w:name="_Toc58430330"/>
    </w:p>
    <w:bookmarkEnd w:id="140"/>
    <w:p w14:paraId="033AB8DC">
      <w:pPr>
        <w:widowControl/>
        <w:spacing w:line="440" w:lineRule="exact"/>
        <w:jc w:val="center"/>
        <w:textAlignment w:val="baseline"/>
        <w:outlineLvl w:val="2"/>
        <w:rPr>
          <w:rFonts w:ascii="黑体" w:eastAsia="黑体"/>
          <w:b/>
          <w:color w:val="auto"/>
          <w:szCs w:val="21"/>
          <w:highlight w:val="none"/>
        </w:rPr>
      </w:pPr>
      <w:bookmarkStart w:id="141" w:name="_Toc15626"/>
      <w:bookmarkStart w:id="142" w:name="_Toc23143"/>
      <w:r>
        <w:rPr>
          <w:rFonts w:hint="eastAsia" w:ascii="宋体"/>
          <w:b/>
          <w:color w:val="auto"/>
          <w:szCs w:val="21"/>
          <w:highlight w:val="none"/>
        </w:rPr>
        <w:t>一、合同协议书（格式）</w:t>
      </w:r>
      <w:bookmarkEnd w:id="141"/>
      <w:bookmarkEnd w:id="142"/>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4.付款方式：供货（服务）完成，经验收合格后付全款</w:t>
      </w:r>
      <w:r>
        <w:rPr>
          <w:rFonts w:hint="eastAsia"/>
          <w:b/>
          <w:bCs/>
          <w:color w:val="auto"/>
          <w:highlight w:val="none"/>
        </w:rPr>
        <w:t>。</w:t>
      </w:r>
    </w:p>
    <w:p w14:paraId="3D81138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5.合同供货（服务）期限：合同生效后，待采购人通知供货起30个日历天完成供货，待搬迁结束后进行安装调试，具体以学院安排时间为准。</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项目验收合格后提供三年免费售后服务（最终根据承诺的质保期为准）。</w:t>
      </w:r>
    </w:p>
    <w:p w14:paraId="5CEE5602">
      <w:pPr>
        <w:numPr>
          <w:ilvl w:val="0"/>
          <w:numId w:val="1"/>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43" w:name="_Toc246996253"/>
      <w:bookmarkStart w:id="144" w:name="_Toc152042388"/>
      <w:bookmarkStart w:id="145" w:name="_Toc246996996"/>
      <w:bookmarkStart w:id="146" w:name="_Toc247085768"/>
      <w:bookmarkStart w:id="147" w:name="_Toc144974578"/>
      <w:bookmarkStart w:id="148" w:name="_Toc179632628"/>
      <w:bookmarkStart w:id="149" w:name="_Toc296602498"/>
      <w:bookmarkStart w:id="150" w:name="_Toc449028947"/>
      <w:bookmarkStart w:id="151" w:name="_Toc152045610"/>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2" w:name="_Toc6951"/>
      <w:bookmarkStart w:id="153" w:name="_Toc58430331"/>
      <w:bookmarkStart w:id="154" w:name="_Toc5798"/>
      <w:r>
        <w:rPr>
          <w:rFonts w:hint="eastAsia" w:ascii="宋体"/>
          <w:b/>
          <w:color w:val="auto"/>
          <w:sz w:val="30"/>
          <w:szCs w:val="30"/>
          <w:highlight w:val="none"/>
        </w:rPr>
        <w:t>二、合同条款</w:t>
      </w:r>
      <w:bookmarkEnd w:id="143"/>
      <w:bookmarkEnd w:id="144"/>
      <w:bookmarkEnd w:id="145"/>
      <w:bookmarkEnd w:id="146"/>
      <w:bookmarkEnd w:id="147"/>
      <w:bookmarkEnd w:id="148"/>
      <w:bookmarkEnd w:id="149"/>
      <w:bookmarkEnd w:id="150"/>
      <w:bookmarkEnd w:id="151"/>
      <w:bookmarkEnd w:id="152"/>
      <w:bookmarkEnd w:id="153"/>
      <w:bookmarkEnd w:id="154"/>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5" w:name="_Toc24159"/>
      <w:r>
        <w:rPr>
          <w:rFonts w:hint="eastAsia" w:ascii="宋体" w:hAnsi="宋体" w:cs="宋体"/>
          <w:b/>
          <w:color w:val="auto"/>
          <w:szCs w:val="21"/>
          <w:highlight w:val="none"/>
        </w:rPr>
        <w:t>二.  标的物的一般条款</w:t>
      </w:r>
      <w:bookmarkEnd w:id="155"/>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6" w:name="_Toc10370"/>
      <w:r>
        <w:rPr>
          <w:rFonts w:hint="eastAsia" w:ascii="宋体" w:hAnsi="宋体" w:cs="宋体"/>
          <w:b/>
          <w:color w:val="auto"/>
          <w:szCs w:val="21"/>
          <w:highlight w:val="none"/>
        </w:rPr>
        <w:t>三.  标的物的交付、检验和验收</w:t>
      </w:r>
      <w:bookmarkEnd w:id="156"/>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7" w:name="_Toc25119"/>
      <w:r>
        <w:rPr>
          <w:rFonts w:hint="eastAsia" w:ascii="宋体" w:hAnsi="宋体" w:cs="宋体"/>
          <w:b/>
          <w:color w:val="auto"/>
          <w:szCs w:val="21"/>
          <w:highlight w:val="none"/>
        </w:rPr>
        <w:t>四. 对标的物提出异议的时间和办法</w:t>
      </w:r>
      <w:bookmarkEnd w:id="157"/>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8" w:name="_Toc14696"/>
      <w:r>
        <w:rPr>
          <w:rFonts w:hint="eastAsia" w:ascii="宋体" w:hAnsi="宋体" w:cs="宋体"/>
          <w:b/>
          <w:color w:val="auto"/>
          <w:szCs w:val="21"/>
          <w:highlight w:val="none"/>
        </w:rPr>
        <w:t>五. 合同价款和支付</w:t>
      </w:r>
      <w:bookmarkEnd w:id="158"/>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59" w:name="_Toc668"/>
      <w:r>
        <w:rPr>
          <w:rFonts w:hint="eastAsia" w:ascii="宋体" w:hAnsi="宋体" w:cs="宋体"/>
          <w:b/>
          <w:color w:val="auto"/>
          <w:szCs w:val="21"/>
          <w:highlight w:val="none"/>
        </w:rPr>
        <w:t>六. 违约责任</w:t>
      </w:r>
      <w:bookmarkEnd w:id="159"/>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0" w:name="_Toc26498"/>
      <w:r>
        <w:rPr>
          <w:rFonts w:hint="eastAsia" w:ascii="宋体" w:hAnsi="宋体" w:cs="宋体"/>
          <w:b/>
          <w:color w:val="auto"/>
          <w:szCs w:val="21"/>
          <w:highlight w:val="none"/>
        </w:rPr>
        <w:t>七. 索赔</w:t>
      </w:r>
      <w:bookmarkEnd w:id="160"/>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1" w:name="_Toc5362"/>
      <w:r>
        <w:rPr>
          <w:rFonts w:hint="eastAsia" w:ascii="宋体" w:hAnsi="宋体" w:cs="宋体"/>
          <w:b/>
          <w:color w:val="auto"/>
          <w:szCs w:val="21"/>
          <w:highlight w:val="none"/>
        </w:rPr>
        <w:t>八. 履约保证金</w:t>
      </w:r>
      <w:bookmarkEnd w:id="161"/>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62" w:name="_Toc7821"/>
      <w:r>
        <w:rPr>
          <w:rFonts w:hint="eastAsia" w:ascii="宋体" w:hAnsi="宋体" w:cs="宋体"/>
          <w:b/>
          <w:color w:val="auto"/>
          <w:sz w:val="21"/>
          <w:szCs w:val="21"/>
          <w:highlight w:val="none"/>
        </w:rPr>
        <w:t>九.  合同的解除和转让</w:t>
      </w:r>
      <w:bookmarkEnd w:id="162"/>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3" w:name="_Toc15690"/>
      <w:r>
        <w:rPr>
          <w:rFonts w:hint="eastAsia" w:ascii="宋体" w:hAnsi="宋体" w:cs="宋体"/>
          <w:b/>
          <w:color w:val="auto"/>
          <w:szCs w:val="21"/>
          <w:highlight w:val="none"/>
        </w:rPr>
        <w:t>十. 合同的生效</w:t>
      </w:r>
      <w:bookmarkEnd w:id="163"/>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4" w:name="_Toc4181"/>
      <w:r>
        <w:rPr>
          <w:rFonts w:hint="eastAsia" w:ascii="宋体" w:hAnsi="宋体" w:cs="宋体"/>
          <w:b/>
          <w:color w:val="auto"/>
          <w:szCs w:val="21"/>
          <w:highlight w:val="none"/>
        </w:rPr>
        <w:t>十一. 争议解决</w:t>
      </w:r>
      <w:bookmarkEnd w:id="164"/>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5" w:name="_Toc9120"/>
      <w:r>
        <w:rPr>
          <w:rFonts w:hint="eastAsia" w:ascii="宋体" w:hAnsi="宋体" w:cs="宋体"/>
          <w:b/>
          <w:color w:val="auto"/>
          <w:szCs w:val="21"/>
          <w:highlight w:val="none"/>
        </w:rPr>
        <w:t>十二 .附则</w:t>
      </w:r>
      <w:bookmarkEnd w:id="165"/>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2511A808">
      <w:pPr>
        <w:rPr>
          <w:color w:val="auto"/>
          <w:highlight w:val="none"/>
        </w:rPr>
      </w:pPr>
    </w:p>
    <w:p w14:paraId="3167F3E3">
      <w:pPr>
        <w:pStyle w:val="25"/>
        <w:ind w:firstLine="560"/>
        <w:rPr>
          <w:color w:val="auto"/>
          <w:highlight w:val="none"/>
        </w:rPr>
      </w:pPr>
    </w:p>
    <w:p w14:paraId="7C0426C3">
      <w:pPr>
        <w:rPr>
          <w:color w:val="auto"/>
          <w:highlight w:val="none"/>
        </w:rPr>
      </w:pPr>
    </w:p>
    <w:p w14:paraId="4650007C">
      <w:pPr>
        <w:pStyle w:val="25"/>
        <w:ind w:firstLine="560"/>
        <w:rPr>
          <w:color w:val="auto"/>
          <w:highlight w:val="none"/>
        </w:rPr>
      </w:pPr>
    </w:p>
    <w:p w14:paraId="062F7E06">
      <w:pPr>
        <w:rPr>
          <w:color w:val="auto"/>
          <w:highlight w:val="none"/>
        </w:rPr>
      </w:pPr>
    </w:p>
    <w:p w14:paraId="67027203">
      <w:pPr>
        <w:pStyle w:val="25"/>
        <w:ind w:firstLine="560"/>
        <w:rPr>
          <w:color w:val="auto"/>
          <w:highlight w:val="none"/>
        </w:rPr>
      </w:pPr>
    </w:p>
    <w:p w14:paraId="63DCC204">
      <w:pPr>
        <w:pStyle w:val="25"/>
        <w:ind w:firstLine="560"/>
        <w:rPr>
          <w:color w:val="auto"/>
          <w:highlight w:val="none"/>
        </w:rPr>
      </w:pPr>
    </w:p>
    <w:p w14:paraId="270C06FF">
      <w:pPr>
        <w:pStyle w:val="25"/>
        <w:ind w:firstLine="560"/>
        <w:rPr>
          <w:color w:val="auto"/>
          <w:highlight w:val="none"/>
        </w:rPr>
      </w:pPr>
    </w:p>
    <w:p w14:paraId="13751B90">
      <w:pPr>
        <w:pStyle w:val="25"/>
        <w:ind w:firstLine="560"/>
        <w:rPr>
          <w:color w:val="auto"/>
          <w:highlight w:val="none"/>
        </w:rPr>
      </w:pPr>
    </w:p>
    <w:p w14:paraId="0EAF1C43">
      <w:pPr>
        <w:pStyle w:val="25"/>
        <w:ind w:firstLine="560"/>
        <w:rPr>
          <w:color w:val="auto"/>
          <w:highlight w:val="none"/>
        </w:rPr>
      </w:pPr>
    </w:p>
    <w:p w14:paraId="6EDBEB9D">
      <w:pPr>
        <w:pStyle w:val="25"/>
        <w:ind w:firstLine="56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6" w:name="_Toc13799"/>
      <w:r>
        <w:rPr>
          <w:rFonts w:hint="eastAsia" w:ascii="宋体" w:hAnsi="宋体" w:cs="宋体"/>
          <w:b/>
          <w:color w:val="auto"/>
          <w:sz w:val="32"/>
          <w:szCs w:val="32"/>
          <w:highlight w:val="none"/>
        </w:rPr>
        <w:t>第五章  投标文件标格式</w:t>
      </w:r>
      <w:bookmarkEnd w:id="166"/>
    </w:p>
    <w:p w14:paraId="1AA75C80">
      <w:pPr>
        <w:rPr>
          <w:rFonts w:eastAsia="黑体"/>
          <w:color w:val="auto"/>
          <w:sz w:val="20"/>
          <w:highlight w:val="none"/>
        </w:rPr>
      </w:pPr>
    </w:p>
    <w:p w14:paraId="2194594B">
      <w:pPr>
        <w:jc w:val="center"/>
        <w:rPr>
          <w:rFonts w:ascii="宋体"/>
          <w:b/>
          <w:color w:val="auto"/>
          <w:sz w:val="44"/>
          <w:szCs w:val="44"/>
          <w:highlight w:val="none"/>
        </w:rPr>
      </w:pPr>
      <w:bookmarkStart w:id="167" w:name="_Toc350698753"/>
      <w:bookmarkStart w:id="168"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69" w:name="_Toc1612"/>
      <w:r>
        <w:rPr>
          <w:rFonts w:hint="eastAsia" w:ascii="宋体"/>
          <w:b/>
          <w:color w:val="auto"/>
          <w:sz w:val="44"/>
          <w:szCs w:val="44"/>
          <w:highlight w:val="none"/>
        </w:rPr>
        <w:t>资信证明文件</w:t>
      </w:r>
      <w:bookmarkEnd w:id="167"/>
      <w:bookmarkEnd w:id="168"/>
      <w:bookmarkEnd w:id="169"/>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highlight w:val="none"/>
        </w:rPr>
      </w:pPr>
      <w:bookmarkStart w:id="170" w:name="_Toc31838"/>
      <w:r>
        <w:rPr>
          <w:rFonts w:hint="eastAsia" w:ascii="宋体" w:hAnsi="宋体" w:cs="宋体"/>
          <w:color w:val="auto"/>
          <w:szCs w:val="21"/>
          <w:highlight w:val="none"/>
        </w:rPr>
        <w:t>（2）投标供应商有效的营业执照（或三证合一的有效证件）；</w:t>
      </w:r>
      <w:bookmarkEnd w:id="170"/>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1" w:name="_Toc11671"/>
      <w:r>
        <w:rPr>
          <w:rFonts w:hint="eastAsia" w:ascii="宋体" w:hAnsi="宋体" w:cs="宋体"/>
          <w:color w:val="auto"/>
          <w:szCs w:val="21"/>
          <w:highlight w:val="none"/>
        </w:rPr>
        <w:t>（4）诚信投标承诺书（格式见附件）；</w:t>
      </w:r>
      <w:bookmarkEnd w:id="171"/>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3A882F65">
      <w:pPr>
        <w:pStyle w:val="4"/>
        <w:jc w:val="center"/>
        <w:rPr>
          <w:rFonts w:ascii="宋体" w:hAnsi="宋体" w:cs="宋体"/>
          <w:color w:val="auto"/>
          <w:sz w:val="28"/>
          <w:szCs w:val="28"/>
          <w:highlight w:val="none"/>
        </w:rPr>
      </w:pPr>
      <w:bookmarkStart w:id="172" w:name="_Toc17426"/>
      <w:r>
        <w:rPr>
          <w:rFonts w:hint="eastAsia" w:ascii="宋体" w:hAnsi="宋体" w:cs="宋体"/>
          <w:color w:val="auto"/>
          <w:sz w:val="28"/>
          <w:szCs w:val="28"/>
          <w:highlight w:val="none"/>
        </w:rPr>
        <w:t>（1）法定代表人身份证明</w:t>
      </w:r>
      <w:bookmarkEnd w:id="172"/>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3" w:name="_Toc5345"/>
      <w:r>
        <w:rPr>
          <w:rFonts w:hint="eastAsia" w:ascii="宋体" w:hAnsi="宋体" w:cs="宋体"/>
          <w:b/>
          <w:bCs/>
          <w:color w:val="auto"/>
          <w:sz w:val="28"/>
          <w:szCs w:val="28"/>
          <w:highlight w:val="none"/>
        </w:rPr>
        <w:t>（2）诚信投标承诺书</w:t>
      </w:r>
      <w:bookmarkEnd w:id="173"/>
    </w:p>
    <w:p w14:paraId="49CC423E">
      <w:pPr>
        <w:spacing w:line="440" w:lineRule="exact"/>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2D04EF6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316252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spacing w:line="44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40F719FB">
      <w:pPr>
        <w:spacing w:line="560" w:lineRule="exact"/>
        <w:ind w:right="-313" w:rightChars="-149" w:firstLine="640" w:firstLineChars="200"/>
        <w:rPr>
          <w:color w:val="auto"/>
          <w:sz w:val="32"/>
          <w:szCs w:val="21"/>
          <w:highlight w:val="none"/>
        </w:rPr>
      </w:pPr>
      <w:bookmarkStart w:id="174" w:name="_Toc21013"/>
      <w:r>
        <w:rPr>
          <w:rFonts w:hint="eastAsia"/>
          <w:color w:val="auto"/>
          <w:sz w:val="32"/>
          <w:szCs w:val="21"/>
          <w:highlight w:val="none"/>
        </w:rPr>
        <w:t xml:space="preserve">                    </w:t>
      </w:r>
    </w:p>
    <w:p w14:paraId="62AC770A">
      <w:pPr>
        <w:pStyle w:val="2"/>
        <w:pageBreakBefore/>
        <w:spacing w:line="579" w:lineRule="auto"/>
        <w:jc w:val="right"/>
        <w:rPr>
          <w:rFonts w:ascii="宋体"/>
          <w:b w:val="0"/>
          <w:color w:val="auto"/>
          <w:highlight w:val="none"/>
        </w:rPr>
      </w:pPr>
      <w:bookmarkStart w:id="175" w:name="_Toc28063"/>
      <w:r>
        <w:rPr>
          <w:rFonts w:hint="eastAsia"/>
          <w:color w:val="auto"/>
          <w:sz w:val="32"/>
          <w:szCs w:val="21"/>
          <w:highlight w:val="none"/>
        </w:rPr>
        <w:t>正本/副本</w:t>
      </w:r>
      <w:bookmarkEnd w:id="175"/>
    </w:p>
    <w:p w14:paraId="0D5FB811">
      <w:pPr>
        <w:pStyle w:val="2"/>
        <w:jc w:val="center"/>
        <w:rPr>
          <w:rFonts w:ascii="宋体"/>
          <w:b w:val="0"/>
          <w:color w:val="auto"/>
          <w:highlight w:val="none"/>
        </w:rPr>
      </w:pPr>
      <w:bookmarkStart w:id="176" w:name="_Toc28957"/>
      <w:bookmarkStart w:id="177" w:name="_Toc10768"/>
      <w:r>
        <w:rPr>
          <w:rFonts w:hint="eastAsia" w:ascii="宋体"/>
          <w:b w:val="0"/>
          <w:color w:val="auto"/>
          <w:highlight w:val="none"/>
        </w:rPr>
        <w:t>技术标文件</w:t>
      </w:r>
      <w:bookmarkEnd w:id="174"/>
      <w:bookmarkEnd w:id="176"/>
      <w:bookmarkEnd w:id="177"/>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A891D0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2C55511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3DBA98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（3）质量承诺及保证体系、措施、应急方案；</w:t>
      </w:r>
    </w:p>
    <w:p w14:paraId="2019D0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5415702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CE620">
      <w:pPr>
        <w:rPr>
          <w:rFonts w:ascii="宋体" w:hAnsi="宋体"/>
          <w:b/>
          <w:color w:val="auto"/>
          <w:sz w:val="24"/>
          <w:highlight w:val="none"/>
        </w:rPr>
      </w:pPr>
    </w:p>
    <w:p w14:paraId="1EC058A0">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2"/>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5"/>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8" w:name="_Toc469495746"/>
      <w:bookmarkStart w:id="179" w:name="_Toc26668"/>
      <w:r>
        <w:rPr>
          <w:rFonts w:hint="eastAsia" w:ascii="宋体"/>
          <w:b/>
          <w:color w:val="auto"/>
          <w:sz w:val="44"/>
          <w:szCs w:val="44"/>
          <w:highlight w:val="none"/>
        </w:rPr>
        <w:t>商务标</w:t>
      </w:r>
      <w:bookmarkEnd w:id="178"/>
      <w:bookmarkEnd w:id="179"/>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7D260E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滁州学院2024年经管学院会议室设备采购及安装    </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2024CG-059</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11B6DDC5">
      <w:pPr>
        <w:spacing w:before="10" w:after="10" w:line="440" w:lineRule="exact"/>
        <w:jc w:val="center"/>
        <w:rPr>
          <w:rFonts w:ascii="宋体" w:hAnsi="宋体" w:cs="宋体"/>
          <w:b/>
          <w:color w:val="auto"/>
          <w:sz w:val="30"/>
          <w:szCs w:val="30"/>
          <w:highlight w:val="none"/>
        </w:rPr>
      </w:pPr>
    </w:p>
    <w:p w14:paraId="7956FF65">
      <w:pPr>
        <w:spacing w:before="10" w:after="10" w:line="440" w:lineRule="exact"/>
        <w:jc w:val="center"/>
        <w:rPr>
          <w:rFonts w:ascii="宋体" w:hAnsi="宋体" w:cs="宋体"/>
          <w:b/>
          <w:color w:val="auto"/>
          <w:sz w:val="30"/>
          <w:szCs w:val="30"/>
          <w:highlight w:val="none"/>
        </w:rPr>
      </w:pPr>
    </w:p>
    <w:p w14:paraId="2DE94D8A">
      <w:pPr>
        <w:spacing w:before="10" w:after="10" w:line="440" w:lineRule="exact"/>
        <w:jc w:val="center"/>
        <w:rPr>
          <w:rFonts w:ascii="宋体" w:hAnsi="宋体" w:cs="宋体"/>
          <w:b/>
          <w:color w:val="auto"/>
          <w:sz w:val="30"/>
          <w:szCs w:val="30"/>
          <w:highlight w:val="none"/>
        </w:rPr>
      </w:pPr>
    </w:p>
    <w:p w14:paraId="3FBAF9F2">
      <w:pPr>
        <w:spacing w:before="10" w:after="1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分项报价表</w:t>
      </w:r>
    </w:p>
    <w:tbl>
      <w:tblPr>
        <w:tblStyle w:val="2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7"/>
        <w:gridCol w:w="1498"/>
        <w:gridCol w:w="741"/>
        <w:gridCol w:w="688"/>
        <w:gridCol w:w="1329"/>
        <w:gridCol w:w="1111"/>
      </w:tblGrid>
      <w:tr w14:paraId="1F3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3" w:type="dxa"/>
            <w:vAlign w:val="center"/>
          </w:tcPr>
          <w:p w14:paraId="03138DA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37" w:type="dxa"/>
            <w:vAlign w:val="center"/>
          </w:tcPr>
          <w:p w14:paraId="202E50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1498" w:type="dxa"/>
            <w:vAlign w:val="center"/>
          </w:tcPr>
          <w:p w14:paraId="2BD622D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规格、型号、品牌及参数</w:t>
            </w:r>
          </w:p>
        </w:tc>
        <w:tc>
          <w:tcPr>
            <w:tcW w:w="741" w:type="dxa"/>
            <w:vAlign w:val="center"/>
          </w:tcPr>
          <w:p w14:paraId="5103AA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数量</w:t>
            </w:r>
          </w:p>
        </w:tc>
        <w:tc>
          <w:tcPr>
            <w:tcW w:w="688" w:type="dxa"/>
            <w:vAlign w:val="center"/>
          </w:tcPr>
          <w:p w14:paraId="14B4087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单位</w:t>
            </w:r>
          </w:p>
        </w:tc>
        <w:tc>
          <w:tcPr>
            <w:tcW w:w="1329" w:type="dxa"/>
            <w:vAlign w:val="center"/>
          </w:tcPr>
          <w:p w14:paraId="59B5C47A">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1111" w:type="dxa"/>
            <w:vAlign w:val="center"/>
          </w:tcPr>
          <w:p w14:paraId="2D3F50D7">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合价（元）</w:t>
            </w:r>
          </w:p>
        </w:tc>
      </w:tr>
      <w:tr w14:paraId="51F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3" w:type="dxa"/>
            <w:vAlign w:val="center"/>
          </w:tcPr>
          <w:p w14:paraId="395AB4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1</w:t>
            </w:r>
          </w:p>
        </w:tc>
        <w:tc>
          <w:tcPr>
            <w:tcW w:w="2937" w:type="dxa"/>
            <w:vAlign w:val="center"/>
          </w:tcPr>
          <w:p w14:paraId="67BE29B6">
            <w:pPr>
              <w:autoSpaceDE w:val="0"/>
              <w:autoSpaceDN w:val="0"/>
              <w:adjustRightInd w:val="0"/>
              <w:spacing w:line="440" w:lineRule="exact"/>
              <w:jc w:val="center"/>
              <w:rPr>
                <w:rFonts w:ascii="宋体" w:hAnsi="宋体" w:cs="宋体"/>
                <w:color w:val="auto"/>
                <w:szCs w:val="21"/>
                <w:highlight w:val="none"/>
              </w:rPr>
            </w:pPr>
          </w:p>
        </w:tc>
        <w:tc>
          <w:tcPr>
            <w:tcW w:w="1498" w:type="dxa"/>
            <w:vAlign w:val="center"/>
          </w:tcPr>
          <w:p w14:paraId="05531A64">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602817B0">
            <w:pPr>
              <w:autoSpaceDE w:val="0"/>
              <w:autoSpaceDN w:val="0"/>
              <w:adjustRightInd w:val="0"/>
              <w:spacing w:line="440" w:lineRule="exact"/>
              <w:jc w:val="center"/>
              <w:rPr>
                <w:rFonts w:ascii="宋体" w:hAnsi="宋体" w:cs="宋体"/>
                <w:color w:val="auto"/>
                <w:szCs w:val="21"/>
                <w:highlight w:val="none"/>
              </w:rPr>
            </w:pPr>
          </w:p>
        </w:tc>
        <w:tc>
          <w:tcPr>
            <w:tcW w:w="688" w:type="dxa"/>
            <w:vAlign w:val="center"/>
          </w:tcPr>
          <w:p w14:paraId="7D219EF7">
            <w:pPr>
              <w:spacing w:line="440" w:lineRule="exact"/>
              <w:jc w:val="center"/>
              <w:rPr>
                <w:rFonts w:ascii="宋体" w:hAnsi="宋体" w:cs="宋体"/>
                <w:color w:val="auto"/>
                <w:szCs w:val="21"/>
                <w:highlight w:val="none"/>
              </w:rPr>
            </w:pPr>
          </w:p>
        </w:tc>
        <w:tc>
          <w:tcPr>
            <w:tcW w:w="1329" w:type="dxa"/>
            <w:vAlign w:val="center"/>
          </w:tcPr>
          <w:p w14:paraId="0DDC566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8EA8966">
            <w:pPr>
              <w:pStyle w:val="25"/>
              <w:spacing w:line="440" w:lineRule="exact"/>
              <w:ind w:firstLine="0" w:firstLineChars="0"/>
              <w:jc w:val="center"/>
              <w:rPr>
                <w:rFonts w:hAnsi="宋体" w:cs="宋体"/>
                <w:color w:val="auto"/>
                <w:sz w:val="21"/>
                <w:szCs w:val="21"/>
                <w:highlight w:val="none"/>
              </w:rPr>
            </w:pPr>
          </w:p>
        </w:tc>
      </w:tr>
      <w:tr w14:paraId="0AB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3" w:type="dxa"/>
            <w:vAlign w:val="center"/>
          </w:tcPr>
          <w:p w14:paraId="01E300EC">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2</w:t>
            </w:r>
          </w:p>
        </w:tc>
        <w:tc>
          <w:tcPr>
            <w:tcW w:w="2937" w:type="dxa"/>
            <w:vAlign w:val="center"/>
          </w:tcPr>
          <w:p w14:paraId="7CA7036C">
            <w:pPr>
              <w:spacing w:line="440" w:lineRule="exact"/>
              <w:jc w:val="center"/>
              <w:rPr>
                <w:rFonts w:ascii="宋体" w:hAnsi="宋体" w:cs="宋体"/>
                <w:color w:val="auto"/>
                <w:szCs w:val="21"/>
                <w:highlight w:val="none"/>
              </w:rPr>
            </w:pPr>
          </w:p>
        </w:tc>
        <w:tc>
          <w:tcPr>
            <w:tcW w:w="1498" w:type="dxa"/>
            <w:vAlign w:val="center"/>
          </w:tcPr>
          <w:p w14:paraId="2E3B2E1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2F63E978">
            <w:pPr>
              <w:spacing w:line="440" w:lineRule="exact"/>
              <w:jc w:val="center"/>
              <w:rPr>
                <w:rFonts w:ascii="宋体" w:hAnsi="宋体" w:cs="宋体"/>
                <w:color w:val="auto"/>
                <w:szCs w:val="21"/>
                <w:highlight w:val="none"/>
              </w:rPr>
            </w:pPr>
          </w:p>
        </w:tc>
        <w:tc>
          <w:tcPr>
            <w:tcW w:w="688" w:type="dxa"/>
            <w:vAlign w:val="center"/>
          </w:tcPr>
          <w:p w14:paraId="27007484">
            <w:pPr>
              <w:spacing w:line="440" w:lineRule="exact"/>
              <w:jc w:val="center"/>
              <w:rPr>
                <w:rFonts w:ascii="宋体" w:hAnsi="宋体" w:cs="宋体"/>
                <w:color w:val="auto"/>
                <w:szCs w:val="21"/>
                <w:highlight w:val="none"/>
              </w:rPr>
            </w:pPr>
          </w:p>
        </w:tc>
        <w:tc>
          <w:tcPr>
            <w:tcW w:w="1329" w:type="dxa"/>
            <w:vAlign w:val="center"/>
          </w:tcPr>
          <w:p w14:paraId="5782B03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BAEF3AA">
            <w:pPr>
              <w:pStyle w:val="25"/>
              <w:spacing w:line="440" w:lineRule="exact"/>
              <w:ind w:firstLine="0" w:firstLineChars="0"/>
              <w:jc w:val="center"/>
              <w:rPr>
                <w:rFonts w:hAnsi="宋体" w:cs="宋体"/>
                <w:color w:val="auto"/>
                <w:sz w:val="21"/>
                <w:szCs w:val="21"/>
                <w:highlight w:val="none"/>
              </w:rPr>
            </w:pPr>
          </w:p>
        </w:tc>
      </w:tr>
      <w:tr w14:paraId="4C7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619A2C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3</w:t>
            </w:r>
          </w:p>
        </w:tc>
        <w:tc>
          <w:tcPr>
            <w:tcW w:w="2937" w:type="dxa"/>
            <w:vAlign w:val="center"/>
          </w:tcPr>
          <w:p w14:paraId="729CE0E1">
            <w:pPr>
              <w:spacing w:line="440" w:lineRule="exact"/>
              <w:jc w:val="center"/>
              <w:rPr>
                <w:rFonts w:ascii="宋体" w:hAnsi="宋体" w:cs="宋体"/>
                <w:color w:val="auto"/>
                <w:szCs w:val="21"/>
                <w:highlight w:val="none"/>
              </w:rPr>
            </w:pPr>
          </w:p>
        </w:tc>
        <w:tc>
          <w:tcPr>
            <w:tcW w:w="1498" w:type="dxa"/>
            <w:vAlign w:val="center"/>
          </w:tcPr>
          <w:p w14:paraId="076C1C9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59918247">
            <w:pPr>
              <w:spacing w:line="440" w:lineRule="exact"/>
              <w:jc w:val="center"/>
              <w:rPr>
                <w:rFonts w:ascii="宋体" w:hAnsi="宋体" w:cs="宋体"/>
                <w:color w:val="auto"/>
                <w:szCs w:val="21"/>
                <w:highlight w:val="none"/>
              </w:rPr>
            </w:pPr>
          </w:p>
        </w:tc>
        <w:tc>
          <w:tcPr>
            <w:tcW w:w="688" w:type="dxa"/>
            <w:vAlign w:val="center"/>
          </w:tcPr>
          <w:p w14:paraId="3E3FCB30">
            <w:pPr>
              <w:spacing w:line="440" w:lineRule="exact"/>
              <w:jc w:val="center"/>
              <w:rPr>
                <w:rFonts w:ascii="宋体" w:hAnsi="宋体" w:cs="宋体"/>
                <w:color w:val="auto"/>
                <w:szCs w:val="21"/>
                <w:highlight w:val="none"/>
              </w:rPr>
            </w:pPr>
          </w:p>
        </w:tc>
        <w:tc>
          <w:tcPr>
            <w:tcW w:w="1329" w:type="dxa"/>
            <w:vAlign w:val="center"/>
          </w:tcPr>
          <w:p w14:paraId="3062D1C5">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A164A88">
            <w:pPr>
              <w:pStyle w:val="25"/>
              <w:spacing w:line="440" w:lineRule="exact"/>
              <w:ind w:firstLine="0" w:firstLineChars="0"/>
              <w:jc w:val="center"/>
              <w:rPr>
                <w:rFonts w:hAnsi="宋体" w:cs="宋体"/>
                <w:color w:val="auto"/>
                <w:sz w:val="21"/>
                <w:szCs w:val="21"/>
                <w:highlight w:val="none"/>
              </w:rPr>
            </w:pPr>
          </w:p>
        </w:tc>
      </w:tr>
      <w:tr w14:paraId="70B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0AA2E6FF">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4</w:t>
            </w:r>
          </w:p>
        </w:tc>
        <w:tc>
          <w:tcPr>
            <w:tcW w:w="2937" w:type="dxa"/>
            <w:vAlign w:val="center"/>
          </w:tcPr>
          <w:p w14:paraId="64561F18">
            <w:pPr>
              <w:spacing w:line="440" w:lineRule="exact"/>
              <w:jc w:val="center"/>
              <w:rPr>
                <w:rFonts w:ascii="宋体" w:hAnsi="宋体" w:cs="宋体"/>
                <w:color w:val="auto"/>
                <w:szCs w:val="21"/>
                <w:highlight w:val="none"/>
              </w:rPr>
            </w:pPr>
          </w:p>
        </w:tc>
        <w:tc>
          <w:tcPr>
            <w:tcW w:w="1498" w:type="dxa"/>
            <w:vAlign w:val="center"/>
          </w:tcPr>
          <w:p w14:paraId="73FD3EBE">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F295595">
            <w:pPr>
              <w:spacing w:line="440" w:lineRule="exact"/>
              <w:jc w:val="center"/>
              <w:rPr>
                <w:rFonts w:ascii="宋体" w:hAnsi="宋体" w:cs="宋体"/>
                <w:color w:val="auto"/>
                <w:szCs w:val="21"/>
                <w:highlight w:val="none"/>
              </w:rPr>
            </w:pPr>
          </w:p>
        </w:tc>
        <w:tc>
          <w:tcPr>
            <w:tcW w:w="688" w:type="dxa"/>
            <w:vAlign w:val="center"/>
          </w:tcPr>
          <w:p w14:paraId="737C1B92">
            <w:pPr>
              <w:spacing w:line="440" w:lineRule="exact"/>
              <w:jc w:val="center"/>
              <w:rPr>
                <w:rFonts w:ascii="宋体" w:hAnsi="宋体" w:cs="宋体"/>
                <w:color w:val="auto"/>
                <w:szCs w:val="21"/>
                <w:highlight w:val="none"/>
              </w:rPr>
            </w:pPr>
          </w:p>
        </w:tc>
        <w:tc>
          <w:tcPr>
            <w:tcW w:w="1329" w:type="dxa"/>
            <w:vAlign w:val="center"/>
          </w:tcPr>
          <w:p w14:paraId="0C7A30A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2153DA35">
            <w:pPr>
              <w:pStyle w:val="25"/>
              <w:spacing w:line="440" w:lineRule="exact"/>
              <w:ind w:firstLine="0" w:firstLineChars="0"/>
              <w:jc w:val="center"/>
              <w:rPr>
                <w:rFonts w:hAnsi="宋体" w:cs="宋体"/>
                <w:color w:val="auto"/>
                <w:sz w:val="21"/>
                <w:szCs w:val="21"/>
                <w:highlight w:val="none"/>
              </w:rPr>
            </w:pPr>
          </w:p>
        </w:tc>
      </w:tr>
      <w:tr w14:paraId="3D9C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5B19693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5</w:t>
            </w:r>
          </w:p>
        </w:tc>
        <w:tc>
          <w:tcPr>
            <w:tcW w:w="2937" w:type="dxa"/>
            <w:vAlign w:val="center"/>
          </w:tcPr>
          <w:p w14:paraId="377B4291">
            <w:pPr>
              <w:spacing w:line="440" w:lineRule="exact"/>
              <w:jc w:val="center"/>
              <w:rPr>
                <w:rFonts w:ascii="宋体" w:hAnsi="宋体" w:cs="宋体"/>
                <w:color w:val="auto"/>
                <w:szCs w:val="21"/>
                <w:highlight w:val="none"/>
              </w:rPr>
            </w:pPr>
          </w:p>
        </w:tc>
        <w:tc>
          <w:tcPr>
            <w:tcW w:w="1498" w:type="dxa"/>
            <w:vAlign w:val="center"/>
          </w:tcPr>
          <w:p w14:paraId="3830CE3C">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140949F4">
            <w:pPr>
              <w:spacing w:line="440" w:lineRule="exact"/>
              <w:jc w:val="center"/>
              <w:rPr>
                <w:rFonts w:ascii="宋体" w:hAnsi="宋体" w:cs="宋体"/>
                <w:color w:val="auto"/>
                <w:szCs w:val="21"/>
                <w:highlight w:val="none"/>
              </w:rPr>
            </w:pPr>
          </w:p>
        </w:tc>
        <w:tc>
          <w:tcPr>
            <w:tcW w:w="688" w:type="dxa"/>
            <w:vAlign w:val="center"/>
          </w:tcPr>
          <w:p w14:paraId="208F0575">
            <w:pPr>
              <w:spacing w:line="440" w:lineRule="exact"/>
              <w:jc w:val="center"/>
              <w:rPr>
                <w:rFonts w:ascii="宋体" w:hAnsi="宋体" w:cs="宋体"/>
                <w:color w:val="auto"/>
                <w:szCs w:val="21"/>
                <w:highlight w:val="none"/>
              </w:rPr>
            </w:pPr>
          </w:p>
        </w:tc>
        <w:tc>
          <w:tcPr>
            <w:tcW w:w="1329" w:type="dxa"/>
            <w:vAlign w:val="center"/>
          </w:tcPr>
          <w:p w14:paraId="3F2C5397">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11508437">
            <w:pPr>
              <w:pStyle w:val="25"/>
              <w:spacing w:line="440" w:lineRule="exact"/>
              <w:ind w:firstLine="0" w:firstLineChars="0"/>
              <w:jc w:val="center"/>
              <w:rPr>
                <w:rFonts w:hAnsi="宋体" w:cs="宋体"/>
                <w:color w:val="auto"/>
                <w:sz w:val="21"/>
                <w:szCs w:val="21"/>
                <w:highlight w:val="none"/>
              </w:rPr>
            </w:pPr>
          </w:p>
        </w:tc>
      </w:tr>
      <w:tr w14:paraId="4CAF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7DAE50D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6</w:t>
            </w:r>
          </w:p>
        </w:tc>
        <w:tc>
          <w:tcPr>
            <w:tcW w:w="2937" w:type="dxa"/>
            <w:vAlign w:val="center"/>
          </w:tcPr>
          <w:p w14:paraId="2BBB8487">
            <w:pPr>
              <w:spacing w:line="440" w:lineRule="exact"/>
              <w:jc w:val="center"/>
              <w:rPr>
                <w:rFonts w:ascii="宋体" w:hAnsi="宋体" w:cs="宋体"/>
                <w:color w:val="auto"/>
                <w:szCs w:val="21"/>
                <w:highlight w:val="none"/>
              </w:rPr>
            </w:pPr>
          </w:p>
        </w:tc>
        <w:tc>
          <w:tcPr>
            <w:tcW w:w="1498" w:type="dxa"/>
            <w:vAlign w:val="center"/>
          </w:tcPr>
          <w:p w14:paraId="539883C3">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7301D12B">
            <w:pPr>
              <w:spacing w:line="440" w:lineRule="exact"/>
              <w:jc w:val="center"/>
              <w:rPr>
                <w:rFonts w:ascii="宋体" w:hAnsi="宋体" w:cs="宋体"/>
                <w:color w:val="auto"/>
                <w:szCs w:val="21"/>
                <w:highlight w:val="none"/>
              </w:rPr>
            </w:pPr>
          </w:p>
        </w:tc>
        <w:tc>
          <w:tcPr>
            <w:tcW w:w="688" w:type="dxa"/>
            <w:vAlign w:val="center"/>
          </w:tcPr>
          <w:p w14:paraId="3D2DF4EF">
            <w:pPr>
              <w:spacing w:line="440" w:lineRule="exact"/>
              <w:jc w:val="center"/>
              <w:rPr>
                <w:rFonts w:ascii="宋体" w:hAnsi="宋体" w:cs="宋体"/>
                <w:color w:val="auto"/>
                <w:szCs w:val="21"/>
                <w:highlight w:val="none"/>
              </w:rPr>
            </w:pPr>
          </w:p>
        </w:tc>
        <w:tc>
          <w:tcPr>
            <w:tcW w:w="1329" w:type="dxa"/>
            <w:vAlign w:val="center"/>
          </w:tcPr>
          <w:p w14:paraId="7A3C46CB">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300DDD4">
            <w:pPr>
              <w:pStyle w:val="25"/>
              <w:spacing w:line="440" w:lineRule="exact"/>
              <w:ind w:firstLine="0" w:firstLineChars="0"/>
              <w:jc w:val="center"/>
              <w:rPr>
                <w:rFonts w:hAnsi="宋体" w:cs="宋体"/>
                <w:color w:val="auto"/>
                <w:sz w:val="21"/>
                <w:szCs w:val="21"/>
                <w:highlight w:val="none"/>
              </w:rPr>
            </w:pPr>
          </w:p>
        </w:tc>
      </w:tr>
      <w:tr w14:paraId="40E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Align w:val="center"/>
          </w:tcPr>
          <w:p w14:paraId="7208487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c>
          <w:tcPr>
            <w:tcW w:w="2937" w:type="dxa"/>
            <w:vAlign w:val="center"/>
          </w:tcPr>
          <w:p w14:paraId="37442F76">
            <w:pPr>
              <w:spacing w:line="440" w:lineRule="exact"/>
              <w:jc w:val="center"/>
              <w:rPr>
                <w:rFonts w:ascii="宋体" w:hAnsi="宋体" w:cs="宋体"/>
                <w:color w:val="auto"/>
                <w:szCs w:val="21"/>
                <w:highlight w:val="none"/>
              </w:rPr>
            </w:pPr>
          </w:p>
        </w:tc>
        <w:tc>
          <w:tcPr>
            <w:tcW w:w="1498" w:type="dxa"/>
            <w:vAlign w:val="center"/>
          </w:tcPr>
          <w:p w14:paraId="3975FF38">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0EEFDE1">
            <w:pPr>
              <w:spacing w:line="440" w:lineRule="exact"/>
              <w:jc w:val="center"/>
              <w:rPr>
                <w:rFonts w:ascii="宋体" w:hAnsi="宋体" w:cs="宋体"/>
                <w:color w:val="auto"/>
                <w:szCs w:val="21"/>
                <w:highlight w:val="none"/>
              </w:rPr>
            </w:pPr>
          </w:p>
        </w:tc>
        <w:tc>
          <w:tcPr>
            <w:tcW w:w="688" w:type="dxa"/>
            <w:vAlign w:val="center"/>
          </w:tcPr>
          <w:p w14:paraId="68062CEE">
            <w:pPr>
              <w:spacing w:line="440" w:lineRule="exact"/>
              <w:jc w:val="center"/>
              <w:rPr>
                <w:rFonts w:ascii="宋体" w:hAnsi="宋体" w:cs="宋体"/>
                <w:color w:val="auto"/>
                <w:szCs w:val="21"/>
                <w:highlight w:val="none"/>
              </w:rPr>
            </w:pPr>
          </w:p>
        </w:tc>
        <w:tc>
          <w:tcPr>
            <w:tcW w:w="1329" w:type="dxa"/>
            <w:vAlign w:val="center"/>
          </w:tcPr>
          <w:p w14:paraId="7CAAD94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0C40CF14">
            <w:pPr>
              <w:pStyle w:val="25"/>
              <w:spacing w:line="440" w:lineRule="exact"/>
              <w:ind w:firstLine="0" w:firstLineChars="0"/>
              <w:jc w:val="center"/>
              <w:rPr>
                <w:rFonts w:hAnsi="宋体" w:cs="宋体"/>
                <w:color w:val="auto"/>
                <w:sz w:val="21"/>
                <w:szCs w:val="21"/>
                <w:highlight w:val="none"/>
              </w:rPr>
            </w:pPr>
          </w:p>
        </w:tc>
      </w:tr>
    </w:tbl>
    <w:p w14:paraId="68D088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注：</w:t>
      </w:r>
    </w:p>
    <w:p w14:paraId="23163A8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所有投标只能选择一种方案，单价和合价的报价只能是唯一，且须列出详细的分项报价。</w:t>
      </w:r>
      <w:r>
        <w:rPr>
          <w:rFonts w:hint="eastAsia" w:ascii="宋体" w:hAnsi="宋体" w:cs="宋体"/>
          <w:color w:val="auto"/>
          <w:szCs w:val="21"/>
          <w:highlight w:val="none"/>
        </w:rPr>
        <w:t>（与采购清单项相一致，不得缺项，否则视同包含在其他项目。）</w:t>
      </w:r>
    </w:p>
    <w:p w14:paraId="26D0B253">
      <w:pPr>
        <w:tabs>
          <w:tab w:val="left" w:pos="312"/>
        </w:tabs>
        <w:spacing w:line="440" w:lineRule="exact"/>
        <w:rPr>
          <w:rFonts w:ascii="宋体" w:hAnsi="宋体" w:cs="宋体"/>
          <w:color w:val="auto"/>
          <w:szCs w:val="21"/>
          <w:highlight w:val="none"/>
          <w:lang w:val="zh-CN"/>
        </w:rPr>
      </w:pPr>
      <w:r>
        <w:rPr>
          <w:rFonts w:hint="eastAsia" w:ascii="宋体"/>
          <w:color w:val="auto"/>
          <w:szCs w:val="21"/>
          <w:highlight w:val="none"/>
        </w:rPr>
        <w:t>2、</w:t>
      </w:r>
      <w:r>
        <w:rPr>
          <w:rFonts w:hint="eastAsia" w:ascii="宋体" w:hAnsi="宋体" w:cs="宋体"/>
          <w:color w:val="auto"/>
          <w:szCs w:val="21"/>
          <w:highlight w:val="none"/>
          <w:lang w:val="zh-CN"/>
        </w:rPr>
        <w:t>投标报价采用综合单价法，</w:t>
      </w:r>
      <w:r>
        <w:rPr>
          <w:rFonts w:hint="eastAsia" w:ascii="宋体" w:hAnsi="宋体" w:cs="宋体"/>
          <w:color w:val="auto"/>
          <w:kern w:val="0"/>
          <w:szCs w:val="21"/>
          <w:highlight w:val="none"/>
          <w:lang w:bidi="ar"/>
        </w:rPr>
        <w:t>综合单价包括但不限于为完成项目全部内容所发生的</w:t>
      </w:r>
      <w:r>
        <w:rPr>
          <w:rFonts w:hint="eastAsia" w:ascii="宋体" w:hAnsi="宋体" w:cs="宋体"/>
          <w:color w:val="auto"/>
          <w:szCs w:val="21"/>
          <w:highlight w:val="none"/>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highlight w:val="none"/>
          <w:lang w:val="zh-CN"/>
        </w:rPr>
        <w:t>。</w:t>
      </w:r>
    </w:p>
    <w:p w14:paraId="2F55ED19">
      <w:pPr>
        <w:spacing w:line="440" w:lineRule="exact"/>
        <w:ind w:firstLine="420" w:firstLineChars="200"/>
        <w:rPr>
          <w:rFonts w:ascii="宋体"/>
          <w:bCs/>
          <w:color w:val="auto"/>
          <w:szCs w:val="21"/>
          <w:highlight w:val="none"/>
        </w:rPr>
      </w:pPr>
    </w:p>
    <w:p w14:paraId="54A7975D">
      <w:pPr>
        <w:spacing w:line="600" w:lineRule="exact"/>
        <w:rPr>
          <w:rFonts w:ascii="宋体" w:hAnsi="宋体" w:cs="宋体"/>
          <w:color w:val="auto"/>
          <w:sz w:val="24"/>
          <w:highlight w:val="none"/>
        </w:rPr>
      </w:pPr>
    </w:p>
    <w:p w14:paraId="3C669CE8">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法定代表人或代理人（被授权人）：</w:t>
      </w:r>
      <w:r>
        <w:rPr>
          <w:rFonts w:hint="eastAsia" w:ascii="宋体" w:hAnsi="宋体" w:cs="宋体"/>
          <w:color w:val="auto"/>
          <w:sz w:val="24"/>
          <w:highlight w:val="none"/>
          <w:u w:val="single"/>
        </w:rPr>
        <w:t xml:space="preserve">                （签字或盖章）          </w:t>
      </w:r>
    </w:p>
    <w:p w14:paraId="479E4D1E">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投标供应商名称：</w:t>
      </w:r>
      <w:r>
        <w:rPr>
          <w:rFonts w:hint="eastAsia" w:ascii="宋体" w:hAnsi="宋体" w:cs="宋体"/>
          <w:color w:val="auto"/>
          <w:sz w:val="24"/>
          <w:highlight w:val="none"/>
          <w:u w:val="single"/>
        </w:rPr>
        <w:t xml:space="preserve">        （公章）          </w:t>
      </w:r>
    </w:p>
    <w:p w14:paraId="1F0153C3">
      <w:pPr>
        <w:spacing w:line="600" w:lineRule="exact"/>
        <w:ind w:firstLine="4680" w:firstLineChars="1950"/>
        <w:rPr>
          <w:rFonts w:ascii="宋体" w:hAnsi="宋体" w:cs="宋体"/>
          <w:color w:val="auto"/>
          <w:sz w:val="24"/>
          <w:highlight w:val="none"/>
          <w:u w:val="single"/>
        </w:rPr>
      </w:pPr>
      <w:r>
        <w:rPr>
          <w:rFonts w:hint="eastAsia" w:ascii="宋体" w:hAnsi="宋体" w:cs="宋体"/>
          <w:color w:val="auto"/>
          <w:sz w:val="24"/>
          <w:highlight w:val="none"/>
        </w:rPr>
        <w:t>日    期：</w:t>
      </w:r>
    </w:p>
    <w:p w14:paraId="3BF2B904">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0" w:name="_Toc15676"/>
      <w:r>
        <w:rPr>
          <w:rFonts w:hint="eastAsia" w:ascii="宋体" w:hAnsi="宋体" w:cs="宋体"/>
          <w:b/>
          <w:color w:val="auto"/>
          <w:sz w:val="32"/>
          <w:szCs w:val="32"/>
          <w:highlight w:val="none"/>
        </w:rPr>
        <w:t>第六章  采购单位、招标代理机构对本采购文件的确认</w:t>
      </w:r>
      <w:bookmarkEnd w:id="180"/>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滁州学院2024年经管学院会议室设备采购及安装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4BAC9B38">
            <w:pPr>
              <w:spacing w:line="600" w:lineRule="exact"/>
              <w:ind w:firstLine="560" w:firstLineChars="200"/>
              <w:jc w:val="left"/>
              <w:rPr>
                <w:rFonts w:ascii="宋体" w:hAnsi="宋体"/>
                <w:color w:val="auto"/>
                <w:sz w:val="30"/>
                <w:highlight w:val="none"/>
              </w:rPr>
            </w:pPr>
            <w:r>
              <w:rPr>
                <w:rFonts w:hint="eastAsia" w:ascii="宋体" w:cs="宋体"/>
                <w:color w:val="auto"/>
                <w:sz w:val="28"/>
                <w:szCs w:val="28"/>
                <w:highlight w:val="none"/>
              </w:rPr>
              <w:t>联系人</w:t>
            </w:r>
            <w:r>
              <w:rPr>
                <w:rFonts w:hint="eastAsia" w:ascii="宋体" w:hAnsi="宋体"/>
                <w:color w:val="auto"/>
                <w:sz w:val="30"/>
                <w:highlight w:val="none"/>
              </w:rPr>
              <w:t>：</w:t>
            </w:r>
            <w:r>
              <w:rPr>
                <w:rFonts w:hint="eastAsia" w:ascii="宋体" w:hAnsi="宋体"/>
                <w:color w:val="auto"/>
                <w:sz w:val="30"/>
                <w:highlight w:val="none"/>
                <w:lang w:val="en-US" w:eastAsia="zh-CN"/>
              </w:rPr>
              <w:t>李</w:t>
            </w:r>
            <w:r>
              <w:rPr>
                <w:rFonts w:hint="eastAsia" w:ascii="宋体" w:hAnsi="宋体"/>
                <w:color w:val="auto"/>
                <w:sz w:val="30"/>
                <w:highlight w:val="none"/>
              </w:rPr>
              <w:t>老师、王老师</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联系电话：0550-3512003、18855052517　　</w:t>
            </w:r>
          </w:p>
          <w:p w14:paraId="166CFBD4">
            <w:pPr>
              <w:spacing w:line="500" w:lineRule="exact"/>
              <w:ind w:firstLine="300" w:firstLineChars="100"/>
              <w:rPr>
                <w:rFonts w:ascii="宋体" w:hAnsi="宋体" w:cs="宋体"/>
                <w:color w:val="auto"/>
                <w:sz w:val="30"/>
                <w:highlight w:val="none"/>
              </w:rPr>
            </w:pPr>
          </w:p>
          <w:p w14:paraId="6E05A8EA">
            <w:pPr>
              <w:widowControl/>
              <w:spacing w:line="440" w:lineRule="exact"/>
              <w:ind w:left="-197" w:leftChars="-94" w:right="-313" w:rightChars="-149"/>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2024年1</w:t>
            </w:r>
            <w:r>
              <w:rPr>
                <w:rFonts w:hint="eastAsia" w:ascii="宋体" w:hAnsi="宋体" w:cs="宋体"/>
                <w:color w:val="auto"/>
                <w:sz w:val="30"/>
                <w:highlight w:val="none"/>
                <w:lang w:val="en-US" w:eastAsia="zh-CN"/>
              </w:rPr>
              <w:t>2</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65F5501A">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0F0EEA4D">
            <w:pPr>
              <w:spacing w:line="500" w:lineRule="exact"/>
              <w:ind w:firstLine="600" w:firstLineChars="200"/>
              <w:rPr>
                <w:rFonts w:ascii="宋体" w:hAnsi="宋体" w:cs="宋体"/>
                <w:color w:val="auto"/>
                <w:sz w:val="30"/>
                <w:szCs w:val="30"/>
                <w:highlight w:val="none"/>
              </w:rPr>
            </w:pPr>
          </w:p>
          <w:p w14:paraId="4A3F3688">
            <w:pPr>
              <w:spacing w:line="500" w:lineRule="exact"/>
              <w:ind w:firstLine="600" w:firstLineChars="200"/>
              <w:rPr>
                <w:rFonts w:ascii="宋体" w:hAnsi="宋体" w:cs="宋体"/>
                <w:color w:val="auto"/>
                <w:sz w:val="30"/>
                <w:highlight w:val="none"/>
              </w:rPr>
            </w:pPr>
          </w:p>
          <w:p w14:paraId="761BDFD6">
            <w:pPr>
              <w:ind w:firstLine="5400" w:firstLineChars="1800"/>
              <w:rPr>
                <w:rFonts w:ascii="宋体" w:hAnsi="宋体" w:cs="宋体"/>
                <w:color w:val="auto"/>
                <w:sz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2024年</w:t>
            </w:r>
            <w:r>
              <w:rPr>
                <w:rFonts w:hint="eastAsia" w:ascii="宋体" w:hAnsi="宋体" w:cs="宋体"/>
                <w:color w:val="auto"/>
                <w:sz w:val="30"/>
                <w:highlight w:val="none"/>
                <w:lang w:val="en-US" w:eastAsia="zh-CN"/>
              </w:rPr>
              <w:t>12</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6"/>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MDI5NmRmNTRjMjhlM2NmOWJlMTU4YTU0MWZmNG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968"/>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6FB9"/>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07541"/>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41E"/>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0DBF"/>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252F"/>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129"/>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6B5F"/>
    <w:rsid w:val="006A7487"/>
    <w:rsid w:val="006A79A5"/>
    <w:rsid w:val="006B15C1"/>
    <w:rsid w:val="006B1794"/>
    <w:rsid w:val="006B245E"/>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248"/>
    <w:rsid w:val="0088678E"/>
    <w:rsid w:val="00886A58"/>
    <w:rsid w:val="00887CFA"/>
    <w:rsid w:val="00887D58"/>
    <w:rsid w:val="00893395"/>
    <w:rsid w:val="00895178"/>
    <w:rsid w:val="008962E0"/>
    <w:rsid w:val="008A09E7"/>
    <w:rsid w:val="008A0B9D"/>
    <w:rsid w:val="008A0E87"/>
    <w:rsid w:val="008A124E"/>
    <w:rsid w:val="008A138C"/>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70C"/>
    <w:rsid w:val="009B2CB6"/>
    <w:rsid w:val="009B3604"/>
    <w:rsid w:val="009B52E0"/>
    <w:rsid w:val="009B5A7B"/>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4B62"/>
    <w:rsid w:val="00B05476"/>
    <w:rsid w:val="00B056EA"/>
    <w:rsid w:val="00B05DDB"/>
    <w:rsid w:val="00B07EA1"/>
    <w:rsid w:val="00B134E1"/>
    <w:rsid w:val="00B13A6C"/>
    <w:rsid w:val="00B1505B"/>
    <w:rsid w:val="00B1607F"/>
    <w:rsid w:val="00B16B6D"/>
    <w:rsid w:val="00B16DE4"/>
    <w:rsid w:val="00B17001"/>
    <w:rsid w:val="00B17BD0"/>
    <w:rsid w:val="00B23599"/>
    <w:rsid w:val="00B24100"/>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33FB"/>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0DA4"/>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327"/>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D7F71"/>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0836"/>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730A5"/>
    <w:rsid w:val="013B2B96"/>
    <w:rsid w:val="015276EE"/>
    <w:rsid w:val="01657C13"/>
    <w:rsid w:val="016A5229"/>
    <w:rsid w:val="016C4F8A"/>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59F0"/>
    <w:rsid w:val="02770F36"/>
    <w:rsid w:val="027F25B6"/>
    <w:rsid w:val="028E13EB"/>
    <w:rsid w:val="0291319A"/>
    <w:rsid w:val="02920B9A"/>
    <w:rsid w:val="029A1EC3"/>
    <w:rsid w:val="029D7486"/>
    <w:rsid w:val="02AE7397"/>
    <w:rsid w:val="02B77CCF"/>
    <w:rsid w:val="02BA4939"/>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577173"/>
    <w:rsid w:val="03602490"/>
    <w:rsid w:val="0368794D"/>
    <w:rsid w:val="03710AF1"/>
    <w:rsid w:val="0379160A"/>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13E4B"/>
    <w:rsid w:val="04351B68"/>
    <w:rsid w:val="04390EE3"/>
    <w:rsid w:val="04406715"/>
    <w:rsid w:val="046B19E4"/>
    <w:rsid w:val="0482288A"/>
    <w:rsid w:val="048B443B"/>
    <w:rsid w:val="048D6DBC"/>
    <w:rsid w:val="04A942BA"/>
    <w:rsid w:val="04C410F4"/>
    <w:rsid w:val="04C91A28"/>
    <w:rsid w:val="04CE1CB1"/>
    <w:rsid w:val="04CE1F73"/>
    <w:rsid w:val="04D4447A"/>
    <w:rsid w:val="04D806FC"/>
    <w:rsid w:val="04E23328"/>
    <w:rsid w:val="04F03C97"/>
    <w:rsid w:val="04F574FF"/>
    <w:rsid w:val="04FA4B16"/>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641E8F"/>
    <w:rsid w:val="066C559F"/>
    <w:rsid w:val="06806CD7"/>
    <w:rsid w:val="06862B05"/>
    <w:rsid w:val="068A3C77"/>
    <w:rsid w:val="069638EE"/>
    <w:rsid w:val="06A55191"/>
    <w:rsid w:val="06A76315"/>
    <w:rsid w:val="06AE66F8"/>
    <w:rsid w:val="06AE7966"/>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4958E1"/>
    <w:rsid w:val="074F3901"/>
    <w:rsid w:val="074F739B"/>
    <w:rsid w:val="0753050F"/>
    <w:rsid w:val="075E19C5"/>
    <w:rsid w:val="076C0391"/>
    <w:rsid w:val="077741FC"/>
    <w:rsid w:val="07797F74"/>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C5D6E"/>
    <w:rsid w:val="087C3598"/>
    <w:rsid w:val="088077A2"/>
    <w:rsid w:val="088A4403"/>
    <w:rsid w:val="08983511"/>
    <w:rsid w:val="08A47272"/>
    <w:rsid w:val="08A47372"/>
    <w:rsid w:val="08A92ADB"/>
    <w:rsid w:val="08A94BFC"/>
    <w:rsid w:val="08B33959"/>
    <w:rsid w:val="08BB4EFD"/>
    <w:rsid w:val="08C94F2B"/>
    <w:rsid w:val="08C97978"/>
    <w:rsid w:val="08DF52C9"/>
    <w:rsid w:val="08F301FA"/>
    <w:rsid w:val="09023F99"/>
    <w:rsid w:val="09075A53"/>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C30DE"/>
    <w:rsid w:val="0A0F0A13"/>
    <w:rsid w:val="0A1246B0"/>
    <w:rsid w:val="0A1354D3"/>
    <w:rsid w:val="0A195207"/>
    <w:rsid w:val="0A391C3C"/>
    <w:rsid w:val="0A3E7F78"/>
    <w:rsid w:val="0A3F3469"/>
    <w:rsid w:val="0A40746F"/>
    <w:rsid w:val="0A48596D"/>
    <w:rsid w:val="0A4F320E"/>
    <w:rsid w:val="0A544CC8"/>
    <w:rsid w:val="0A5823CF"/>
    <w:rsid w:val="0A5A37A8"/>
    <w:rsid w:val="0A5B7E05"/>
    <w:rsid w:val="0A5D3B7D"/>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823DD"/>
    <w:rsid w:val="0B291CB1"/>
    <w:rsid w:val="0B303499"/>
    <w:rsid w:val="0B3F3282"/>
    <w:rsid w:val="0B40624E"/>
    <w:rsid w:val="0B4B1B81"/>
    <w:rsid w:val="0B542FB0"/>
    <w:rsid w:val="0B671CEB"/>
    <w:rsid w:val="0B6947A3"/>
    <w:rsid w:val="0B6E1EE8"/>
    <w:rsid w:val="0B7C0033"/>
    <w:rsid w:val="0B845AA7"/>
    <w:rsid w:val="0B9063A0"/>
    <w:rsid w:val="0B995089"/>
    <w:rsid w:val="0B9C5F44"/>
    <w:rsid w:val="0B9F50FC"/>
    <w:rsid w:val="0BAB4DBC"/>
    <w:rsid w:val="0BC35C62"/>
    <w:rsid w:val="0BD13855"/>
    <w:rsid w:val="0BDC4F75"/>
    <w:rsid w:val="0BE132E6"/>
    <w:rsid w:val="0BE91440"/>
    <w:rsid w:val="0BEF2EFA"/>
    <w:rsid w:val="0BF26547"/>
    <w:rsid w:val="0BFE0888"/>
    <w:rsid w:val="0C087B18"/>
    <w:rsid w:val="0C1069CD"/>
    <w:rsid w:val="0C1636F6"/>
    <w:rsid w:val="0C2A5CE1"/>
    <w:rsid w:val="0C345E85"/>
    <w:rsid w:val="0C4A0131"/>
    <w:rsid w:val="0C4F1BEB"/>
    <w:rsid w:val="0C5965C6"/>
    <w:rsid w:val="0C727A87"/>
    <w:rsid w:val="0C776A4C"/>
    <w:rsid w:val="0C7A3AB8"/>
    <w:rsid w:val="0C7D396A"/>
    <w:rsid w:val="0C803B53"/>
    <w:rsid w:val="0C90757C"/>
    <w:rsid w:val="0C917B0E"/>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690A8B"/>
    <w:rsid w:val="0D782A7C"/>
    <w:rsid w:val="0D8633EB"/>
    <w:rsid w:val="0D885842"/>
    <w:rsid w:val="0DA73361"/>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9733D5"/>
    <w:rsid w:val="0EC35F79"/>
    <w:rsid w:val="0EC641E2"/>
    <w:rsid w:val="0ED061FA"/>
    <w:rsid w:val="0ED65CAC"/>
    <w:rsid w:val="0EFE379D"/>
    <w:rsid w:val="0F050A01"/>
    <w:rsid w:val="0F056591"/>
    <w:rsid w:val="0F0A1DF9"/>
    <w:rsid w:val="0F0A3BA7"/>
    <w:rsid w:val="0F0C2A4A"/>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D541B5"/>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F3F68"/>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176D07"/>
    <w:rsid w:val="12241424"/>
    <w:rsid w:val="122B630F"/>
    <w:rsid w:val="1233302F"/>
    <w:rsid w:val="12480EBC"/>
    <w:rsid w:val="124D0F6D"/>
    <w:rsid w:val="124F64A1"/>
    <w:rsid w:val="12533255"/>
    <w:rsid w:val="125515DD"/>
    <w:rsid w:val="125A151B"/>
    <w:rsid w:val="12614426"/>
    <w:rsid w:val="126410EF"/>
    <w:rsid w:val="127001C5"/>
    <w:rsid w:val="127203E1"/>
    <w:rsid w:val="12727EA3"/>
    <w:rsid w:val="12753A2E"/>
    <w:rsid w:val="128033B5"/>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31522"/>
    <w:rsid w:val="12F62DC8"/>
    <w:rsid w:val="130C0318"/>
    <w:rsid w:val="130D7A78"/>
    <w:rsid w:val="131208EA"/>
    <w:rsid w:val="13137C73"/>
    <w:rsid w:val="131E5E73"/>
    <w:rsid w:val="1324792E"/>
    <w:rsid w:val="13367661"/>
    <w:rsid w:val="133E2072"/>
    <w:rsid w:val="13403C24"/>
    <w:rsid w:val="134478ED"/>
    <w:rsid w:val="134753CA"/>
    <w:rsid w:val="134F427F"/>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244FEC"/>
    <w:rsid w:val="144E391B"/>
    <w:rsid w:val="145139F1"/>
    <w:rsid w:val="146849E3"/>
    <w:rsid w:val="1469117E"/>
    <w:rsid w:val="14711B9F"/>
    <w:rsid w:val="14720225"/>
    <w:rsid w:val="14795A57"/>
    <w:rsid w:val="147F2942"/>
    <w:rsid w:val="14817958"/>
    <w:rsid w:val="149F1A6D"/>
    <w:rsid w:val="14A03128"/>
    <w:rsid w:val="14A30D26"/>
    <w:rsid w:val="14BE346A"/>
    <w:rsid w:val="14C33176"/>
    <w:rsid w:val="14C76FEA"/>
    <w:rsid w:val="14C91409"/>
    <w:rsid w:val="14CF5677"/>
    <w:rsid w:val="14D62EA9"/>
    <w:rsid w:val="14EF5D19"/>
    <w:rsid w:val="14F71062"/>
    <w:rsid w:val="14FB0157"/>
    <w:rsid w:val="15057309"/>
    <w:rsid w:val="15082C53"/>
    <w:rsid w:val="15091AF6"/>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88184A"/>
    <w:rsid w:val="159B19FD"/>
    <w:rsid w:val="159E5049"/>
    <w:rsid w:val="15A06322"/>
    <w:rsid w:val="15A308B2"/>
    <w:rsid w:val="15AC7A04"/>
    <w:rsid w:val="15AD597E"/>
    <w:rsid w:val="15B065E9"/>
    <w:rsid w:val="15B66837"/>
    <w:rsid w:val="15C40F54"/>
    <w:rsid w:val="15C54FEA"/>
    <w:rsid w:val="15F1161D"/>
    <w:rsid w:val="15F15AC1"/>
    <w:rsid w:val="15FE5A51"/>
    <w:rsid w:val="161E6396"/>
    <w:rsid w:val="162419F3"/>
    <w:rsid w:val="162D1DF8"/>
    <w:rsid w:val="163559AE"/>
    <w:rsid w:val="163814F2"/>
    <w:rsid w:val="163D2AB4"/>
    <w:rsid w:val="1642631D"/>
    <w:rsid w:val="165027E8"/>
    <w:rsid w:val="1651030E"/>
    <w:rsid w:val="165A0C46"/>
    <w:rsid w:val="165F11A5"/>
    <w:rsid w:val="16620D37"/>
    <w:rsid w:val="167A5230"/>
    <w:rsid w:val="167A5AB7"/>
    <w:rsid w:val="16842491"/>
    <w:rsid w:val="168D7598"/>
    <w:rsid w:val="168F547E"/>
    <w:rsid w:val="1692185F"/>
    <w:rsid w:val="16A677CD"/>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A67C85"/>
    <w:rsid w:val="17B108BB"/>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3641F"/>
    <w:rsid w:val="18BA4890"/>
    <w:rsid w:val="18C9062F"/>
    <w:rsid w:val="18DD40DB"/>
    <w:rsid w:val="18E216F1"/>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46462D"/>
    <w:rsid w:val="1A530AF8"/>
    <w:rsid w:val="1A7D5B75"/>
    <w:rsid w:val="1A8A3DEE"/>
    <w:rsid w:val="1A9133CF"/>
    <w:rsid w:val="1A940DA9"/>
    <w:rsid w:val="1A9772DF"/>
    <w:rsid w:val="1A9A3F40"/>
    <w:rsid w:val="1AA31326"/>
    <w:rsid w:val="1AA80E44"/>
    <w:rsid w:val="1AAC1FB7"/>
    <w:rsid w:val="1AB64BE3"/>
    <w:rsid w:val="1AB64FE6"/>
    <w:rsid w:val="1AC90DBB"/>
    <w:rsid w:val="1ACA4FEB"/>
    <w:rsid w:val="1ACC5192"/>
    <w:rsid w:val="1ACE4623"/>
    <w:rsid w:val="1AD82DAC"/>
    <w:rsid w:val="1AE904A6"/>
    <w:rsid w:val="1AE9320B"/>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722124"/>
    <w:rsid w:val="1B723200"/>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544E5"/>
    <w:rsid w:val="1D3712AF"/>
    <w:rsid w:val="1D3E15EC"/>
    <w:rsid w:val="1D464944"/>
    <w:rsid w:val="1D487E55"/>
    <w:rsid w:val="1D4961E3"/>
    <w:rsid w:val="1D4A4435"/>
    <w:rsid w:val="1D507571"/>
    <w:rsid w:val="1D596426"/>
    <w:rsid w:val="1D5A19BD"/>
    <w:rsid w:val="1D5A7FB3"/>
    <w:rsid w:val="1D637C02"/>
    <w:rsid w:val="1D6F3E9B"/>
    <w:rsid w:val="1D7E7C3A"/>
    <w:rsid w:val="1D835B5B"/>
    <w:rsid w:val="1D8673FA"/>
    <w:rsid w:val="1D8F3529"/>
    <w:rsid w:val="1D9072CB"/>
    <w:rsid w:val="1D9E652E"/>
    <w:rsid w:val="1DA530EA"/>
    <w:rsid w:val="1DA82B34"/>
    <w:rsid w:val="1DAF6046"/>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E4153"/>
    <w:rsid w:val="1E735627"/>
    <w:rsid w:val="1E8C45D9"/>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860324"/>
    <w:rsid w:val="1F887176"/>
    <w:rsid w:val="1F8A1924"/>
    <w:rsid w:val="1F8F25D3"/>
    <w:rsid w:val="1F925C1F"/>
    <w:rsid w:val="1F933A50"/>
    <w:rsid w:val="1FA3607E"/>
    <w:rsid w:val="1FA45298"/>
    <w:rsid w:val="1FB22E97"/>
    <w:rsid w:val="1FBE07C2"/>
    <w:rsid w:val="1FD61FB0"/>
    <w:rsid w:val="1FF72E31"/>
    <w:rsid w:val="1FF74EA9"/>
    <w:rsid w:val="1FFC0927"/>
    <w:rsid w:val="1FFE3FD4"/>
    <w:rsid w:val="1FFF3378"/>
    <w:rsid w:val="20054643"/>
    <w:rsid w:val="201B7BC2"/>
    <w:rsid w:val="202A4C7D"/>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242E2"/>
    <w:rsid w:val="20CA13E8"/>
    <w:rsid w:val="20CB12D5"/>
    <w:rsid w:val="20EE157B"/>
    <w:rsid w:val="20F52909"/>
    <w:rsid w:val="20F74498"/>
    <w:rsid w:val="20FF63E2"/>
    <w:rsid w:val="210668C5"/>
    <w:rsid w:val="21094AE0"/>
    <w:rsid w:val="210E39CB"/>
    <w:rsid w:val="211B1C44"/>
    <w:rsid w:val="21254871"/>
    <w:rsid w:val="21263B5B"/>
    <w:rsid w:val="21311468"/>
    <w:rsid w:val="21313216"/>
    <w:rsid w:val="21470C8B"/>
    <w:rsid w:val="214C0E71"/>
    <w:rsid w:val="214D5A5C"/>
    <w:rsid w:val="21535882"/>
    <w:rsid w:val="21562C7C"/>
    <w:rsid w:val="215A276C"/>
    <w:rsid w:val="215D476D"/>
    <w:rsid w:val="215F4E8A"/>
    <w:rsid w:val="21620A6E"/>
    <w:rsid w:val="21626312"/>
    <w:rsid w:val="216B6A06"/>
    <w:rsid w:val="21723F5A"/>
    <w:rsid w:val="21764626"/>
    <w:rsid w:val="21886E30"/>
    <w:rsid w:val="218B501C"/>
    <w:rsid w:val="21957C48"/>
    <w:rsid w:val="219739C1"/>
    <w:rsid w:val="219A525F"/>
    <w:rsid w:val="21A25EC1"/>
    <w:rsid w:val="21A4525A"/>
    <w:rsid w:val="21B04A82"/>
    <w:rsid w:val="21B53E47"/>
    <w:rsid w:val="21BF4CC5"/>
    <w:rsid w:val="21CB69A9"/>
    <w:rsid w:val="21DC7625"/>
    <w:rsid w:val="21E343DC"/>
    <w:rsid w:val="21E40288"/>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E69A3"/>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357AE"/>
    <w:rsid w:val="2536704D"/>
    <w:rsid w:val="253F7A13"/>
    <w:rsid w:val="254F010E"/>
    <w:rsid w:val="2561056D"/>
    <w:rsid w:val="257B2708"/>
    <w:rsid w:val="257E2025"/>
    <w:rsid w:val="257F6C45"/>
    <w:rsid w:val="258778A8"/>
    <w:rsid w:val="259A65EA"/>
    <w:rsid w:val="259D70CC"/>
    <w:rsid w:val="25A77F4A"/>
    <w:rsid w:val="25A862DF"/>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85203A"/>
    <w:rsid w:val="26926505"/>
    <w:rsid w:val="26A17DE4"/>
    <w:rsid w:val="26C03072"/>
    <w:rsid w:val="26C17F9E"/>
    <w:rsid w:val="26DF2600"/>
    <w:rsid w:val="26EA27E4"/>
    <w:rsid w:val="26EF572B"/>
    <w:rsid w:val="26F40614"/>
    <w:rsid w:val="26F947D6"/>
    <w:rsid w:val="27070CA1"/>
    <w:rsid w:val="270C62B7"/>
    <w:rsid w:val="27167136"/>
    <w:rsid w:val="271E5FEA"/>
    <w:rsid w:val="273D46C2"/>
    <w:rsid w:val="2767173F"/>
    <w:rsid w:val="276C4964"/>
    <w:rsid w:val="27747911"/>
    <w:rsid w:val="27801341"/>
    <w:rsid w:val="278E1F0E"/>
    <w:rsid w:val="279E53FC"/>
    <w:rsid w:val="27A26AA4"/>
    <w:rsid w:val="27BA026B"/>
    <w:rsid w:val="27BE1EE9"/>
    <w:rsid w:val="27CB7D59"/>
    <w:rsid w:val="27D8088F"/>
    <w:rsid w:val="27DD40F7"/>
    <w:rsid w:val="27F11841"/>
    <w:rsid w:val="28001620"/>
    <w:rsid w:val="28054684"/>
    <w:rsid w:val="280A18FA"/>
    <w:rsid w:val="281652C2"/>
    <w:rsid w:val="28235CB1"/>
    <w:rsid w:val="28237D5C"/>
    <w:rsid w:val="284444C1"/>
    <w:rsid w:val="284657F9"/>
    <w:rsid w:val="28593962"/>
    <w:rsid w:val="28612632"/>
    <w:rsid w:val="28645844"/>
    <w:rsid w:val="28702875"/>
    <w:rsid w:val="287205E0"/>
    <w:rsid w:val="288051AE"/>
    <w:rsid w:val="288307FB"/>
    <w:rsid w:val="28840803"/>
    <w:rsid w:val="288B76AF"/>
    <w:rsid w:val="288E7690"/>
    <w:rsid w:val="2892356B"/>
    <w:rsid w:val="28A013AD"/>
    <w:rsid w:val="28AD1D1C"/>
    <w:rsid w:val="28C61126"/>
    <w:rsid w:val="28CD6A08"/>
    <w:rsid w:val="28E16812"/>
    <w:rsid w:val="28E45F21"/>
    <w:rsid w:val="28E55011"/>
    <w:rsid w:val="28F92766"/>
    <w:rsid w:val="2920604A"/>
    <w:rsid w:val="2925213E"/>
    <w:rsid w:val="29283150"/>
    <w:rsid w:val="292A511A"/>
    <w:rsid w:val="292F0982"/>
    <w:rsid w:val="295201CD"/>
    <w:rsid w:val="29575541"/>
    <w:rsid w:val="2958126A"/>
    <w:rsid w:val="29641857"/>
    <w:rsid w:val="296A19BB"/>
    <w:rsid w:val="29796F88"/>
    <w:rsid w:val="29883BEF"/>
    <w:rsid w:val="29946A38"/>
    <w:rsid w:val="299627B0"/>
    <w:rsid w:val="29973FC9"/>
    <w:rsid w:val="299B6018"/>
    <w:rsid w:val="299C1C19"/>
    <w:rsid w:val="29A0718A"/>
    <w:rsid w:val="29A273A6"/>
    <w:rsid w:val="29A547A1"/>
    <w:rsid w:val="29AB7F2B"/>
    <w:rsid w:val="29B23BBA"/>
    <w:rsid w:val="29B77403"/>
    <w:rsid w:val="29C21110"/>
    <w:rsid w:val="29D3130E"/>
    <w:rsid w:val="29F034B9"/>
    <w:rsid w:val="29F574D6"/>
    <w:rsid w:val="29FD7BB5"/>
    <w:rsid w:val="2A01191F"/>
    <w:rsid w:val="2A0616E3"/>
    <w:rsid w:val="2A0E67EA"/>
    <w:rsid w:val="2A157B78"/>
    <w:rsid w:val="2A202079"/>
    <w:rsid w:val="2A204246"/>
    <w:rsid w:val="2A247DBB"/>
    <w:rsid w:val="2A252C00"/>
    <w:rsid w:val="2A263B34"/>
    <w:rsid w:val="2A2658E2"/>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70C94"/>
    <w:rsid w:val="2ACE1AD5"/>
    <w:rsid w:val="2ACF5F79"/>
    <w:rsid w:val="2AE51C90"/>
    <w:rsid w:val="2AE75C53"/>
    <w:rsid w:val="2AEB08D9"/>
    <w:rsid w:val="2AEC23B9"/>
    <w:rsid w:val="2AF21C68"/>
    <w:rsid w:val="2AF23A16"/>
    <w:rsid w:val="2AF4148F"/>
    <w:rsid w:val="2AF8282F"/>
    <w:rsid w:val="2AFF670F"/>
    <w:rsid w:val="2B154319"/>
    <w:rsid w:val="2B2A77D1"/>
    <w:rsid w:val="2B2D0EF2"/>
    <w:rsid w:val="2B2F6A18"/>
    <w:rsid w:val="2B320492"/>
    <w:rsid w:val="2B3C2EE3"/>
    <w:rsid w:val="2B434271"/>
    <w:rsid w:val="2B473D61"/>
    <w:rsid w:val="2B487ADA"/>
    <w:rsid w:val="2B514BE0"/>
    <w:rsid w:val="2B8419BB"/>
    <w:rsid w:val="2B870602"/>
    <w:rsid w:val="2B93029A"/>
    <w:rsid w:val="2B960820"/>
    <w:rsid w:val="2BA72A52"/>
    <w:rsid w:val="2BA94A1C"/>
    <w:rsid w:val="2BB93744"/>
    <w:rsid w:val="2BCC4267"/>
    <w:rsid w:val="2BCF1785"/>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32FD6"/>
    <w:rsid w:val="2C9C00DD"/>
    <w:rsid w:val="2CA156F3"/>
    <w:rsid w:val="2CAD35A4"/>
    <w:rsid w:val="2CB216AE"/>
    <w:rsid w:val="2CB2345D"/>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441F6"/>
    <w:rsid w:val="2EA80FBB"/>
    <w:rsid w:val="2EAB4607"/>
    <w:rsid w:val="2EB711FE"/>
    <w:rsid w:val="2EC06357"/>
    <w:rsid w:val="2EC1207D"/>
    <w:rsid w:val="2EC15BD9"/>
    <w:rsid w:val="2EC53539"/>
    <w:rsid w:val="2ECA39AF"/>
    <w:rsid w:val="2ECC4915"/>
    <w:rsid w:val="2ECF113A"/>
    <w:rsid w:val="2ED00512"/>
    <w:rsid w:val="2EDF69A7"/>
    <w:rsid w:val="2EF7784D"/>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346E6"/>
    <w:rsid w:val="311D18F2"/>
    <w:rsid w:val="311E5564"/>
    <w:rsid w:val="31285B60"/>
    <w:rsid w:val="313A6116"/>
    <w:rsid w:val="313A7EC4"/>
    <w:rsid w:val="31413001"/>
    <w:rsid w:val="314A0092"/>
    <w:rsid w:val="31532D34"/>
    <w:rsid w:val="31534C28"/>
    <w:rsid w:val="31610221"/>
    <w:rsid w:val="316D2048"/>
    <w:rsid w:val="316F5349"/>
    <w:rsid w:val="317C7A6B"/>
    <w:rsid w:val="3196159F"/>
    <w:rsid w:val="319962F6"/>
    <w:rsid w:val="319B63CF"/>
    <w:rsid w:val="319F72C8"/>
    <w:rsid w:val="31A57ABC"/>
    <w:rsid w:val="31A735CA"/>
    <w:rsid w:val="31B45EC9"/>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9A50BF"/>
    <w:rsid w:val="32AA336E"/>
    <w:rsid w:val="32AB5B23"/>
    <w:rsid w:val="32AF6333"/>
    <w:rsid w:val="32BF4B25"/>
    <w:rsid w:val="32D06D32"/>
    <w:rsid w:val="32DB1C5F"/>
    <w:rsid w:val="32DD7134"/>
    <w:rsid w:val="32DE617E"/>
    <w:rsid w:val="32F347CF"/>
    <w:rsid w:val="32F56799"/>
    <w:rsid w:val="32F62030"/>
    <w:rsid w:val="32FA1ACE"/>
    <w:rsid w:val="32FE25CD"/>
    <w:rsid w:val="33114C55"/>
    <w:rsid w:val="33240E2C"/>
    <w:rsid w:val="3328091C"/>
    <w:rsid w:val="332C1A8F"/>
    <w:rsid w:val="33353039"/>
    <w:rsid w:val="33501C21"/>
    <w:rsid w:val="335E62F2"/>
    <w:rsid w:val="336851BD"/>
    <w:rsid w:val="337B4EF0"/>
    <w:rsid w:val="33811DDB"/>
    <w:rsid w:val="338E62A6"/>
    <w:rsid w:val="339320C6"/>
    <w:rsid w:val="33A1247D"/>
    <w:rsid w:val="33A67A93"/>
    <w:rsid w:val="33A855B9"/>
    <w:rsid w:val="33A9318D"/>
    <w:rsid w:val="33B977C6"/>
    <w:rsid w:val="33BE0B87"/>
    <w:rsid w:val="33BF2903"/>
    <w:rsid w:val="33C323F3"/>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94B0C"/>
    <w:rsid w:val="35DA3A24"/>
    <w:rsid w:val="35E13F3F"/>
    <w:rsid w:val="35ED12BD"/>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F17277"/>
    <w:rsid w:val="36F24A5F"/>
    <w:rsid w:val="36F56D67"/>
    <w:rsid w:val="3713725C"/>
    <w:rsid w:val="371C29D2"/>
    <w:rsid w:val="372C4753"/>
    <w:rsid w:val="37473116"/>
    <w:rsid w:val="3748158D"/>
    <w:rsid w:val="375F2433"/>
    <w:rsid w:val="3772660A"/>
    <w:rsid w:val="377F4883"/>
    <w:rsid w:val="37827BA6"/>
    <w:rsid w:val="3795719C"/>
    <w:rsid w:val="379E11AD"/>
    <w:rsid w:val="37A740D2"/>
    <w:rsid w:val="37AE3AA5"/>
    <w:rsid w:val="37B07132"/>
    <w:rsid w:val="37B64AD5"/>
    <w:rsid w:val="37BF775F"/>
    <w:rsid w:val="37DA41AF"/>
    <w:rsid w:val="37E87F69"/>
    <w:rsid w:val="37EA34C5"/>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D21271"/>
    <w:rsid w:val="39DB63A8"/>
    <w:rsid w:val="39DC5FBD"/>
    <w:rsid w:val="39F61F6E"/>
    <w:rsid w:val="39F74BA5"/>
    <w:rsid w:val="39F94DC1"/>
    <w:rsid w:val="3A0245B7"/>
    <w:rsid w:val="3A10210A"/>
    <w:rsid w:val="3A1E65D5"/>
    <w:rsid w:val="3A3A5794"/>
    <w:rsid w:val="3A4678DA"/>
    <w:rsid w:val="3A4B4EF0"/>
    <w:rsid w:val="3A5622C2"/>
    <w:rsid w:val="3A5774FB"/>
    <w:rsid w:val="3A6B3AAC"/>
    <w:rsid w:val="3A6F5083"/>
    <w:rsid w:val="3A7A02A6"/>
    <w:rsid w:val="3A7A70F1"/>
    <w:rsid w:val="3A954453"/>
    <w:rsid w:val="3A993EAE"/>
    <w:rsid w:val="3A9B19D4"/>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516536"/>
    <w:rsid w:val="3B8A4892"/>
    <w:rsid w:val="3B8A5AD7"/>
    <w:rsid w:val="3B981708"/>
    <w:rsid w:val="3BAF5AF0"/>
    <w:rsid w:val="3BB05953"/>
    <w:rsid w:val="3BB80364"/>
    <w:rsid w:val="3BC729A1"/>
    <w:rsid w:val="3BDD601C"/>
    <w:rsid w:val="3BE178BA"/>
    <w:rsid w:val="3BE473AB"/>
    <w:rsid w:val="3BF534C5"/>
    <w:rsid w:val="3BFD1854"/>
    <w:rsid w:val="3BFD221A"/>
    <w:rsid w:val="3BFE4802"/>
    <w:rsid w:val="3C0435A9"/>
    <w:rsid w:val="3C073099"/>
    <w:rsid w:val="3C0C6A1A"/>
    <w:rsid w:val="3C1732DC"/>
    <w:rsid w:val="3C1A0A88"/>
    <w:rsid w:val="3C1F3894"/>
    <w:rsid w:val="3C2854E9"/>
    <w:rsid w:val="3C29300F"/>
    <w:rsid w:val="3C343766"/>
    <w:rsid w:val="3C3E2F5F"/>
    <w:rsid w:val="3C5067EE"/>
    <w:rsid w:val="3C5C33E5"/>
    <w:rsid w:val="3C5D51AA"/>
    <w:rsid w:val="3C5D7623"/>
    <w:rsid w:val="3C74452F"/>
    <w:rsid w:val="3C7626F9"/>
    <w:rsid w:val="3C8F29F6"/>
    <w:rsid w:val="3C9C7C85"/>
    <w:rsid w:val="3CA22844"/>
    <w:rsid w:val="3CA97EC6"/>
    <w:rsid w:val="3CAF5C0A"/>
    <w:rsid w:val="3CB23005"/>
    <w:rsid w:val="3CBC20D5"/>
    <w:rsid w:val="3CDB255C"/>
    <w:rsid w:val="3CE010E0"/>
    <w:rsid w:val="3CE62E07"/>
    <w:rsid w:val="3CE83B32"/>
    <w:rsid w:val="3CF4186F"/>
    <w:rsid w:val="3CFB0E50"/>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6A30FB"/>
    <w:rsid w:val="3E7A2248"/>
    <w:rsid w:val="3E7F160D"/>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85CE9"/>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330D9"/>
    <w:rsid w:val="3FA56E51"/>
    <w:rsid w:val="3FA94B93"/>
    <w:rsid w:val="3FB079AD"/>
    <w:rsid w:val="3FB10C6C"/>
    <w:rsid w:val="3FCF2120"/>
    <w:rsid w:val="3FD37E62"/>
    <w:rsid w:val="3FE77469"/>
    <w:rsid w:val="3FF1653A"/>
    <w:rsid w:val="3FFA0F4B"/>
    <w:rsid w:val="3FFD4C7F"/>
    <w:rsid w:val="3FFE50BE"/>
    <w:rsid w:val="4004001B"/>
    <w:rsid w:val="401044D8"/>
    <w:rsid w:val="402406BD"/>
    <w:rsid w:val="40322C2A"/>
    <w:rsid w:val="40322DDA"/>
    <w:rsid w:val="40331AD1"/>
    <w:rsid w:val="403C77B5"/>
    <w:rsid w:val="40413F9B"/>
    <w:rsid w:val="404C42EC"/>
    <w:rsid w:val="405014B2"/>
    <w:rsid w:val="405C558A"/>
    <w:rsid w:val="40646FF5"/>
    <w:rsid w:val="406B009A"/>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5007B"/>
    <w:rsid w:val="42070F19"/>
    <w:rsid w:val="424566C9"/>
    <w:rsid w:val="424A495F"/>
    <w:rsid w:val="426D6C42"/>
    <w:rsid w:val="4278084D"/>
    <w:rsid w:val="427F607F"/>
    <w:rsid w:val="428A2184"/>
    <w:rsid w:val="42A31D6D"/>
    <w:rsid w:val="42AC7A3A"/>
    <w:rsid w:val="42B11788"/>
    <w:rsid w:val="42B87377"/>
    <w:rsid w:val="42BF46CD"/>
    <w:rsid w:val="42C17868"/>
    <w:rsid w:val="42C27D1A"/>
    <w:rsid w:val="42CB4E20"/>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7652FC"/>
    <w:rsid w:val="43805C0B"/>
    <w:rsid w:val="438C2802"/>
    <w:rsid w:val="43AF5C05"/>
    <w:rsid w:val="43B14016"/>
    <w:rsid w:val="43C152E3"/>
    <w:rsid w:val="43D9531B"/>
    <w:rsid w:val="43E16C1C"/>
    <w:rsid w:val="43E75C8A"/>
    <w:rsid w:val="441A605F"/>
    <w:rsid w:val="441C4A00"/>
    <w:rsid w:val="44250560"/>
    <w:rsid w:val="4425082E"/>
    <w:rsid w:val="44380293"/>
    <w:rsid w:val="444012B7"/>
    <w:rsid w:val="444335A1"/>
    <w:rsid w:val="44563119"/>
    <w:rsid w:val="445B0426"/>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0B59A8"/>
    <w:rsid w:val="451023FC"/>
    <w:rsid w:val="45120AE5"/>
    <w:rsid w:val="451A5BEB"/>
    <w:rsid w:val="452627E2"/>
    <w:rsid w:val="45297DC0"/>
    <w:rsid w:val="4532120B"/>
    <w:rsid w:val="4545710C"/>
    <w:rsid w:val="455B4326"/>
    <w:rsid w:val="45605CF4"/>
    <w:rsid w:val="45612B75"/>
    <w:rsid w:val="456652D4"/>
    <w:rsid w:val="45813EBC"/>
    <w:rsid w:val="45821975"/>
    <w:rsid w:val="458505A5"/>
    <w:rsid w:val="458A3A0C"/>
    <w:rsid w:val="458F65D9"/>
    <w:rsid w:val="459C0CF6"/>
    <w:rsid w:val="459C1406"/>
    <w:rsid w:val="45A55DFD"/>
    <w:rsid w:val="45AF7005"/>
    <w:rsid w:val="45B44292"/>
    <w:rsid w:val="45B46040"/>
    <w:rsid w:val="45B55914"/>
    <w:rsid w:val="45BC23D1"/>
    <w:rsid w:val="45BD5181"/>
    <w:rsid w:val="45C51FFB"/>
    <w:rsid w:val="45C67E5B"/>
    <w:rsid w:val="45CC15DB"/>
    <w:rsid w:val="45DC10F2"/>
    <w:rsid w:val="45F621B4"/>
    <w:rsid w:val="45FB5A1D"/>
    <w:rsid w:val="46072613"/>
    <w:rsid w:val="460D7F65"/>
    <w:rsid w:val="460F14C8"/>
    <w:rsid w:val="462907DC"/>
    <w:rsid w:val="46306FAC"/>
    <w:rsid w:val="46317690"/>
    <w:rsid w:val="46382A9F"/>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BA6877"/>
    <w:rsid w:val="46C424F5"/>
    <w:rsid w:val="46D30747"/>
    <w:rsid w:val="46DF533E"/>
    <w:rsid w:val="46F661E4"/>
    <w:rsid w:val="47076D29"/>
    <w:rsid w:val="470923BB"/>
    <w:rsid w:val="471F5755"/>
    <w:rsid w:val="472745EF"/>
    <w:rsid w:val="473D3E13"/>
    <w:rsid w:val="47503B46"/>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325752"/>
    <w:rsid w:val="48376AB4"/>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E7A8D"/>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473BF2"/>
    <w:rsid w:val="49515531"/>
    <w:rsid w:val="49520049"/>
    <w:rsid w:val="495913D8"/>
    <w:rsid w:val="495C67D2"/>
    <w:rsid w:val="49647484"/>
    <w:rsid w:val="49706721"/>
    <w:rsid w:val="497B7864"/>
    <w:rsid w:val="49880361"/>
    <w:rsid w:val="498D1B3D"/>
    <w:rsid w:val="49951CE4"/>
    <w:rsid w:val="49A91C62"/>
    <w:rsid w:val="49B617FE"/>
    <w:rsid w:val="49BB5BEF"/>
    <w:rsid w:val="49BD71F0"/>
    <w:rsid w:val="49C24C5D"/>
    <w:rsid w:val="49D15412"/>
    <w:rsid w:val="49D9498F"/>
    <w:rsid w:val="49EA64D4"/>
    <w:rsid w:val="49EB4592"/>
    <w:rsid w:val="49EB7B56"/>
    <w:rsid w:val="4A007AA5"/>
    <w:rsid w:val="4A0761FF"/>
    <w:rsid w:val="4A0B3024"/>
    <w:rsid w:val="4A1C2EC0"/>
    <w:rsid w:val="4A253068"/>
    <w:rsid w:val="4A301A0D"/>
    <w:rsid w:val="4A313BB2"/>
    <w:rsid w:val="4A361719"/>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33808"/>
    <w:rsid w:val="4B1728BA"/>
    <w:rsid w:val="4B196FAC"/>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BB7306"/>
    <w:rsid w:val="4BBD5522"/>
    <w:rsid w:val="4BCC6435"/>
    <w:rsid w:val="4BCD39B7"/>
    <w:rsid w:val="4BDB3974"/>
    <w:rsid w:val="4BDC3BFA"/>
    <w:rsid w:val="4BE200B2"/>
    <w:rsid w:val="4BE96317"/>
    <w:rsid w:val="4BEB5150"/>
    <w:rsid w:val="4BEF6864"/>
    <w:rsid w:val="4BF929FE"/>
    <w:rsid w:val="4C0A0767"/>
    <w:rsid w:val="4C12586E"/>
    <w:rsid w:val="4C1E442E"/>
    <w:rsid w:val="4C212F83"/>
    <w:rsid w:val="4C371778"/>
    <w:rsid w:val="4C3E2AF8"/>
    <w:rsid w:val="4C3E3632"/>
    <w:rsid w:val="4C527DBA"/>
    <w:rsid w:val="4C5F07E2"/>
    <w:rsid w:val="4C6065D9"/>
    <w:rsid w:val="4C6A4C70"/>
    <w:rsid w:val="4C7D3291"/>
    <w:rsid w:val="4C83051A"/>
    <w:rsid w:val="4C9B5EBF"/>
    <w:rsid w:val="4CAF3234"/>
    <w:rsid w:val="4CAF4949"/>
    <w:rsid w:val="4CB12664"/>
    <w:rsid w:val="4CB220BE"/>
    <w:rsid w:val="4CB335F4"/>
    <w:rsid w:val="4CB53B3B"/>
    <w:rsid w:val="4CBB198D"/>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331F40"/>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A4EAE"/>
    <w:rsid w:val="4E1A6C5C"/>
    <w:rsid w:val="4E1B2E11"/>
    <w:rsid w:val="4E1C6E78"/>
    <w:rsid w:val="4E1E674C"/>
    <w:rsid w:val="4E314E82"/>
    <w:rsid w:val="4E361CE8"/>
    <w:rsid w:val="4E3715BC"/>
    <w:rsid w:val="4E4F6AEA"/>
    <w:rsid w:val="4E6A373F"/>
    <w:rsid w:val="4E6C677C"/>
    <w:rsid w:val="4E6F0D56"/>
    <w:rsid w:val="4E7740AE"/>
    <w:rsid w:val="4E791BD4"/>
    <w:rsid w:val="4E7D7565"/>
    <w:rsid w:val="4E832A53"/>
    <w:rsid w:val="4E840BCC"/>
    <w:rsid w:val="4E8D1811"/>
    <w:rsid w:val="4E916F1E"/>
    <w:rsid w:val="4E976C62"/>
    <w:rsid w:val="4EA56E6D"/>
    <w:rsid w:val="4EA84268"/>
    <w:rsid w:val="4EAB3DF3"/>
    <w:rsid w:val="4EB86BA1"/>
    <w:rsid w:val="4ECC61A8"/>
    <w:rsid w:val="4EDC7CC9"/>
    <w:rsid w:val="4EDE78CC"/>
    <w:rsid w:val="4EE72FE2"/>
    <w:rsid w:val="4EEC684A"/>
    <w:rsid w:val="4EF17B3E"/>
    <w:rsid w:val="4F0040A4"/>
    <w:rsid w:val="4F0C47F7"/>
    <w:rsid w:val="4F22401A"/>
    <w:rsid w:val="4F2A7373"/>
    <w:rsid w:val="4F2E7890"/>
    <w:rsid w:val="4F3976BC"/>
    <w:rsid w:val="4F3F6648"/>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632B3C"/>
    <w:rsid w:val="50707007"/>
    <w:rsid w:val="50847DC7"/>
    <w:rsid w:val="509B0528"/>
    <w:rsid w:val="50BC224C"/>
    <w:rsid w:val="50C51101"/>
    <w:rsid w:val="50D36E1A"/>
    <w:rsid w:val="50DB26D2"/>
    <w:rsid w:val="50E71AE5"/>
    <w:rsid w:val="50EA261E"/>
    <w:rsid w:val="50FC089B"/>
    <w:rsid w:val="5108044E"/>
    <w:rsid w:val="510C31D4"/>
    <w:rsid w:val="511E6A63"/>
    <w:rsid w:val="5124051D"/>
    <w:rsid w:val="51354AB9"/>
    <w:rsid w:val="5144296E"/>
    <w:rsid w:val="514F6A03"/>
    <w:rsid w:val="51595CED"/>
    <w:rsid w:val="5167665C"/>
    <w:rsid w:val="517069D7"/>
    <w:rsid w:val="517652F0"/>
    <w:rsid w:val="517B5C63"/>
    <w:rsid w:val="517D5E7F"/>
    <w:rsid w:val="51840FBC"/>
    <w:rsid w:val="518E5B19"/>
    <w:rsid w:val="51970E73"/>
    <w:rsid w:val="519C4558"/>
    <w:rsid w:val="519D3E2C"/>
    <w:rsid w:val="519F6632"/>
    <w:rsid w:val="51A74CAA"/>
    <w:rsid w:val="51B11685"/>
    <w:rsid w:val="51B178D7"/>
    <w:rsid w:val="51BF1456"/>
    <w:rsid w:val="51C4760A"/>
    <w:rsid w:val="51C8090E"/>
    <w:rsid w:val="51C92E73"/>
    <w:rsid w:val="51D478DF"/>
    <w:rsid w:val="51D830B6"/>
    <w:rsid w:val="51E732F9"/>
    <w:rsid w:val="51E97071"/>
    <w:rsid w:val="51F021AD"/>
    <w:rsid w:val="51F96C3B"/>
    <w:rsid w:val="52000723"/>
    <w:rsid w:val="52081BED"/>
    <w:rsid w:val="520B5239"/>
    <w:rsid w:val="52187956"/>
    <w:rsid w:val="52195BA8"/>
    <w:rsid w:val="521C0775"/>
    <w:rsid w:val="521E4F39"/>
    <w:rsid w:val="52373BA7"/>
    <w:rsid w:val="525647CE"/>
    <w:rsid w:val="525F10E1"/>
    <w:rsid w:val="527B4984"/>
    <w:rsid w:val="528261F1"/>
    <w:rsid w:val="52943481"/>
    <w:rsid w:val="52953EDE"/>
    <w:rsid w:val="529E24D9"/>
    <w:rsid w:val="52A5743C"/>
    <w:rsid w:val="52AF2850"/>
    <w:rsid w:val="52AF2E63"/>
    <w:rsid w:val="52B21C66"/>
    <w:rsid w:val="52CF6267"/>
    <w:rsid w:val="52D65847"/>
    <w:rsid w:val="52E341B1"/>
    <w:rsid w:val="5302488E"/>
    <w:rsid w:val="53051E7D"/>
    <w:rsid w:val="53065A01"/>
    <w:rsid w:val="531A5978"/>
    <w:rsid w:val="53280B3B"/>
    <w:rsid w:val="53281E1B"/>
    <w:rsid w:val="532A16EF"/>
    <w:rsid w:val="532C3D4E"/>
    <w:rsid w:val="532E5683"/>
    <w:rsid w:val="53410F7E"/>
    <w:rsid w:val="53530C46"/>
    <w:rsid w:val="53722FC9"/>
    <w:rsid w:val="53767F45"/>
    <w:rsid w:val="537961D3"/>
    <w:rsid w:val="537C15C3"/>
    <w:rsid w:val="53811BC0"/>
    <w:rsid w:val="53827989"/>
    <w:rsid w:val="53837051"/>
    <w:rsid w:val="5384752F"/>
    <w:rsid w:val="53937294"/>
    <w:rsid w:val="539B4BE0"/>
    <w:rsid w:val="539E4672"/>
    <w:rsid w:val="53C2401E"/>
    <w:rsid w:val="53E45D42"/>
    <w:rsid w:val="53F1220D"/>
    <w:rsid w:val="53F30D5E"/>
    <w:rsid w:val="53FA58FF"/>
    <w:rsid w:val="540077F5"/>
    <w:rsid w:val="54071A30"/>
    <w:rsid w:val="540A6DA5"/>
    <w:rsid w:val="54106B37"/>
    <w:rsid w:val="54134879"/>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CB6F02"/>
    <w:rsid w:val="54D67D81"/>
    <w:rsid w:val="54EB4EAE"/>
    <w:rsid w:val="54F77CF7"/>
    <w:rsid w:val="54FC355F"/>
    <w:rsid w:val="550F3292"/>
    <w:rsid w:val="55142657"/>
    <w:rsid w:val="55217BFA"/>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856BF"/>
    <w:rsid w:val="561B7A15"/>
    <w:rsid w:val="56220DA3"/>
    <w:rsid w:val="56486A5C"/>
    <w:rsid w:val="56521689"/>
    <w:rsid w:val="56530F5D"/>
    <w:rsid w:val="56551179"/>
    <w:rsid w:val="565A053D"/>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2B3C88"/>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7F10A2D"/>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7095A"/>
    <w:rsid w:val="5A1C7F24"/>
    <w:rsid w:val="5A24655C"/>
    <w:rsid w:val="5A24763D"/>
    <w:rsid w:val="5A2C79B8"/>
    <w:rsid w:val="5A32437D"/>
    <w:rsid w:val="5A4A60E9"/>
    <w:rsid w:val="5A4F5EDF"/>
    <w:rsid w:val="5A5925F5"/>
    <w:rsid w:val="5A5A2FCC"/>
    <w:rsid w:val="5A5B4884"/>
    <w:rsid w:val="5A5D2AFD"/>
    <w:rsid w:val="5A626A8D"/>
    <w:rsid w:val="5A703F65"/>
    <w:rsid w:val="5A715E56"/>
    <w:rsid w:val="5A736072"/>
    <w:rsid w:val="5A81078E"/>
    <w:rsid w:val="5A821E11"/>
    <w:rsid w:val="5A927142"/>
    <w:rsid w:val="5A95795B"/>
    <w:rsid w:val="5A9D30EE"/>
    <w:rsid w:val="5AB521E6"/>
    <w:rsid w:val="5ABC3575"/>
    <w:rsid w:val="5AC97A4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AC13C7"/>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B4E7A"/>
    <w:rsid w:val="5ED30E8D"/>
    <w:rsid w:val="5EDD49E0"/>
    <w:rsid w:val="5EDD7F5D"/>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4638E0"/>
    <w:rsid w:val="6054424F"/>
    <w:rsid w:val="60675319"/>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43BDE"/>
    <w:rsid w:val="611759A9"/>
    <w:rsid w:val="6118702B"/>
    <w:rsid w:val="611C731A"/>
    <w:rsid w:val="61221713"/>
    <w:rsid w:val="61300F17"/>
    <w:rsid w:val="61303EBF"/>
    <w:rsid w:val="61306A6A"/>
    <w:rsid w:val="61334675"/>
    <w:rsid w:val="61355E2F"/>
    <w:rsid w:val="613C71BD"/>
    <w:rsid w:val="6142054C"/>
    <w:rsid w:val="61506C4E"/>
    <w:rsid w:val="615E4FAA"/>
    <w:rsid w:val="61665FE8"/>
    <w:rsid w:val="617050AC"/>
    <w:rsid w:val="617937F2"/>
    <w:rsid w:val="61827DCF"/>
    <w:rsid w:val="61856267"/>
    <w:rsid w:val="61863344"/>
    <w:rsid w:val="61946FF9"/>
    <w:rsid w:val="61970898"/>
    <w:rsid w:val="61A86601"/>
    <w:rsid w:val="61AA2779"/>
    <w:rsid w:val="61AB2103"/>
    <w:rsid w:val="61BA1455"/>
    <w:rsid w:val="61C15914"/>
    <w:rsid w:val="61C3168D"/>
    <w:rsid w:val="61C33FBA"/>
    <w:rsid w:val="61C6117D"/>
    <w:rsid w:val="61C6283F"/>
    <w:rsid w:val="61CD250B"/>
    <w:rsid w:val="61CD42B9"/>
    <w:rsid w:val="61F47A98"/>
    <w:rsid w:val="61FB30C1"/>
    <w:rsid w:val="62061579"/>
    <w:rsid w:val="621C2B4B"/>
    <w:rsid w:val="622A70E9"/>
    <w:rsid w:val="622C0CE3"/>
    <w:rsid w:val="62392916"/>
    <w:rsid w:val="623936FD"/>
    <w:rsid w:val="623E0D13"/>
    <w:rsid w:val="62410803"/>
    <w:rsid w:val="624A3B5C"/>
    <w:rsid w:val="624C78D4"/>
    <w:rsid w:val="624D71A8"/>
    <w:rsid w:val="624E0E8D"/>
    <w:rsid w:val="62525071"/>
    <w:rsid w:val="625422E5"/>
    <w:rsid w:val="625B38C4"/>
    <w:rsid w:val="625D388F"/>
    <w:rsid w:val="62711C4D"/>
    <w:rsid w:val="62825B4B"/>
    <w:rsid w:val="628C1A7E"/>
    <w:rsid w:val="62914AD2"/>
    <w:rsid w:val="62970C2B"/>
    <w:rsid w:val="629B7F14"/>
    <w:rsid w:val="62B15989"/>
    <w:rsid w:val="62B17737"/>
    <w:rsid w:val="62B65CA2"/>
    <w:rsid w:val="62C20355"/>
    <w:rsid w:val="62DA4EE0"/>
    <w:rsid w:val="62E3472B"/>
    <w:rsid w:val="62EC19DB"/>
    <w:rsid w:val="62EE5BFE"/>
    <w:rsid w:val="630E6937"/>
    <w:rsid w:val="631101D6"/>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26A5"/>
    <w:rsid w:val="63984453"/>
    <w:rsid w:val="63AB63EB"/>
    <w:rsid w:val="63AD6150"/>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40A1C"/>
    <w:rsid w:val="64917309"/>
    <w:rsid w:val="64942E6C"/>
    <w:rsid w:val="6497295D"/>
    <w:rsid w:val="6499492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E7534"/>
    <w:rsid w:val="663F505A"/>
    <w:rsid w:val="66400C3A"/>
    <w:rsid w:val="664A412A"/>
    <w:rsid w:val="665B6983"/>
    <w:rsid w:val="665E1984"/>
    <w:rsid w:val="665E7BD6"/>
    <w:rsid w:val="666A657B"/>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AC4971"/>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D7A8E"/>
    <w:rsid w:val="694E1928"/>
    <w:rsid w:val="694F3806"/>
    <w:rsid w:val="696A5E74"/>
    <w:rsid w:val="696E627E"/>
    <w:rsid w:val="697949DC"/>
    <w:rsid w:val="697F058F"/>
    <w:rsid w:val="69854EF8"/>
    <w:rsid w:val="69872FA0"/>
    <w:rsid w:val="69B12712"/>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44D92"/>
    <w:rsid w:val="6A845731"/>
    <w:rsid w:val="6A8614A9"/>
    <w:rsid w:val="6A933BC6"/>
    <w:rsid w:val="6A9A31A7"/>
    <w:rsid w:val="6AA560DB"/>
    <w:rsid w:val="6AA81420"/>
    <w:rsid w:val="6AAE4730"/>
    <w:rsid w:val="6AB2229E"/>
    <w:rsid w:val="6AB44268"/>
    <w:rsid w:val="6ABC136F"/>
    <w:rsid w:val="6AC33CDC"/>
    <w:rsid w:val="6AC52C03"/>
    <w:rsid w:val="6AD22940"/>
    <w:rsid w:val="6AD466B8"/>
    <w:rsid w:val="6AD77F57"/>
    <w:rsid w:val="6AE0256E"/>
    <w:rsid w:val="6AED04AA"/>
    <w:rsid w:val="6AF808CF"/>
    <w:rsid w:val="6AFE1987"/>
    <w:rsid w:val="6B040620"/>
    <w:rsid w:val="6B170353"/>
    <w:rsid w:val="6B2807B2"/>
    <w:rsid w:val="6B2967FF"/>
    <w:rsid w:val="6B2A452A"/>
    <w:rsid w:val="6B2B4BA1"/>
    <w:rsid w:val="6B4E64CF"/>
    <w:rsid w:val="6B633598"/>
    <w:rsid w:val="6B637A3C"/>
    <w:rsid w:val="6B71341D"/>
    <w:rsid w:val="6B726B07"/>
    <w:rsid w:val="6B7E0BAA"/>
    <w:rsid w:val="6B7E6624"/>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25D15"/>
    <w:rsid w:val="6D735272"/>
    <w:rsid w:val="6D8343C6"/>
    <w:rsid w:val="6D851C5B"/>
    <w:rsid w:val="6D852097"/>
    <w:rsid w:val="6DA2233C"/>
    <w:rsid w:val="6DAD31F1"/>
    <w:rsid w:val="6DB36A59"/>
    <w:rsid w:val="6DE44E65"/>
    <w:rsid w:val="6DE54FF8"/>
    <w:rsid w:val="6DE85FD7"/>
    <w:rsid w:val="6DEA6E73"/>
    <w:rsid w:val="6DF90E3D"/>
    <w:rsid w:val="6E034F06"/>
    <w:rsid w:val="6E0409A2"/>
    <w:rsid w:val="6E056B89"/>
    <w:rsid w:val="6E143718"/>
    <w:rsid w:val="6E1B015A"/>
    <w:rsid w:val="6E2A65EF"/>
    <w:rsid w:val="6E3525C2"/>
    <w:rsid w:val="6E380F7E"/>
    <w:rsid w:val="6E384712"/>
    <w:rsid w:val="6E3C2D80"/>
    <w:rsid w:val="6E4476B1"/>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7044D6"/>
    <w:rsid w:val="6F781CD0"/>
    <w:rsid w:val="6F80296B"/>
    <w:rsid w:val="6F863CF9"/>
    <w:rsid w:val="6F9806A6"/>
    <w:rsid w:val="6FA26D85"/>
    <w:rsid w:val="6FAC19A5"/>
    <w:rsid w:val="6FAC19B2"/>
    <w:rsid w:val="6FBC771B"/>
    <w:rsid w:val="6FD35191"/>
    <w:rsid w:val="6FF46EB5"/>
    <w:rsid w:val="6FF60E7F"/>
    <w:rsid w:val="700D7F77"/>
    <w:rsid w:val="70117A67"/>
    <w:rsid w:val="7013690C"/>
    <w:rsid w:val="70181AA7"/>
    <w:rsid w:val="702130A9"/>
    <w:rsid w:val="703579A2"/>
    <w:rsid w:val="70433998"/>
    <w:rsid w:val="70451ADA"/>
    <w:rsid w:val="704D257C"/>
    <w:rsid w:val="704E2A69"/>
    <w:rsid w:val="7060454A"/>
    <w:rsid w:val="7062117A"/>
    <w:rsid w:val="7064376F"/>
    <w:rsid w:val="70723CA2"/>
    <w:rsid w:val="7076459B"/>
    <w:rsid w:val="708E730A"/>
    <w:rsid w:val="70955A6B"/>
    <w:rsid w:val="709F1517"/>
    <w:rsid w:val="70AB3A18"/>
    <w:rsid w:val="70B34CA4"/>
    <w:rsid w:val="70B7060E"/>
    <w:rsid w:val="70B85E7F"/>
    <w:rsid w:val="70BA46A0"/>
    <w:rsid w:val="70C82A0E"/>
    <w:rsid w:val="70D223E8"/>
    <w:rsid w:val="70D311C0"/>
    <w:rsid w:val="70D564D6"/>
    <w:rsid w:val="70D867D7"/>
    <w:rsid w:val="70E76136"/>
    <w:rsid w:val="70F87D04"/>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A1F21"/>
    <w:rsid w:val="71AA4758"/>
    <w:rsid w:val="71B93FFA"/>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30565"/>
    <w:rsid w:val="7278201F"/>
    <w:rsid w:val="727D5888"/>
    <w:rsid w:val="72802C82"/>
    <w:rsid w:val="728269FA"/>
    <w:rsid w:val="728409C4"/>
    <w:rsid w:val="72867D6D"/>
    <w:rsid w:val="728C1627"/>
    <w:rsid w:val="7295497F"/>
    <w:rsid w:val="72A942BC"/>
    <w:rsid w:val="72AC5715"/>
    <w:rsid w:val="72B8241C"/>
    <w:rsid w:val="72BD7A32"/>
    <w:rsid w:val="72BF5110"/>
    <w:rsid w:val="72C55C8D"/>
    <w:rsid w:val="72C74D55"/>
    <w:rsid w:val="72D11D6A"/>
    <w:rsid w:val="72DA22AC"/>
    <w:rsid w:val="72DA4A88"/>
    <w:rsid w:val="72E40A32"/>
    <w:rsid w:val="72E41463"/>
    <w:rsid w:val="72E74AAF"/>
    <w:rsid w:val="72EB459F"/>
    <w:rsid w:val="72F625F3"/>
    <w:rsid w:val="72FD23CD"/>
    <w:rsid w:val="73010267"/>
    <w:rsid w:val="730438B3"/>
    <w:rsid w:val="731616CA"/>
    <w:rsid w:val="73325FAB"/>
    <w:rsid w:val="7342446D"/>
    <w:rsid w:val="734C4E47"/>
    <w:rsid w:val="736305DA"/>
    <w:rsid w:val="73634E7E"/>
    <w:rsid w:val="736742CD"/>
    <w:rsid w:val="736F3422"/>
    <w:rsid w:val="737170B4"/>
    <w:rsid w:val="73726E46"/>
    <w:rsid w:val="737A780A"/>
    <w:rsid w:val="737E3665"/>
    <w:rsid w:val="73852C46"/>
    <w:rsid w:val="73867437"/>
    <w:rsid w:val="7388116B"/>
    <w:rsid w:val="738A025C"/>
    <w:rsid w:val="739143B8"/>
    <w:rsid w:val="73A40FAF"/>
    <w:rsid w:val="73A51D5E"/>
    <w:rsid w:val="73A77B0E"/>
    <w:rsid w:val="73AE6A9D"/>
    <w:rsid w:val="73AF19F5"/>
    <w:rsid w:val="73AF7CC3"/>
    <w:rsid w:val="73B23B2A"/>
    <w:rsid w:val="73B47087"/>
    <w:rsid w:val="73BF77DA"/>
    <w:rsid w:val="73C31078"/>
    <w:rsid w:val="73CA68AB"/>
    <w:rsid w:val="73DB2866"/>
    <w:rsid w:val="73E07E7C"/>
    <w:rsid w:val="73EB6821"/>
    <w:rsid w:val="73F65CC3"/>
    <w:rsid w:val="740651CF"/>
    <w:rsid w:val="74085625"/>
    <w:rsid w:val="740C6EC3"/>
    <w:rsid w:val="74103CD5"/>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E24B4"/>
    <w:rsid w:val="76B53B8A"/>
    <w:rsid w:val="76BF021D"/>
    <w:rsid w:val="76C021E7"/>
    <w:rsid w:val="76C0457F"/>
    <w:rsid w:val="76C234D2"/>
    <w:rsid w:val="76C515AB"/>
    <w:rsid w:val="76C57C88"/>
    <w:rsid w:val="76D413CA"/>
    <w:rsid w:val="76D55A49"/>
    <w:rsid w:val="76DD06A3"/>
    <w:rsid w:val="76DD6482"/>
    <w:rsid w:val="76EE28B0"/>
    <w:rsid w:val="76EF6628"/>
    <w:rsid w:val="770A4420"/>
    <w:rsid w:val="770E012A"/>
    <w:rsid w:val="771542E1"/>
    <w:rsid w:val="771D13E7"/>
    <w:rsid w:val="77214F12"/>
    <w:rsid w:val="77415016"/>
    <w:rsid w:val="774921DC"/>
    <w:rsid w:val="774B24CA"/>
    <w:rsid w:val="775A0D5E"/>
    <w:rsid w:val="77690147"/>
    <w:rsid w:val="778D20C9"/>
    <w:rsid w:val="77A71C28"/>
    <w:rsid w:val="77A86F03"/>
    <w:rsid w:val="77AE75EE"/>
    <w:rsid w:val="77BB58F1"/>
    <w:rsid w:val="77BE6726"/>
    <w:rsid w:val="77C67389"/>
    <w:rsid w:val="77CC4A7E"/>
    <w:rsid w:val="77D20B84"/>
    <w:rsid w:val="77D25D2E"/>
    <w:rsid w:val="77EC030F"/>
    <w:rsid w:val="77FA5285"/>
    <w:rsid w:val="780041AA"/>
    <w:rsid w:val="780162E2"/>
    <w:rsid w:val="78063C29"/>
    <w:rsid w:val="78120820"/>
    <w:rsid w:val="7814407F"/>
    <w:rsid w:val="781659A5"/>
    <w:rsid w:val="781C344D"/>
    <w:rsid w:val="782C1E12"/>
    <w:rsid w:val="782C7B34"/>
    <w:rsid w:val="782E55ED"/>
    <w:rsid w:val="78357812"/>
    <w:rsid w:val="78372035"/>
    <w:rsid w:val="78434E7D"/>
    <w:rsid w:val="78485FF0"/>
    <w:rsid w:val="78570929"/>
    <w:rsid w:val="785715FC"/>
    <w:rsid w:val="78591FAB"/>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977D3"/>
    <w:rsid w:val="78EB3E77"/>
    <w:rsid w:val="78EE303B"/>
    <w:rsid w:val="78F65A4C"/>
    <w:rsid w:val="79052133"/>
    <w:rsid w:val="7911603F"/>
    <w:rsid w:val="792262A2"/>
    <w:rsid w:val="792E2798"/>
    <w:rsid w:val="793E41CE"/>
    <w:rsid w:val="79522377"/>
    <w:rsid w:val="795841F9"/>
    <w:rsid w:val="79775D89"/>
    <w:rsid w:val="797D6BBB"/>
    <w:rsid w:val="798219D5"/>
    <w:rsid w:val="798E2128"/>
    <w:rsid w:val="799040F2"/>
    <w:rsid w:val="79907C4E"/>
    <w:rsid w:val="79985B76"/>
    <w:rsid w:val="79A856DF"/>
    <w:rsid w:val="79B871A5"/>
    <w:rsid w:val="79C15D87"/>
    <w:rsid w:val="79D20267"/>
    <w:rsid w:val="79D41C32"/>
    <w:rsid w:val="79DA7144"/>
    <w:rsid w:val="79E306C6"/>
    <w:rsid w:val="79E65AC0"/>
    <w:rsid w:val="79EA1A55"/>
    <w:rsid w:val="79EB0C81"/>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5352B"/>
    <w:rsid w:val="7A8A28F0"/>
    <w:rsid w:val="7A8C48BA"/>
    <w:rsid w:val="7A8D418E"/>
    <w:rsid w:val="7A96154A"/>
    <w:rsid w:val="7AAF05A8"/>
    <w:rsid w:val="7ACC2F08"/>
    <w:rsid w:val="7AE7324F"/>
    <w:rsid w:val="7AF9035A"/>
    <w:rsid w:val="7B0E1773"/>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C40997"/>
    <w:rsid w:val="7BCE4A5E"/>
    <w:rsid w:val="7BD2109B"/>
    <w:rsid w:val="7BD858DD"/>
    <w:rsid w:val="7BDA7E6F"/>
    <w:rsid w:val="7BDB1C82"/>
    <w:rsid w:val="7BE23839"/>
    <w:rsid w:val="7BF546E1"/>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7B71"/>
    <w:rsid w:val="7C9B5288"/>
    <w:rsid w:val="7CAD0B17"/>
    <w:rsid w:val="7CAF7FC7"/>
    <w:rsid w:val="7CB65C1E"/>
    <w:rsid w:val="7CBB76D8"/>
    <w:rsid w:val="7CC320E9"/>
    <w:rsid w:val="7CC831E4"/>
    <w:rsid w:val="7CC97806"/>
    <w:rsid w:val="7CCC3693"/>
    <w:rsid w:val="7CD70BCB"/>
    <w:rsid w:val="7CDC1D39"/>
    <w:rsid w:val="7CE513A9"/>
    <w:rsid w:val="7CED53B8"/>
    <w:rsid w:val="7D024A6C"/>
    <w:rsid w:val="7D052701"/>
    <w:rsid w:val="7D0746CC"/>
    <w:rsid w:val="7D0C05E5"/>
    <w:rsid w:val="7D2D11BD"/>
    <w:rsid w:val="7D364FB1"/>
    <w:rsid w:val="7D382289"/>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73A3E"/>
    <w:rsid w:val="7E7A0ECD"/>
    <w:rsid w:val="7E7C69F3"/>
    <w:rsid w:val="7E955D07"/>
    <w:rsid w:val="7EAD4390"/>
    <w:rsid w:val="7EAF6DC9"/>
    <w:rsid w:val="7EB20667"/>
    <w:rsid w:val="7EB443DF"/>
    <w:rsid w:val="7EB83D06"/>
    <w:rsid w:val="7EC8171B"/>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3FCE"/>
    <w:rsid w:val="7F855D7C"/>
    <w:rsid w:val="7F857B2A"/>
    <w:rsid w:val="7F8747DB"/>
    <w:rsid w:val="7F881F44"/>
    <w:rsid w:val="7F9525ED"/>
    <w:rsid w:val="7F9D3A37"/>
    <w:rsid w:val="7F9E0CF9"/>
    <w:rsid w:val="7F9F0C78"/>
    <w:rsid w:val="7F9F6E3D"/>
    <w:rsid w:val="7FA36202"/>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qFormat/>
    <w:uiPriority w:val="0"/>
    <w:pPr>
      <w:spacing w:line="500" w:lineRule="exact"/>
      <w:ind w:firstLine="538"/>
    </w:pPr>
    <w:rPr>
      <w:sz w:val="28"/>
    </w:rPr>
  </w:style>
  <w:style w:type="paragraph" w:styleId="1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1">
    <w:name w:val="index 4"/>
    <w:basedOn w:val="1"/>
    <w:next w:val="1"/>
    <w:qFormat/>
    <w:uiPriority w:val="0"/>
    <w:pPr>
      <w:ind w:left="600" w:leftChars="600"/>
    </w:pPr>
  </w:style>
  <w:style w:type="paragraph" w:styleId="12">
    <w:name w:val="Plain Text"/>
    <w:basedOn w:val="1"/>
    <w:qFormat/>
    <w:uiPriority w:val="0"/>
    <w:rPr>
      <w:rFonts w:ascii="宋体"/>
      <w:color w:val="000000"/>
      <w:szCs w:val="20"/>
      <w:u w:color="000000"/>
    </w:rPr>
  </w:style>
  <w:style w:type="paragraph" w:styleId="13">
    <w:name w:val="Date"/>
    <w:basedOn w:val="1"/>
    <w:next w:val="1"/>
    <w:link w:val="44"/>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next w:val="5"/>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3"/>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12949</Words>
  <Characters>13911</Characters>
  <Lines>253</Lines>
  <Paragraphs>71</Paragraphs>
  <TotalTime>8</TotalTime>
  <ScaleCrop>false</ScaleCrop>
  <LinksUpToDate>false</LinksUpToDate>
  <CharactersWithSpaces>14140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2024-11-29T04:49:00Z</dcterms:created>
  <dc:creator>微软用户</dc:creator>
  <cp:lastModifiedBy>好男人就是……</cp:lastModifiedBy>
  <cp:lastPrinted>2019-10-31T07:16:00Z</cp:lastPrinted>
  <dcterms:modified xsi:type="dcterms:W3CDTF">2024-12-04T02:34:45Z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2836163B648440C08A6C721093EFE9A3_13</vt:lpwstr>
  </property>
</Properties>
</file>