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1AB7F00">
      <w:pPr>
        <w:numPr>
          <w:ilvl w:val="0"/>
          <w:numId w:val="0"/>
        </w:numPr>
        <w:adjustRightInd w:val="0"/>
        <w:snapToGrid w:val="0"/>
        <w:spacing w:line="560" w:lineRule="exact"/>
        <w:rPr>
          <w:rFonts w:hint="eastAsia" w:ascii="仿宋_GB2312" w:hAnsi="Tahoma" w:eastAsia="仿宋_GB2312" w:cs="Tahoma"/>
          <w:sz w:val="32"/>
          <w:szCs w:val="32"/>
          <w:lang w:val="en-US" w:eastAsia="zh-CN"/>
        </w:rPr>
      </w:pPr>
      <w:r>
        <w:rPr>
          <w:rFonts w:hint="eastAsia" w:ascii="仿宋_GB2312" w:hAnsi="Tahoma" w:eastAsia="仿宋_GB2312" w:cs="Tahoma"/>
          <w:b/>
          <w:bCs/>
          <w:sz w:val="32"/>
          <w:szCs w:val="32"/>
          <w:lang w:val="en-US" w:eastAsia="zh-CN"/>
        </w:rPr>
        <w:t>附件2-1：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000000"/>
          <w:sz w:val="22"/>
          <w:szCs w:val="22"/>
          <w:u w:val="none"/>
          <w:lang w:val="en-US" w:eastAsia="zh-CN"/>
        </w:rPr>
        <w:t>实验室安全检查报告样式</w:t>
      </w:r>
    </w:p>
    <w:tbl>
      <w:tblPr>
        <w:tblStyle w:val="2"/>
        <w:tblW w:w="14350" w:type="dxa"/>
        <w:tblInd w:w="-11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0"/>
        <w:gridCol w:w="950"/>
        <w:gridCol w:w="1430"/>
        <w:gridCol w:w="1420"/>
        <w:gridCol w:w="4670"/>
        <w:gridCol w:w="1970"/>
        <w:gridCol w:w="1870"/>
        <w:gridCol w:w="1610"/>
      </w:tblGrid>
      <w:tr w14:paraId="4EBC35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" w:hRule="atLeast"/>
        </w:trPr>
        <w:tc>
          <w:tcPr>
            <w:tcW w:w="14350" w:type="dxa"/>
            <w:gridSpan w:val="8"/>
            <w:shd w:val="clear" w:color="auto" w:fill="auto"/>
            <w:vAlign w:val="center"/>
          </w:tcPr>
          <w:p w14:paraId="610173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  <w:lang w:val="en-US" w:eastAsia="zh-CN"/>
              </w:rPr>
              <w:t>XX学院XX楼</w:t>
            </w:r>
          </w:p>
        </w:tc>
      </w:tr>
      <w:tr w14:paraId="730023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" w:hRule="atLeast"/>
        </w:trPr>
        <w:tc>
          <w:tcPr>
            <w:tcW w:w="430" w:type="dxa"/>
            <w:shd w:val="clear" w:color="auto" w:fill="auto"/>
            <w:vAlign w:val="center"/>
          </w:tcPr>
          <w:p w14:paraId="440B570F"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950" w:type="dxa"/>
            <w:shd w:val="clear" w:color="auto" w:fill="auto"/>
            <w:vAlign w:val="center"/>
          </w:tcPr>
          <w:p w14:paraId="31700E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门牌号</w:t>
            </w:r>
          </w:p>
        </w:tc>
        <w:tc>
          <w:tcPr>
            <w:tcW w:w="1430" w:type="dxa"/>
            <w:shd w:val="clear" w:color="auto" w:fill="auto"/>
            <w:vAlign w:val="center"/>
          </w:tcPr>
          <w:p w14:paraId="27B7E4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问题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DAC32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依据</w:t>
            </w:r>
          </w:p>
        </w:tc>
        <w:tc>
          <w:tcPr>
            <w:tcW w:w="4670" w:type="dxa"/>
            <w:shd w:val="clear" w:color="auto" w:fill="auto"/>
            <w:vAlign w:val="center"/>
          </w:tcPr>
          <w:p w14:paraId="318CD3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问题整改建议</w:t>
            </w:r>
          </w:p>
        </w:tc>
        <w:tc>
          <w:tcPr>
            <w:tcW w:w="5450" w:type="dxa"/>
            <w:gridSpan w:val="3"/>
            <w:shd w:val="clear" w:color="auto" w:fill="auto"/>
            <w:vAlign w:val="center"/>
          </w:tcPr>
          <w:p w14:paraId="1D735E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图片</w:t>
            </w:r>
          </w:p>
        </w:tc>
      </w:tr>
      <w:tr w14:paraId="43F961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0" w:hRule="atLeast"/>
        </w:trPr>
        <w:tc>
          <w:tcPr>
            <w:tcW w:w="430" w:type="dxa"/>
            <w:shd w:val="clear" w:color="auto" w:fill="auto"/>
            <w:vAlign w:val="center"/>
          </w:tcPr>
          <w:p w14:paraId="033A5FEB"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950" w:type="dxa"/>
            <w:vMerge w:val="restart"/>
            <w:shd w:val="clear" w:color="auto" w:fill="auto"/>
            <w:vAlign w:val="center"/>
          </w:tcPr>
          <w:p w14:paraId="4BDDCF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  <w:lang w:val="en-US" w:eastAsia="zh-CN"/>
              </w:rPr>
              <w:t>XX房间</w:t>
            </w:r>
          </w:p>
        </w:tc>
        <w:tc>
          <w:tcPr>
            <w:tcW w:w="1430" w:type="dxa"/>
            <w:shd w:val="clear" w:color="auto" w:fill="auto"/>
            <w:vAlign w:val="center"/>
          </w:tcPr>
          <w:p w14:paraId="721AFE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接线板串联，接线板非国标，地线未贴警示标贴和警示标语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CBB90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高等学校实验室安全检查项目表（2025）</w:t>
            </w:r>
          </w:p>
        </w:tc>
        <w:tc>
          <w:tcPr>
            <w:tcW w:w="4670" w:type="dxa"/>
            <w:shd w:val="clear" w:color="auto" w:fill="auto"/>
            <w:vAlign w:val="center"/>
          </w:tcPr>
          <w:p w14:paraId="35EAB7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(95)实验室配电容量、插头插座与用电设备功率须匹配，不得私自改装。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(96)电源插座须有效固定。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(97)电气设备应配备空气开关和漏电保护器。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(98)不私自乱拉、乱接电线、电缆，禁止多个接线板串接供电，接线板不宜直接置于地面。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(99)禁止使用老化的线缆、花线、木质配电板、有破损的接线板，电线接绝缘可靠，无裸露连接线，穿越通道的线缆应有盖板或护套，不使用老国标接线板、插座。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(100)大功率仪器(包括空调等)使用专用插座。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(101)电器长期不用时，应切断电源。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(102)配电箱前不应有物品遮挡并便于操作，周围不应放置烘箱、电炉、易燃易爆 气瓶、易燃易爆化学试剂、废液桶等；配电箱的金属箱体应与箱内保护零线或保护 地线可靠连接</w:t>
            </w:r>
          </w:p>
        </w:tc>
        <w:tc>
          <w:tcPr>
            <w:tcW w:w="1970" w:type="dxa"/>
            <w:shd w:val="clear" w:color="auto" w:fill="auto"/>
            <w:vAlign w:val="center"/>
          </w:tcPr>
          <w:p w14:paraId="771385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1854835" cy="1394460"/>
                  <wp:effectExtent l="0" t="0" r="4445" b="7620"/>
                  <wp:docPr id="18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394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shd w:val="clear" w:color="auto" w:fill="auto"/>
            <w:vAlign w:val="center"/>
          </w:tcPr>
          <w:p w14:paraId="140746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1062355" cy="1419225"/>
                  <wp:effectExtent l="0" t="0" r="4445" b="13335"/>
                  <wp:docPr id="13" name="图片 11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1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0" w:type="dxa"/>
            <w:shd w:val="clear" w:color="auto" w:fill="auto"/>
            <w:vAlign w:val="center"/>
          </w:tcPr>
          <w:p w14:paraId="33283B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940435" cy="1256030"/>
                  <wp:effectExtent l="0" t="0" r="4445" b="8890"/>
                  <wp:docPr id="10" name="图片 12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2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35" cy="1256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94BF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4" w:hRule="atLeast"/>
        </w:trPr>
        <w:tc>
          <w:tcPr>
            <w:tcW w:w="430" w:type="dxa"/>
            <w:shd w:val="clear" w:color="auto" w:fill="auto"/>
            <w:vAlign w:val="center"/>
          </w:tcPr>
          <w:p w14:paraId="33817C55"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950" w:type="dxa"/>
            <w:vMerge w:val="continue"/>
            <w:shd w:val="clear" w:color="auto" w:fill="auto"/>
            <w:vAlign w:val="center"/>
          </w:tcPr>
          <w:p w14:paraId="3EFC9CE9">
            <w:pPr>
              <w:jc w:val="left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430" w:type="dxa"/>
            <w:vMerge w:val="restart"/>
            <w:shd w:val="clear" w:color="auto" w:fill="auto"/>
            <w:vAlign w:val="center"/>
          </w:tcPr>
          <w:p w14:paraId="0E807A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气瓶过检</w:t>
            </w:r>
          </w:p>
        </w:tc>
        <w:tc>
          <w:tcPr>
            <w:tcW w:w="1420" w:type="dxa"/>
            <w:vMerge w:val="restart"/>
            <w:shd w:val="clear" w:color="auto" w:fill="auto"/>
            <w:vAlign w:val="center"/>
          </w:tcPr>
          <w:p w14:paraId="5F9D07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高等学校实验室安全检查项目表（2025）</w:t>
            </w:r>
          </w:p>
        </w:tc>
        <w:tc>
          <w:tcPr>
            <w:tcW w:w="4670" w:type="dxa"/>
            <w:vMerge w:val="restart"/>
            <w:shd w:val="clear" w:color="auto" w:fill="auto"/>
            <w:vAlign w:val="center"/>
          </w:tcPr>
          <w:p w14:paraId="1B13AFB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(154)气体(气瓶)存放点须通风、远离热源、避免暴晒，地面平整干燥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(161)有供应商提供的气瓶定期检验合格标识，无超过检验有效期的气瓶、无超过 设计年限的气瓶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(162)气瓶颜色符合GB/T7144《气瓶颜色标志》的规定，确认“满、使用中、空 瓶”三种状态。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(163)使用完毕，应及时关闭气瓶总阀。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(164)气瓶附件齐全</w:t>
            </w:r>
          </w:p>
        </w:tc>
        <w:tc>
          <w:tcPr>
            <w:tcW w:w="1970" w:type="dxa"/>
            <w:shd w:val="clear" w:color="auto" w:fill="auto"/>
            <w:vAlign w:val="center"/>
          </w:tcPr>
          <w:p w14:paraId="0C559C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1129665" cy="1511935"/>
                  <wp:effectExtent l="0" t="0" r="13335" b="12065"/>
                  <wp:docPr id="11" name="图片 13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3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665" cy="1511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shd w:val="clear" w:color="auto" w:fill="auto"/>
            <w:vAlign w:val="center"/>
          </w:tcPr>
          <w:p w14:paraId="48C815B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1027430" cy="1374140"/>
                  <wp:effectExtent l="0" t="0" r="8890" b="12700"/>
                  <wp:docPr id="14" name="图片 14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30" cy="1374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0" w:type="dxa"/>
            <w:shd w:val="clear" w:color="auto" w:fill="auto"/>
            <w:vAlign w:val="center"/>
          </w:tcPr>
          <w:p w14:paraId="73903B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1081405" cy="1445895"/>
                  <wp:effectExtent l="0" t="0" r="635" b="1905"/>
                  <wp:docPr id="15" name="图片 15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405" cy="1445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FB4D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4" w:hRule="atLeast"/>
        </w:trPr>
        <w:tc>
          <w:tcPr>
            <w:tcW w:w="430" w:type="dxa"/>
            <w:shd w:val="clear" w:color="auto" w:fill="auto"/>
            <w:vAlign w:val="center"/>
          </w:tcPr>
          <w:p w14:paraId="55AC7C12"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950" w:type="dxa"/>
            <w:vMerge w:val="continue"/>
            <w:shd w:val="clear" w:color="auto" w:fill="auto"/>
            <w:vAlign w:val="center"/>
          </w:tcPr>
          <w:p w14:paraId="3AC0F3F6">
            <w:pPr>
              <w:jc w:val="left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430" w:type="dxa"/>
            <w:vMerge w:val="continue"/>
            <w:shd w:val="clear" w:color="auto" w:fill="auto"/>
            <w:vAlign w:val="center"/>
          </w:tcPr>
          <w:p w14:paraId="1FC3DD71">
            <w:pPr>
              <w:jc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420" w:type="dxa"/>
            <w:vMerge w:val="continue"/>
            <w:shd w:val="clear" w:color="auto" w:fill="auto"/>
            <w:vAlign w:val="center"/>
          </w:tcPr>
          <w:p w14:paraId="1C693AE3">
            <w:pPr>
              <w:jc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4670" w:type="dxa"/>
            <w:vMerge w:val="continue"/>
            <w:shd w:val="clear" w:color="auto" w:fill="auto"/>
            <w:vAlign w:val="center"/>
          </w:tcPr>
          <w:p w14:paraId="69D73F6C">
            <w:pPr>
              <w:jc w:val="left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970" w:type="dxa"/>
            <w:shd w:val="clear" w:color="auto" w:fill="auto"/>
            <w:vAlign w:val="center"/>
          </w:tcPr>
          <w:p w14:paraId="75495F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1123950" cy="1503045"/>
                  <wp:effectExtent l="0" t="0" r="3810" b="5715"/>
                  <wp:docPr id="16" name="图片 16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503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shd w:val="clear" w:color="auto" w:fill="auto"/>
            <w:vAlign w:val="center"/>
          </w:tcPr>
          <w:p w14:paraId="41AB86D0">
            <w:pPr>
              <w:jc w:val="left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610" w:type="dxa"/>
            <w:shd w:val="clear" w:color="auto" w:fill="auto"/>
            <w:vAlign w:val="center"/>
          </w:tcPr>
          <w:p w14:paraId="3A8D16B6">
            <w:pPr>
              <w:jc w:val="left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14CDF7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70" w:hRule="atLeast"/>
        </w:trPr>
        <w:tc>
          <w:tcPr>
            <w:tcW w:w="430" w:type="dxa"/>
            <w:shd w:val="clear" w:color="auto" w:fill="auto"/>
            <w:vAlign w:val="center"/>
          </w:tcPr>
          <w:p w14:paraId="30A646E9"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950" w:type="dxa"/>
            <w:vMerge w:val="continue"/>
            <w:shd w:val="clear" w:color="auto" w:fill="auto"/>
            <w:vAlign w:val="center"/>
          </w:tcPr>
          <w:p w14:paraId="760066F9">
            <w:pPr>
              <w:jc w:val="left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1430" w:type="dxa"/>
            <w:shd w:val="clear" w:color="auto" w:fill="auto"/>
            <w:vAlign w:val="center"/>
          </w:tcPr>
          <w:p w14:paraId="6E24911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废固瓶存放在通风橱下柜内，无固定废液区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FA2EA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高等学校实验室安全检查项目表（2025）</w:t>
            </w:r>
          </w:p>
        </w:tc>
        <w:tc>
          <w:tcPr>
            <w:tcW w:w="4670" w:type="dxa"/>
            <w:shd w:val="clear" w:color="auto" w:fill="auto"/>
            <w:vAlign w:val="center"/>
          </w:tcPr>
          <w:p w14:paraId="66A86F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(169)危险废物应按化学特性和危险特性，进行分类收集和暂存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(170)废弃的化学试剂应存放在原试剂瓶中，保留原标签，且瓶口朝上放入专用固废箱中。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(171)针头等利器须放入利器盒中收集。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(172)废液应分类装入专用废液桶中，液面不超过容量的3/4。废液桶须满足耐腐蚀、抗溶剂、耐挤压、抗冲击的要求。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(173)实验室危险废物收集容器上应粘贴危险废物信息标签、警示标识。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(174)严禁将实验室危险废物直接排入下水道，严禁与生活垃圾、感染性废物或放射性废物等混装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(87)进行实验时，通风柜可调玻璃视窗开至离台面10～15cm,保持通风效果，并保护操作人员胸部以上部位。实验人员在通风柜进行实验时，避免将头伸入调节门内。不可将一次性手套或较轻的塑料袋等留在通风柜内，以免堵塞排风口。通风柜内放置的物品应距离调节门内侧15cm以上，以免掉落。不得将通风柜作为化学试剂存放场所。玻璃视窗材料应是钢化玻璃</w:t>
            </w:r>
          </w:p>
        </w:tc>
        <w:tc>
          <w:tcPr>
            <w:tcW w:w="1970" w:type="dxa"/>
            <w:shd w:val="clear" w:color="auto" w:fill="auto"/>
            <w:vAlign w:val="center"/>
          </w:tcPr>
          <w:p w14:paraId="5D1E17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1141095" cy="1523365"/>
                  <wp:effectExtent l="0" t="0" r="1905" b="635"/>
                  <wp:docPr id="17" name="图片 17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095" cy="1523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0" w:type="dxa"/>
            <w:shd w:val="clear" w:color="auto" w:fill="auto"/>
            <w:vAlign w:val="center"/>
          </w:tcPr>
          <w:p w14:paraId="0771FE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1146810" cy="1530985"/>
                  <wp:effectExtent l="0" t="0" r="11430" b="8255"/>
                  <wp:docPr id="12" name="图片 18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8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810" cy="1530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0" w:type="dxa"/>
            <w:shd w:val="clear" w:color="auto" w:fill="auto"/>
            <w:vAlign w:val="center"/>
          </w:tcPr>
          <w:p w14:paraId="379F14A9">
            <w:pPr>
              <w:jc w:val="left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</w:tbl>
    <w:p w14:paraId="7F52FD81">
      <w:pPr>
        <w:rPr>
          <w:rFonts w:hint="default"/>
          <w:lang w:val="en-US" w:eastAsia="zh-CN"/>
        </w:rPr>
      </w:pPr>
    </w:p>
    <w:p w14:paraId="5A2910F8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附件2-2：实验室分级分类</w:t>
      </w:r>
      <w:bookmarkStart w:id="0" w:name="_GoBack"/>
      <w:bookmarkEnd w:id="0"/>
      <w:r>
        <w:rPr>
          <w:rFonts w:hint="eastAsia"/>
          <w:b/>
          <w:bCs/>
          <w:lang w:val="en-US" w:eastAsia="zh-CN"/>
        </w:rPr>
        <w:t>报告模板</w:t>
      </w:r>
    </w:p>
    <w:tbl>
      <w:tblPr>
        <w:tblStyle w:val="2"/>
        <w:tblW w:w="14154" w:type="dxa"/>
        <w:tblInd w:w="9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7"/>
        <w:gridCol w:w="878"/>
        <w:gridCol w:w="788"/>
        <w:gridCol w:w="515"/>
        <w:gridCol w:w="515"/>
        <w:gridCol w:w="542"/>
        <w:gridCol w:w="694"/>
        <w:gridCol w:w="2075"/>
        <w:gridCol w:w="1972"/>
        <w:gridCol w:w="2171"/>
        <w:gridCol w:w="1271"/>
        <w:gridCol w:w="1786"/>
      </w:tblGrid>
      <w:tr w14:paraId="62951C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5" w:hRule="atLeast"/>
        </w:trPr>
        <w:tc>
          <w:tcPr>
            <w:tcW w:w="947" w:type="dxa"/>
            <w:shd w:val="clear" w:color="auto" w:fill="auto"/>
            <w:vAlign w:val="top"/>
          </w:tcPr>
          <w:p w14:paraId="2CB1176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责任单位</w:t>
            </w:r>
          </w:p>
        </w:tc>
        <w:tc>
          <w:tcPr>
            <w:tcW w:w="878" w:type="dxa"/>
            <w:shd w:val="clear" w:color="auto" w:fill="auto"/>
            <w:vAlign w:val="top"/>
          </w:tcPr>
          <w:p w14:paraId="4C713E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楼宇及房间号</w:t>
            </w:r>
          </w:p>
        </w:tc>
        <w:tc>
          <w:tcPr>
            <w:tcW w:w="788" w:type="dxa"/>
            <w:shd w:val="clear" w:color="auto" w:fill="auto"/>
            <w:vAlign w:val="top"/>
          </w:tcPr>
          <w:p w14:paraId="083A9D5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实验室名称</w:t>
            </w:r>
          </w:p>
        </w:tc>
        <w:tc>
          <w:tcPr>
            <w:tcW w:w="515" w:type="dxa"/>
            <w:shd w:val="clear" w:color="auto" w:fill="auto"/>
            <w:vAlign w:val="top"/>
          </w:tcPr>
          <w:p w14:paraId="3AC8C3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责任人及联系方式</w:t>
            </w:r>
          </w:p>
        </w:tc>
        <w:tc>
          <w:tcPr>
            <w:tcW w:w="515" w:type="dxa"/>
            <w:shd w:val="clear" w:color="auto" w:fill="auto"/>
            <w:vAlign w:val="top"/>
          </w:tcPr>
          <w:p w14:paraId="23EBEEA3">
            <w:pPr>
              <w:keepNext w:val="0"/>
              <w:keepLines w:val="0"/>
              <w:widowControl/>
              <w:suppressLineNumbers w:val="0"/>
              <w:jc w:val="both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实验室类型</w:t>
            </w:r>
          </w:p>
        </w:tc>
        <w:tc>
          <w:tcPr>
            <w:tcW w:w="542" w:type="dxa"/>
            <w:shd w:val="clear" w:color="auto" w:fill="auto"/>
            <w:vAlign w:val="top"/>
          </w:tcPr>
          <w:p w14:paraId="787DD58D">
            <w:pPr>
              <w:keepNext w:val="0"/>
              <w:keepLines w:val="0"/>
              <w:widowControl/>
              <w:suppressLineNumbers w:val="0"/>
              <w:jc w:val="both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实验室建设类型</w:t>
            </w:r>
          </w:p>
        </w:tc>
        <w:tc>
          <w:tcPr>
            <w:tcW w:w="694" w:type="dxa"/>
            <w:shd w:val="clear" w:color="auto" w:fill="auto"/>
            <w:vAlign w:val="top"/>
          </w:tcPr>
          <w:p w14:paraId="14013878">
            <w:pPr>
              <w:keepNext w:val="0"/>
              <w:keepLines w:val="0"/>
              <w:widowControl/>
              <w:suppressLineNumbers w:val="0"/>
              <w:jc w:val="both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实验室分类</w:t>
            </w:r>
          </w:p>
        </w:tc>
        <w:tc>
          <w:tcPr>
            <w:tcW w:w="2075" w:type="dxa"/>
            <w:shd w:val="clear" w:color="auto" w:fill="auto"/>
            <w:vAlign w:val="top"/>
          </w:tcPr>
          <w:p w14:paraId="1405C25B">
            <w:pPr>
              <w:keepNext w:val="0"/>
              <w:keepLines w:val="0"/>
              <w:widowControl/>
              <w:suppressLineNumbers w:val="0"/>
              <w:jc w:val="both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实验室安全等级</w:t>
            </w:r>
          </w:p>
        </w:tc>
        <w:tc>
          <w:tcPr>
            <w:tcW w:w="1972" w:type="dxa"/>
            <w:shd w:val="clear" w:color="auto" w:fill="auto"/>
            <w:vAlign w:val="top"/>
          </w:tcPr>
          <w:p w14:paraId="07597B4A">
            <w:pPr>
              <w:keepNext w:val="0"/>
              <w:keepLines w:val="0"/>
              <w:widowControl/>
              <w:suppressLineNumbers w:val="0"/>
              <w:jc w:val="both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实验室安全风险评价分数</w:t>
            </w:r>
          </w:p>
        </w:tc>
        <w:tc>
          <w:tcPr>
            <w:tcW w:w="2171" w:type="dxa"/>
            <w:shd w:val="clear" w:color="auto" w:fill="auto"/>
            <w:vAlign w:val="top"/>
          </w:tcPr>
          <w:p w14:paraId="3FCB1B4E">
            <w:pPr>
              <w:keepNext w:val="0"/>
              <w:keepLines w:val="0"/>
              <w:widowControl/>
              <w:suppressLineNumbers w:val="0"/>
              <w:jc w:val="both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最终建议评级</w:t>
            </w:r>
          </w:p>
        </w:tc>
        <w:tc>
          <w:tcPr>
            <w:tcW w:w="1271" w:type="dxa"/>
            <w:shd w:val="clear" w:color="auto" w:fill="auto"/>
            <w:noWrap/>
            <w:vAlign w:val="top"/>
          </w:tcPr>
          <w:p w14:paraId="2ECEA090">
            <w:pPr>
              <w:jc w:val="both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老师评定的等级等级</w:t>
            </w:r>
          </w:p>
        </w:tc>
        <w:tc>
          <w:tcPr>
            <w:tcW w:w="1786" w:type="dxa"/>
            <w:shd w:val="clear" w:color="auto" w:fill="auto"/>
            <w:noWrap/>
            <w:vAlign w:val="top"/>
          </w:tcPr>
          <w:p w14:paraId="3A2F4E8E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评级依据说明</w:t>
            </w:r>
          </w:p>
        </w:tc>
      </w:tr>
      <w:tr w14:paraId="44C7BC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5" w:hRule="atLeast"/>
        </w:trPr>
        <w:tc>
          <w:tcPr>
            <w:tcW w:w="947" w:type="dxa"/>
            <w:shd w:val="clear" w:color="auto" w:fill="auto"/>
            <w:vAlign w:val="top"/>
          </w:tcPr>
          <w:p w14:paraId="03C24AD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78" w:type="dxa"/>
            <w:shd w:val="clear" w:color="auto" w:fill="auto"/>
            <w:vAlign w:val="top"/>
          </w:tcPr>
          <w:p w14:paraId="455F313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88" w:type="dxa"/>
            <w:shd w:val="clear" w:color="auto" w:fill="auto"/>
            <w:vAlign w:val="top"/>
          </w:tcPr>
          <w:p w14:paraId="2E48A09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样品处理室</w:t>
            </w:r>
          </w:p>
        </w:tc>
        <w:tc>
          <w:tcPr>
            <w:tcW w:w="515" w:type="dxa"/>
            <w:shd w:val="clear" w:color="auto" w:fill="auto"/>
            <w:vAlign w:val="top"/>
          </w:tcPr>
          <w:p w14:paraId="587F9F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15" w:type="dxa"/>
            <w:shd w:val="clear" w:color="auto" w:fill="auto"/>
            <w:vAlign w:val="top"/>
          </w:tcPr>
          <w:p w14:paraId="1CE4F9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科研</w:t>
            </w:r>
          </w:p>
        </w:tc>
        <w:tc>
          <w:tcPr>
            <w:tcW w:w="542" w:type="dxa"/>
            <w:shd w:val="clear" w:color="auto" w:fill="auto"/>
            <w:vAlign w:val="top"/>
          </w:tcPr>
          <w:p w14:paraId="1C1DE93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既有</w:t>
            </w:r>
          </w:p>
        </w:tc>
        <w:tc>
          <w:tcPr>
            <w:tcW w:w="694" w:type="dxa"/>
            <w:shd w:val="clear" w:color="auto" w:fill="auto"/>
            <w:vAlign w:val="top"/>
          </w:tcPr>
          <w:p w14:paraId="5C18EC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化学类</w:t>
            </w:r>
          </w:p>
        </w:tc>
        <w:tc>
          <w:tcPr>
            <w:tcW w:w="2075" w:type="dxa"/>
            <w:shd w:val="clear" w:color="auto" w:fill="FF0000"/>
            <w:vAlign w:val="top"/>
          </w:tcPr>
          <w:p w14:paraId="7A90B3D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Ⅰ级/红色级实验室（重大风险实验室）</w:t>
            </w:r>
          </w:p>
        </w:tc>
        <w:tc>
          <w:tcPr>
            <w:tcW w:w="1972" w:type="dxa"/>
            <w:shd w:val="clear" w:color="auto" w:fill="FFFF00"/>
            <w:vAlign w:val="top"/>
          </w:tcPr>
          <w:p w14:paraId="04E6222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50分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Ⅲ级/黄色级实验室</w:t>
            </w:r>
          </w:p>
        </w:tc>
        <w:tc>
          <w:tcPr>
            <w:tcW w:w="2171" w:type="dxa"/>
            <w:shd w:val="clear" w:color="auto" w:fill="FF0000"/>
            <w:vAlign w:val="top"/>
          </w:tcPr>
          <w:p w14:paraId="32CC2B9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Ⅰ级/红色级实验室（重大风险实验室）</w:t>
            </w:r>
          </w:p>
        </w:tc>
        <w:tc>
          <w:tcPr>
            <w:tcW w:w="1271" w:type="dxa"/>
            <w:shd w:val="clear" w:color="auto" w:fill="75BD42"/>
            <w:noWrap/>
            <w:vAlign w:val="center"/>
          </w:tcPr>
          <w:p w14:paraId="288D2C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三级</w:t>
            </w:r>
          </w:p>
        </w:tc>
        <w:tc>
          <w:tcPr>
            <w:tcW w:w="1786" w:type="dxa"/>
            <w:shd w:val="clear" w:color="auto" w:fill="auto"/>
            <w:noWrap/>
            <w:vAlign w:val="center"/>
          </w:tcPr>
          <w:p w14:paraId="51439F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四氧化锇（剧毒）</w:t>
            </w:r>
          </w:p>
        </w:tc>
      </w:tr>
      <w:tr w14:paraId="601C76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5" w:hRule="atLeast"/>
        </w:trPr>
        <w:tc>
          <w:tcPr>
            <w:tcW w:w="947" w:type="dxa"/>
            <w:shd w:val="clear" w:color="auto" w:fill="auto"/>
            <w:vAlign w:val="top"/>
          </w:tcPr>
          <w:p w14:paraId="00F4C1D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78" w:type="dxa"/>
            <w:shd w:val="clear" w:color="auto" w:fill="auto"/>
            <w:vAlign w:val="top"/>
          </w:tcPr>
          <w:p w14:paraId="398CB47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</w:p>
        </w:tc>
        <w:tc>
          <w:tcPr>
            <w:tcW w:w="788" w:type="dxa"/>
            <w:shd w:val="clear" w:color="auto" w:fill="auto"/>
            <w:vAlign w:val="top"/>
          </w:tcPr>
          <w:p w14:paraId="11A76DB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扫描与透射电镜室</w:t>
            </w:r>
          </w:p>
        </w:tc>
        <w:tc>
          <w:tcPr>
            <w:tcW w:w="515" w:type="dxa"/>
            <w:shd w:val="clear" w:color="auto" w:fill="auto"/>
            <w:vAlign w:val="top"/>
          </w:tcPr>
          <w:p w14:paraId="138A5DA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</w:p>
        </w:tc>
        <w:tc>
          <w:tcPr>
            <w:tcW w:w="515" w:type="dxa"/>
            <w:shd w:val="clear" w:color="auto" w:fill="auto"/>
            <w:vAlign w:val="top"/>
          </w:tcPr>
          <w:p w14:paraId="201CC78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科研</w:t>
            </w:r>
          </w:p>
        </w:tc>
        <w:tc>
          <w:tcPr>
            <w:tcW w:w="542" w:type="dxa"/>
            <w:shd w:val="clear" w:color="auto" w:fill="auto"/>
            <w:vAlign w:val="top"/>
          </w:tcPr>
          <w:p w14:paraId="7A0F49C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既有</w:t>
            </w:r>
          </w:p>
        </w:tc>
        <w:tc>
          <w:tcPr>
            <w:tcW w:w="694" w:type="dxa"/>
            <w:shd w:val="clear" w:color="auto" w:fill="auto"/>
            <w:vAlign w:val="top"/>
          </w:tcPr>
          <w:p w14:paraId="617DAE9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其它类</w:t>
            </w:r>
          </w:p>
        </w:tc>
        <w:tc>
          <w:tcPr>
            <w:tcW w:w="2075" w:type="dxa"/>
            <w:shd w:val="clear" w:color="auto" w:fill="D2F4F2"/>
            <w:vAlign w:val="top"/>
          </w:tcPr>
          <w:p w14:paraId="3377132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IV级</w:t>
            </w:r>
            <w:r>
              <w:rPr>
                <w:rFonts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蓝色级实验室（低风险实验室）</w:t>
            </w:r>
          </w:p>
        </w:tc>
        <w:tc>
          <w:tcPr>
            <w:tcW w:w="1972" w:type="dxa"/>
            <w:shd w:val="clear" w:color="auto" w:fill="FFFF00"/>
            <w:vAlign w:val="top"/>
          </w:tcPr>
          <w:p w14:paraId="1ABD87C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25分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Ⅲ级/黄色级实验室</w:t>
            </w:r>
          </w:p>
        </w:tc>
        <w:tc>
          <w:tcPr>
            <w:tcW w:w="2171" w:type="dxa"/>
            <w:shd w:val="clear" w:color="auto" w:fill="FFFF00"/>
            <w:vAlign w:val="top"/>
          </w:tcPr>
          <w:p w14:paraId="2465F49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Ⅲ级</w:t>
            </w:r>
            <w:r>
              <w:rPr>
                <w:rFonts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黄色级实验室（中风险实验室）</w:t>
            </w:r>
          </w:p>
        </w:tc>
        <w:tc>
          <w:tcPr>
            <w:tcW w:w="1271" w:type="dxa"/>
            <w:shd w:val="clear" w:color="auto" w:fill="auto"/>
            <w:noWrap/>
            <w:vAlign w:val="center"/>
          </w:tcPr>
          <w:p w14:paraId="53A53A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三级</w:t>
            </w:r>
          </w:p>
        </w:tc>
        <w:tc>
          <w:tcPr>
            <w:tcW w:w="1786" w:type="dxa"/>
            <w:shd w:val="clear" w:color="auto" w:fill="auto"/>
            <w:noWrap/>
            <w:vAlign w:val="center"/>
          </w:tcPr>
          <w:p w14:paraId="0855EF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III类射线装置</w:t>
            </w:r>
          </w:p>
        </w:tc>
      </w:tr>
      <w:tr w14:paraId="3FCEC4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947" w:type="dxa"/>
            <w:shd w:val="clear" w:color="auto" w:fill="auto"/>
            <w:vAlign w:val="top"/>
          </w:tcPr>
          <w:p w14:paraId="2B23832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78" w:type="dxa"/>
            <w:shd w:val="clear" w:color="auto" w:fill="auto"/>
            <w:vAlign w:val="top"/>
          </w:tcPr>
          <w:p w14:paraId="48CE56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88" w:type="dxa"/>
            <w:shd w:val="clear" w:color="auto" w:fill="auto"/>
            <w:vAlign w:val="top"/>
          </w:tcPr>
          <w:p w14:paraId="233374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同位素示踪实验室</w:t>
            </w:r>
          </w:p>
        </w:tc>
        <w:tc>
          <w:tcPr>
            <w:tcW w:w="515" w:type="dxa"/>
            <w:shd w:val="clear" w:color="auto" w:fill="auto"/>
            <w:vAlign w:val="top"/>
          </w:tcPr>
          <w:p w14:paraId="13DABBF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15" w:type="dxa"/>
            <w:shd w:val="clear" w:color="auto" w:fill="auto"/>
            <w:vAlign w:val="top"/>
          </w:tcPr>
          <w:p w14:paraId="6042731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科研</w:t>
            </w:r>
          </w:p>
        </w:tc>
        <w:tc>
          <w:tcPr>
            <w:tcW w:w="542" w:type="dxa"/>
            <w:shd w:val="clear" w:color="auto" w:fill="auto"/>
            <w:vAlign w:val="top"/>
          </w:tcPr>
          <w:p w14:paraId="1EF2F06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既有</w:t>
            </w:r>
          </w:p>
        </w:tc>
        <w:tc>
          <w:tcPr>
            <w:tcW w:w="694" w:type="dxa"/>
            <w:shd w:val="clear" w:color="auto" w:fill="auto"/>
            <w:vAlign w:val="top"/>
          </w:tcPr>
          <w:p w14:paraId="200A624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辐射类</w:t>
            </w:r>
          </w:p>
        </w:tc>
        <w:tc>
          <w:tcPr>
            <w:tcW w:w="2075" w:type="dxa"/>
            <w:shd w:val="clear" w:color="auto" w:fill="FF0000"/>
            <w:vAlign w:val="top"/>
          </w:tcPr>
          <w:p w14:paraId="100A1E1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Ⅰ级/红色级实验室（重大风险实验室）</w:t>
            </w:r>
          </w:p>
        </w:tc>
        <w:tc>
          <w:tcPr>
            <w:tcW w:w="1972" w:type="dxa"/>
            <w:shd w:val="clear" w:color="auto" w:fill="D2F4F2"/>
            <w:vAlign w:val="top"/>
          </w:tcPr>
          <w:p w14:paraId="4248492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0分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IV级/蓝色级实验室</w:t>
            </w:r>
          </w:p>
        </w:tc>
        <w:tc>
          <w:tcPr>
            <w:tcW w:w="2171" w:type="dxa"/>
            <w:shd w:val="clear" w:color="auto" w:fill="FF0000"/>
            <w:vAlign w:val="top"/>
          </w:tcPr>
          <w:p w14:paraId="38D8BDC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Ⅰ级/红色级实验室（重大风险实验室）</w:t>
            </w:r>
          </w:p>
        </w:tc>
        <w:tc>
          <w:tcPr>
            <w:tcW w:w="1271" w:type="dxa"/>
            <w:shd w:val="clear" w:color="auto" w:fill="75BD42"/>
            <w:noWrap/>
            <w:vAlign w:val="center"/>
          </w:tcPr>
          <w:p w14:paraId="2D9E14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四级</w:t>
            </w:r>
          </w:p>
        </w:tc>
        <w:tc>
          <w:tcPr>
            <w:tcW w:w="1786" w:type="dxa"/>
            <w:shd w:val="clear" w:color="auto" w:fill="auto"/>
            <w:noWrap/>
            <w:vAlign w:val="center"/>
          </w:tcPr>
          <w:p w14:paraId="3B9BC7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放射性同位素仪器</w:t>
            </w:r>
          </w:p>
        </w:tc>
      </w:tr>
      <w:tr w14:paraId="6A4A89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947" w:type="dxa"/>
            <w:shd w:val="clear" w:color="auto" w:fill="auto"/>
            <w:vAlign w:val="top"/>
          </w:tcPr>
          <w:p w14:paraId="0EFDE82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78" w:type="dxa"/>
            <w:shd w:val="clear" w:color="auto" w:fill="auto"/>
            <w:vAlign w:val="top"/>
          </w:tcPr>
          <w:p w14:paraId="106D484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88" w:type="dxa"/>
            <w:shd w:val="clear" w:color="auto" w:fill="auto"/>
            <w:vAlign w:val="top"/>
          </w:tcPr>
          <w:p w14:paraId="7DA6DA1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动物房</w:t>
            </w:r>
          </w:p>
        </w:tc>
        <w:tc>
          <w:tcPr>
            <w:tcW w:w="515" w:type="dxa"/>
            <w:shd w:val="clear" w:color="auto" w:fill="auto"/>
            <w:vAlign w:val="top"/>
          </w:tcPr>
          <w:p w14:paraId="1065D8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515" w:type="dxa"/>
            <w:shd w:val="clear" w:color="auto" w:fill="auto"/>
            <w:vAlign w:val="top"/>
          </w:tcPr>
          <w:p w14:paraId="3125440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科研</w:t>
            </w:r>
          </w:p>
        </w:tc>
        <w:tc>
          <w:tcPr>
            <w:tcW w:w="542" w:type="dxa"/>
            <w:shd w:val="clear" w:color="auto" w:fill="auto"/>
            <w:vAlign w:val="top"/>
          </w:tcPr>
          <w:p w14:paraId="6249B6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既有</w:t>
            </w:r>
          </w:p>
        </w:tc>
        <w:tc>
          <w:tcPr>
            <w:tcW w:w="694" w:type="dxa"/>
            <w:shd w:val="clear" w:color="auto" w:fill="auto"/>
            <w:vAlign w:val="top"/>
          </w:tcPr>
          <w:p w14:paraId="5B338ED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生物类</w:t>
            </w:r>
          </w:p>
        </w:tc>
        <w:tc>
          <w:tcPr>
            <w:tcW w:w="2075" w:type="dxa"/>
            <w:shd w:val="clear" w:color="auto" w:fill="EE822F"/>
            <w:vAlign w:val="top"/>
          </w:tcPr>
          <w:p w14:paraId="1AC0F25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Ⅱ级/橙色级实验室（高风险实验室）</w:t>
            </w:r>
          </w:p>
        </w:tc>
        <w:tc>
          <w:tcPr>
            <w:tcW w:w="1972" w:type="dxa"/>
            <w:shd w:val="clear" w:color="auto" w:fill="D2F4F2"/>
            <w:vAlign w:val="top"/>
          </w:tcPr>
          <w:p w14:paraId="2C6AB49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0分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IV级/蓝色级实验室</w:t>
            </w:r>
          </w:p>
        </w:tc>
        <w:tc>
          <w:tcPr>
            <w:tcW w:w="2171" w:type="dxa"/>
            <w:shd w:val="clear" w:color="auto" w:fill="EE822F"/>
            <w:vAlign w:val="top"/>
          </w:tcPr>
          <w:p w14:paraId="5CD8067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Ⅱ级/橙色级实验室（高风险实验室）</w:t>
            </w:r>
          </w:p>
        </w:tc>
        <w:tc>
          <w:tcPr>
            <w:tcW w:w="1271" w:type="dxa"/>
            <w:shd w:val="clear" w:color="auto" w:fill="auto"/>
            <w:noWrap/>
            <w:vAlign w:val="center"/>
          </w:tcPr>
          <w:p w14:paraId="111832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二级</w:t>
            </w:r>
          </w:p>
        </w:tc>
        <w:tc>
          <w:tcPr>
            <w:tcW w:w="1786" w:type="dxa"/>
            <w:shd w:val="clear" w:color="auto" w:fill="auto"/>
            <w:noWrap/>
            <w:vAlign w:val="center"/>
          </w:tcPr>
          <w:p w14:paraId="707781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ABSL-2</w:t>
            </w:r>
          </w:p>
        </w:tc>
      </w:tr>
      <w:tr w14:paraId="61DCF5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" w:hRule="atLeast"/>
        </w:trPr>
        <w:tc>
          <w:tcPr>
            <w:tcW w:w="947" w:type="dxa"/>
            <w:shd w:val="clear" w:color="auto" w:fill="auto"/>
            <w:vAlign w:val="top"/>
          </w:tcPr>
          <w:p w14:paraId="04FB7C0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78" w:type="dxa"/>
            <w:shd w:val="clear" w:color="auto" w:fill="auto"/>
            <w:vAlign w:val="top"/>
          </w:tcPr>
          <w:p w14:paraId="14940B2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88" w:type="dxa"/>
            <w:shd w:val="clear" w:color="auto" w:fill="auto"/>
            <w:vAlign w:val="top"/>
          </w:tcPr>
          <w:p w14:paraId="4F6AC99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核磁室</w:t>
            </w:r>
          </w:p>
        </w:tc>
        <w:tc>
          <w:tcPr>
            <w:tcW w:w="515" w:type="dxa"/>
            <w:shd w:val="clear" w:color="auto" w:fill="auto"/>
            <w:vAlign w:val="top"/>
          </w:tcPr>
          <w:p w14:paraId="70A9FB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</w:p>
        </w:tc>
        <w:tc>
          <w:tcPr>
            <w:tcW w:w="515" w:type="dxa"/>
            <w:shd w:val="clear" w:color="auto" w:fill="auto"/>
            <w:vAlign w:val="top"/>
          </w:tcPr>
          <w:p w14:paraId="076BC8F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科研</w:t>
            </w:r>
          </w:p>
        </w:tc>
        <w:tc>
          <w:tcPr>
            <w:tcW w:w="542" w:type="dxa"/>
            <w:shd w:val="clear" w:color="auto" w:fill="auto"/>
            <w:vAlign w:val="top"/>
          </w:tcPr>
          <w:p w14:paraId="6B31604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既有</w:t>
            </w:r>
          </w:p>
        </w:tc>
        <w:tc>
          <w:tcPr>
            <w:tcW w:w="694" w:type="dxa"/>
            <w:shd w:val="clear" w:color="auto" w:fill="auto"/>
            <w:vAlign w:val="top"/>
          </w:tcPr>
          <w:p w14:paraId="6C3CB7C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化学类</w:t>
            </w:r>
          </w:p>
        </w:tc>
        <w:tc>
          <w:tcPr>
            <w:tcW w:w="2075" w:type="dxa"/>
            <w:shd w:val="clear" w:color="auto" w:fill="FF0000"/>
            <w:vAlign w:val="top"/>
          </w:tcPr>
          <w:p w14:paraId="3888C0E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Ⅰ级/红色级实验室（重大风险实验室）</w:t>
            </w:r>
          </w:p>
        </w:tc>
        <w:tc>
          <w:tcPr>
            <w:tcW w:w="1972" w:type="dxa"/>
            <w:shd w:val="clear" w:color="auto" w:fill="D2F4F2"/>
            <w:vAlign w:val="top"/>
          </w:tcPr>
          <w:p w14:paraId="52AF8ED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IV级/蓝色级实验室</w:t>
            </w:r>
          </w:p>
        </w:tc>
        <w:tc>
          <w:tcPr>
            <w:tcW w:w="2171" w:type="dxa"/>
            <w:shd w:val="clear" w:color="auto" w:fill="FF0000"/>
            <w:vAlign w:val="top"/>
          </w:tcPr>
          <w:p w14:paraId="2DBC45B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Ⅰ级/红色级实验室（重大风险实验室）</w:t>
            </w:r>
          </w:p>
        </w:tc>
        <w:tc>
          <w:tcPr>
            <w:tcW w:w="1271" w:type="dxa"/>
            <w:shd w:val="clear" w:color="auto" w:fill="75BD42"/>
            <w:noWrap/>
            <w:vAlign w:val="center"/>
          </w:tcPr>
          <w:p w14:paraId="4D8308D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四级</w:t>
            </w:r>
          </w:p>
        </w:tc>
        <w:tc>
          <w:tcPr>
            <w:tcW w:w="1786" w:type="dxa"/>
            <w:shd w:val="clear" w:color="auto" w:fill="auto"/>
            <w:noWrap/>
            <w:vAlign w:val="center"/>
          </w:tcPr>
          <w:p w14:paraId="43EEF5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磁场》14.09属于超强磁</w:t>
            </w:r>
          </w:p>
        </w:tc>
      </w:tr>
    </w:tbl>
    <w:p w14:paraId="7252F2A6">
      <w:pPr>
        <w:rPr>
          <w:rFonts w:hint="default"/>
          <w:lang w:val="en-US" w:eastAsia="zh-CN"/>
        </w:rPr>
      </w:pPr>
    </w:p>
    <w:p w14:paraId="24A689E4">
      <w:pPr>
        <w:numPr>
          <w:ilvl w:val="0"/>
          <w:numId w:val="0"/>
        </w:numPr>
        <w:adjustRightInd w:val="0"/>
        <w:snapToGrid w:val="0"/>
        <w:spacing w:line="560" w:lineRule="exact"/>
        <w:rPr>
          <w:rFonts w:hint="default" w:ascii="仿宋_GB2312" w:hAnsi="Tahoma" w:eastAsia="仿宋_GB2312" w:cs="Tahoma"/>
          <w:sz w:val="32"/>
          <w:szCs w:val="32"/>
          <w:lang w:val="en-US" w:eastAsia="zh-CN"/>
        </w:rPr>
      </w:pPr>
    </w:p>
    <w:p w14:paraId="3D799522"/>
    <w:sectPr>
      <w:pgSz w:w="16838" w:h="11911" w:orient="landscape"/>
      <w:pgMar w:top="998" w:right="862" w:bottom="1514" w:left="862" w:header="0" w:footer="1145" w:gutter="0"/>
      <w:cols w:space="0" w:num="1"/>
      <w:rtlGutter w:val="0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B5F04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2025-04-11T08:15:27Z</dcterms:created>
  <dc:creator>acer</dc:creator>
  <cp:lastModifiedBy>acer</cp:lastModifiedBy>
  <dcterms:modified xsi:type="dcterms:W3CDTF">2025-04-11T08:16:25Z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DocerSaveRecord">
    <vt:lpwstr>eyJoZGlkIjoiZTA3NzFhMGUwZDRlMDI3OGYyMDY4OWY5ZDViNjE5MjAiLCJ1c2VySWQiOiI0NzgzNzQ2MDgifQ==</vt:lpwstr>
  </property>
  <property fmtid="{D5CDD505-2E9C-101B-9397-08002B2CF9AE}" pid="4" name="ICV">
    <vt:lpwstr>9767E935D3C74E0981A3F903E2BADC0B_12</vt:lpwstr>
  </property>
</Properties>
</file>