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F68">
      <w:pPr>
        <w:pStyle w:val="25"/>
        <w:ind w:firstLine="0" w:firstLineChars="0"/>
        <w:rPr>
          <w:rFonts w:hAnsi="宋体" w:cs="宋体"/>
          <w:b/>
          <w:bCs/>
          <w:color w:val="auto"/>
          <w:sz w:val="48"/>
          <w:szCs w:val="48"/>
          <w:highlight w:val="none"/>
        </w:rPr>
      </w:pPr>
      <w:bookmarkStart w:id="0" w:name="OLE_LINK1"/>
      <w:bookmarkStart w:id="1" w:name="OLE_LINK2"/>
      <w:bookmarkStart w:id="2" w:name="OLE_LINK3"/>
      <w:bookmarkStart w:id="3" w:name="OLE_LINK4"/>
    </w:p>
    <w:p w14:paraId="73634926">
      <w:pPr>
        <w:spacing w:before="162" w:beforeLines="50" w:after="162" w:afterLines="50" w:line="400" w:lineRule="atLeast"/>
        <w:jc w:val="center"/>
        <w:rPr>
          <w:rFonts w:hAnsi="宋体" w:cs="宋体"/>
          <w:b/>
          <w:bCs/>
          <w:color w:val="auto"/>
          <w:sz w:val="48"/>
          <w:szCs w:val="48"/>
          <w:highlight w:val="none"/>
        </w:rPr>
      </w:pPr>
      <w:bookmarkStart w:id="4" w:name="_Toc11523"/>
      <w:r>
        <w:rPr>
          <w:rFonts w:hint="eastAsia" w:hAnsi="宋体" w:cs="宋体"/>
          <w:b/>
          <w:bCs/>
          <w:color w:val="auto"/>
          <w:sz w:val="48"/>
          <w:szCs w:val="48"/>
          <w:highlight w:val="none"/>
        </w:rPr>
        <w:t>滁州学院2024年经管学院会议室设备采购及安装</w:t>
      </w:r>
    </w:p>
    <w:p w14:paraId="36EF3DBA">
      <w:pPr>
        <w:spacing w:before="162" w:beforeLines="50" w:after="162" w:afterLines="50" w:line="400" w:lineRule="atLeast"/>
        <w:jc w:val="center"/>
        <w:outlineLvl w:val="0"/>
        <w:rPr>
          <w:rFonts w:ascii="宋体" w:hAnsi="宋体" w:cs="宋体"/>
          <w:b/>
          <w:bCs/>
          <w:color w:val="auto"/>
          <w:sz w:val="24"/>
          <w:szCs w:val="16"/>
          <w:highlight w:val="none"/>
        </w:rPr>
      </w:pPr>
    </w:p>
    <w:p w14:paraId="42FA1909">
      <w:pPr>
        <w:spacing w:before="162" w:beforeLines="50" w:after="162" w:afterLines="50" w:line="400" w:lineRule="atLeast"/>
        <w:jc w:val="center"/>
        <w:outlineLvl w:val="0"/>
        <w:rPr>
          <w:rFonts w:ascii="宋体" w:hAnsi="宋体" w:cs="宋体"/>
          <w:b/>
          <w:bCs/>
          <w:color w:val="auto"/>
          <w:sz w:val="44"/>
          <w:highlight w:val="none"/>
        </w:rPr>
      </w:pPr>
      <w:r>
        <w:rPr>
          <w:rFonts w:hint="eastAsia" w:ascii="宋体" w:hAnsi="宋体" w:cs="宋体"/>
          <w:b/>
          <w:bCs/>
          <w:color w:val="auto"/>
          <w:sz w:val="24"/>
          <w:szCs w:val="16"/>
          <w:highlight w:val="none"/>
        </w:rPr>
        <w:t>项目编号：</w:t>
      </w:r>
      <w:bookmarkEnd w:id="4"/>
      <w:r>
        <w:rPr>
          <w:rFonts w:hint="eastAsia" w:ascii="宋体" w:hAnsi="宋体" w:cs="宋体"/>
          <w:b/>
          <w:bCs/>
          <w:color w:val="auto"/>
          <w:sz w:val="24"/>
          <w:szCs w:val="16"/>
          <w:highlight w:val="none"/>
        </w:rPr>
        <w:t>2024CG-059</w:t>
      </w:r>
    </w:p>
    <w:p w14:paraId="0F9F4D35">
      <w:pPr>
        <w:spacing w:line="400" w:lineRule="atLeast"/>
        <w:rPr>
          <w:rFonts w:ascii="宋体" w:hAnsi="宋体" w:cs="宋体"/>
          <w:b/>
          <w:color w:val="auto"/>
          <w:sz w:val="52"/>
          <w:szCs w:val="52"/>
          <w:highlight w:val="none"/>
        </w:rPr>
      </w:pPr>
    </w:p>
    <w:p w14:paraId="6D61A30C">
      <w:pPr>
        <w:jc w:val="center"/>
        <w:outlineLvl w:val="0"/>
        <w:rPr>
          <w:rFonts w:ascii="宋体" w:hAnsi="宋体"/>
          <w:b/>
          <w:color w:val="auto"/>
          <w:sz w:val="84"/>
          <w:szCs w:val="84"/>
          <w:highlight w:val="none"/>
        </w:rPr>
      </w:pPr>
      <w:bookmarkStart w:id="5" w:name="_Toc3846"/>
      <w:r>
        <w:rPr>
          <w:rFonts w:hint="eastAsia" w:ascii="宋体" w:hAnsi="宋体"/>
          <w:b/>
          <w:color w:val="auto"/>
          <w:sz w:val="84"/>
          <w:szCs w:val="84"/>
          <w:highlight w:val="none"/>
        </w:rPr>
        <w:t>采</w:t>
      </w:r>
      <w:bookmarkEnd w:id="5"/>
    </w:p>
    <w:p w14:paraId="55B8F76C">
      <w:pPr>
        <w:jc w:val="center"/>
        <w:outlineLvl w:val="0"/>
        <w:rPr>
          <w:rFonts w:ascii="宋体" w:hAnsi="宋体"/>
          <w:b/>
          <w:color w:val="auto"/>
          <w:sz w:val="84"/>
          <w:szCs w:val="84"/>
          <w:highlight w:val="none"/>
        </w:rPr>
      </w:pPr>
      <w:bookmarkStart w:id="6" w:name="_Toc19802"/>
      <w:r>
        <w:rPr>
          <w:rFonts w:hint="eastAsia" w:ascii="宋体" w:hAnsi="宋体"/>
          <w:b/>
          <w:color w:val="auto"/>
          <w:sz w:val="84"/>
          <w:szCs w:val="84"/>
          <w:highlight w:val="none"/>
        </w:rPr>
        <w:t>购</w:t>
      </w:r>
      <w:bookmarkEnd w:id="6"/>
    </w:p>
    <w:p w14:paraId="33F8D203">
      <w:pPr>
        <w:jc w:val="center"/>
        <w:outlineLvl w:val="0"/>
        <w:rPr>
          <w:rFonts w:ascii="宋体" w:hAnsi="宋体"/>
          <w:b/>
          <w:color w:val="auto"/>
          <w:sz w:val="84"/>
          <w:szCs w:val="84"/>
          <w:highlight w:val="none"/>
        </w:rPr>
      </w:pPr>
      <w:bookmarkStart w:id="7" w:name="_Toc6456"/>
      <w:r>
        <w:rPr>
          <w:rFonts w:hint="eastAsia" w:ascii="宋体" w:hAnsi="宋体"/>
          <w:b/>
          <w:color w:val="auto"/>
          <w:sz w:val="84"/>
          <w:szCs w:val="84"/>
          <w:highlight w:val="none"/>
        </w:rPr>
        <w:t>文</w:t>
      </w:r>
      <w:bookmarkEnd w:id="7"/>
    </w:p>
    <w:p w14:paraId="6B9D8684">
      <w:pPr>
        <w:jc w:val="center"/>
        <w:outlineLvl w:val="0"/>
        <w:rPr>
          <w:rFonts w:ascii="宋体"/>
          <w:color w:val="auto"/>
          <w:sz w:val="28"/>
          <w:szCs w:val="28"/>
          <w:highlight w:val="none"/>
        </w:rPr>
      </w:pPr>
      <w:bookmarkStart w:id="8" w:name="_Toc17725"/>
      <w:r>
        <w:rPr>
          <w:rFonts w:hint="eastAsia" w:ascii="宋体" w:hAnsi="宋体"/>
          <w:b/>
          <w:color w:val="auto"/>
          <w:sz w:val="84"/>
          <w:szCs w:val="84"/>
          <w:highlight w:val="none"/>
        </w:rPr>
        <w:t>件</w:t>
      </w:r>
      <w:bookmarkEnd w:id="8"/>
    </w:p>
    <w:p w14:paraId="153E7675">
      <w:pPr>
        <w:spacing w:line="480" w:lineRule="exact"/>
        <w:rPr>
          <w:rFonts w:ascii="宋体" w:hAnsi="宋体" w:cs="宋体"/>
          <w:b/>
          <w:bCs/>
          <w:color w:val="auto"/>
          <w:sz w:val="32"/>
          <w:highlight w:val="none"/>
        </w:rPr>
      </w:pPr>
    </w:p>
    <w:p w14:paraId="18532DC3">
      <w:pPr>
        <w:spacing w:line="480" w:lineRule="exact"/>
        <w:ind w:firstLine="472" w:firstLineChars="147"/>
        <w:rPr>
          <w:rFonts w:ascii="宋体" w:hAnsi="宋体" w:cs="宋体"/>
          <w:b/>
          <w:bCs/>
          <w:color w:val="auto"/>
          <w:sz w:val="32"/>
          <w:highlight w:val="none"/>
        </w:rPr>
      </w:pPr>
    </w:p>
    <w:p w14:paraId="4A0F61B7">
      <w:pPr>
        <w:spacing w:line="480" w:lineRule="exact"/>
        <w:ind w:firstLine="472" w:firstLineChars="147"/>
        <w:rPr>
          <w:rFonts w:ascii="宋体" w:hAnsi="宋体" w:cs="宋体"/>
          <w:b/>
          <w:bCs/>
          <w:color w:val="auto"/>
          <w:sz w:val="32"/>
          <w:highlight w:val="none"/>
        </w:rPr>
      </w:pPr>
    </w:p>
    <w:p w14:paraId="4B247515">
      <w:pPr>
        <w:spacing w:line="480" w:lineRule="exact"/>
        <w:ind w:firstLine="472" w:firstLineChars="147"/>
        <w:rPr>
          <w:rFonts w:ascii="宋体" w:hAnsi="宋体" w:cs="宋体"/>
          <w:b/>
          <w:bCs/>
          <w:color w:val="auto"/>
          <w:sz w:val="32"/>
          <w:highlight w:val="none"/>
        </w:rPr>
      </w:pPr>
    </w:p>
    <w:p w14:paraId="50AC8B08">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资产与实验室管理处    （盖章）</w:t>
      </w:r>
    </w:p>
    <w:p w14:paraId="065E9B09">
      <w:pPr>
        <w:spacing w:before="162" w:beforeLines="50" w:after="162" w:afterLines="50" w:line="440" w:lineRule="exact"/>
        <w:jc w:val="center"/>
        <w:outlineLvl w:val="0"/>
        <w:rPr>
          <w:rFonts w:ascii="宋体" w:hAnsi="宋体" w:cs="宋体"/>
          <w:b/>
          <w:color w:val="auto"/>
          <w:sz w:val="28"/>
          <w:szCs w:val="28"/>
          <w:highlight w:val="none"/>
          <w:u w:val="single"/>
        </w:rPr>
      </w:pPr>
      <w:bookmarkStart w:id="9"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安徽立地工程咨询有限公司  （盖章）</w:t>
      </w:r>
      <w:bookmarkEnd w:id="9"/>
    </w:p>
    <w:p w14:paraId="766E55AC">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2024年1</w:t>
      </w:r>
      <w:r>
        <w:rPr>
          <w:rFonts w:hint="eastAsia" w:ascii="宋体" w:hAnsi="宋体" w:cs="宋体"/>
          <w:b/>
          <w:color w:val="auto"/>
          <w:sz w:val="28"/>
          <w:szCs w:val="28"/>
          <w:highlight w:val="none"/>
          <w:u w:val="single"/>
          <w:lang w:val="en-US" w:eastAsia="zh-CN"/>
        </w:rPr>
        <w:t>2</w:t>
      </w:r>
      <w:r>
        <w:rPr>
          <w:rFonts w:hint="eastAsia" w:ascii="宋体" w:hAnsi="宋体" w:cs="宋体"/>
          <w:b/>
          <w:color w:val="auto"/>
          <w:sz w:val="28"/>
          <w:szCs w:val="28"/>
          <w:highlight w:val="none"/>
          <w:u w:val="single"/>
        </w:rPr>
        <w:t>月</w:t>
      </w:r>
    </w:p>
    <w:p w14:paraId="01D9AA8A">
      <w:pPr>
        <w:adjustRightInd w:val="0"/>
        <w:snapToGrid w:val="0"/>
        <w:spacing w:line="460" w:lineRule="exact"/>
        <w:jc w:val="center"/>
        <w:rPr>
          <w:rFonts w:ascii="宋体" w:hAnsi="宋体" w:cs="宋体"/>
          <w:b/>
          <w:color w:val="auto"/>
          <w:sz w:val="32"/>
          <w:szCs w:val="32"/>
          <w:highlight w:val="none"/>
        </w:rPr>
      </w:pPr>
      <w:bookmarkStart w:id="10" w:name="_Toc23582"/>
    </w:p>
    <w:p w14:paraId="167017C6">
      <w:pPr>
        <w:adjustRightInd w:val="0"/>
        <w:snapToGrid w:val="0"/>
        <w:spacing w:line="460" w:lineRule="exact"/>
        <w:jc w:val="center"/>
        <w:rPr>
          <w:rFonts w:ascii="宋体" w:hAnsi="宋体" w:cs="宋体"/>
          <w:b/>
          <w:color w:val="auto"/>
          <w:sz w:val="32"/>
          <w:szCs w:val="32"/>
          <w:highlight w:val="none"/>
        </w:rPr>
      </w:pPr>
    </w:p>
    <w:p w14:paraId="4C196AA3">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10"/>
    </w:p>
    <w:p w14:paraId="061CC5E9">
      <w:pPr>
        <w:pStyle w:val="71"/>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18E13531">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采购招标公告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C25F76">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5D4F05B">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515BFA2">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E6564E4">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DC8421">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_Toc30219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30C59EDC">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286C3298">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_Toc15676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9DDAE6F">
      <w:pPr>
        <w:rPr>
          <w:rFonts w:ascii="宋体" w:hAnsi="宋体" w:cs="宋体"/>
          <w:color w:val="auto"/>
          <w:sz w:val="24"/>
          <w:highlight w:val="none"/>
        </w:rPr>
      </w:pPr>
      <w:r>
        <w:rPr>
          <w:rFonts w:hint="eastAsia" w:ascii="宋体" w:hAnsi="宋体" w:cs="宋体"/>
          <w:color w:val="auto"/>
          <w:highlight w:val="none"/>
        </w:rPr>
        <w:fldChar w:fldCharType="end"/>
      </w:r>
    </w:p>
    <w:p w14:paraId="2879C186">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62020C6B">
      <w:pPr>
        <w:rPr>
          <w:rFonts w:ascii="宋体" w:hAnsi="宋体" w:cs="宋体"/>
          <w:b/>
          <w:color w:val="auto"/>
          <w:sz w:val="32"/>
          <w:highlight w:val="none"/>
        </w:rPr>
      </w:pPr>
    </w:p>
    <w:p w14:paraId="03A33D71">
      <w:pPr>
        <w:rPr>
          <w:rFonts w:ascii="宋体" w:hAnsi="宋体" w:cs="宋体"/>
          <w:b/>
          <w:color w:val="auto"/>
          <w:sz w:val="32"/>
          <w:highlight w:val="none"/>
        </w:rPr>
      </w:pPr>
    </w:p>
    <w:p w14:paraId="2878BFFD">
      <w:pPr>
        <w:rPr>
          <w:rFonts w:ascii="宋体" w:hAnsi="宋体" w:cs="宋体"/>
          <w:b/>
          <w:color w:val="auto"/>
          <w:sz w:val="32"/>
          <w:highlight w:val="none"/>
        </w:rPr>
      </w:pPr>
    </w:p>
    <w:p w14:paraId="3B6A1FA2">
      <w:pPr>
        <w:rPr>
          <w:rFonts w:ascii="宋体" w:hAnsi="宋体" w:cs="宋体"/>
          <w:b/>
          <w:color w:val="auto"/>
          <w:sz w:val="32"/>
          <w:highlight w:val="none"/>
        </w:rPr>
      </w:pPr>
    </w:p>
    <w:p w14:paraId="714C51B5">
      <w:pPr>
        <w:pStyle w:val="2"/>
        <w:keepLines w:val="0"/>
        <w:pageBreakBefore/>
        <w:spacing w:before="162" w:beforeLines="50" w:after="162" w:afterLines="50" w:line="440" w:lineRule="exact"/>
        <w:jc w:val="center"/>
        <w:rPr>
          <w:rFonts w:ascii="宋体" w:hAnsi="宋体" w:cs="宋体"/>
          <w:color w:val="auto"/>
          <w:sz w:val="32"/>
          <w:szCs w:val="32"/>
          <w:highlight w:val="none"/>
        </w:rPr>
      </w:pPr>
      <w:bookmarkStart w:id="11" w:name="_Toc24626"/>
      <w:r>
        <w:rPr>
          <w:rFonts w:hint="eastAsia" w:ascii="宋体" w:hAnsi="宋体" w:cs="宋体"/>
          <w:color w:val="auto"/>
          <w:sz w:val="32"/>
          <w:szCs w:val="32"/>
          <w:highlight w:val="none"/>
        </w:rPr>
        <w:t>滁州学院2024年经管学院会议室设备采购及安装招标公告</w:t>
      </w:r>
      <w:bookmarkEnd w:id="11"/>
    </w:p>
    <w:p w14:paraId="17E76E03">
      <w:pPr>
        <w:spacing w:before="162" w:beforeLines="50" w:after="162" w:afterLines="50" w:line="440" w:lineRule="exact"/>
        <w:jc w:val="left"/>
        <w:outlineLvl w:val="0"/>
        <w:rPr>
          <w:rFonts w:ascii="黑体" w:hAnsi="黑体" w:eastAsia="黑体" w:cs="黑体"/>
          <w:b/>
          <w:bCs/>
          <w:color w:val="auto"/>
          <w:szCs w:val="21"/>
          <w:highlight w:val="none"/>
        </w:rPr>
      </w:pPr>
      <w:bookmarkStart w:id="12" w:name="_Toc4542"/>
      <w:r>
        <w:rPr>
          <w:rFonts w:hint="eastAsia" w:ascii="黑体" w:hAnsi="黑体" w:eastAsia="黑体" w:cs="黑体"/>
          <w:b/>
          <w:bCs/>
          <w:color w:val="auto"/>
          <w:szCs w:val="21"/>
          <w:highlight w:val="none"/>
        </w:rPr>
        <w:t>项目概况</w:t>
      </w:r>
      <w:bookmarkEnd w:id="12"/>
    </w:p>
    <w:p w14:paraId="24743A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滁州学院2024年经管学院会议室设备采购及安装的潜在投标供应商应在滁州学院网站（http://zcc.chzu.edu.cn）资产与实验室管理处网页采购公告栏中下载文件。并于</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3</w:t>
      </w:r>
      <w:r>
        <w:rPr>
          <w:rFonts w:hint="eastAsia" w:ascii="黑体" w:hAnsi="黑体" w:eastAsia="黑体" w:cs="黑体"/>
          <w:b/>
          <w:bCs/>
          <w:color w:val="auto"/>
          <w:szCs w:val="21"/>
          <w:highlight w:val="none"/>
          <w:lang w:eastAsia="zh-CN"/>
        </w:rPr>
        <w:t>日15时00分</w:t>
      </w:r>
      <w:r>
        <w:rPr>
          <w:rFonts w:hint="eastAsia" w:ascii="宋体" w:hAnsi="宋体" w:cs="宋体"/>
          <w:color w:val="auto"/>
          <w:szCs w:val="21"/>
          <w:highlight w:val="none"/>
        </w:rPr>
        <w:t>（北京时间）前递交投标文件。</w:t>
      </w:r>
      <w:bookmarkStart w:id="13" w:name="_Toc35393621"/>
      <w:bookmarkStart w:id="14" w:name="_Toc28359079"/>
      <w:bookmarkStart w:id="15" w:name="_Toc5872"/>
      <w:bookmarkStart w:id="16" w:name="_Toc35393790"/>
      <w:bookmarkStart w:id="17" w:name="_Toc28359002"/>
      <w:bookmarkStart w:id="18" w:name="_Hlk24379207"/>
    </w:p>
    <w:p w14:paraId="19EB0523">
      <w:pPr>
        <w:spacing w:before="162" w:beforeLines="50" w:after="162" w:afterLines="50" w:line="440" w:lineRule="exact"/>
        <w:jc w:val="left"/>
        <w:outlineLvl w:val="1"/>
        <w:rPr>
          <w:rFonts w:ascii="黑体" w:hAnsi="黑体" w:eastAsia="黑体" w:cs="黑体"/>
          <w:b/>
          <w:bCs/>
          <w:color w:val="auto"/>
          <w:szCs w:val="21"/>
          <w:highlight w:val="none"/>
        </w:rPr>
      </w:pPr>
      <w:bookmarkStart w:id="19" w:name="_Toc10806"/>
      <w:r>
        <w:rPr>
          <w:rFonts w:hint="eastAsia" w:ascii="黑体" w:hAnsi="黑体" w:eastAsia="黑体" w:cs="黑体"/>
          <w:b/>
          <w:bCs/>
          <w:color w:val="auto"/>
          <w:szCs w:val="21"/>
          <w:highlight w:val="none"/>
        </w:rPr>
        <w:t>一、项目基本情况</w:t>
      </w:r>
      <w:bookmarkEnd w:id="13"/>
      <w:bookmarkEnd w:id="14"/>
      <w:bookmarkEnd w:id="15"/>
      <w:bookmarkEnd w:id="16"/>
      <w:bookmarkEnd w:id="17"/>
      <w:bookmarkEnd w:id="19"/>
    </w:p>
    <w:p w14:paraId="6830D46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highlight w:val="none"/>
        </w:rPr>
        <w:t>2024CG-059</w:t>
      </w:r>
    </w:p>
    <w:p w14:paraId="345222BB">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项目名称：</w:t>
      </w:r>
      <w:bookmarkEnd w:id="18"/>
      <w:r>
        <w:rPr>
          <w:rFonts w:hint="eastAsia"/>
          <w:b w:val="0"/>
          <w:bCs w:val="0"/>
          <w:color w:val="auto"/>
          <w:kern w:val="2"/>
          <w:sz w:val="21"/>
          <w:szCs w:val="21"/>
          <w:highlight w:val="none"/>
          <w:lang w:val="en-US" w:bidi="ar-SA"/>
        </w:rPr>
        <w:t xml:space="preserve">滁州学院2024年经管学院会议室设备采购及安装    </w:t>
      </w:r>
    </w:p>
    <w:p w14:paraId="4E0B1E33">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项目预算：28.5万元</w:t>
      </w:r>
    </w:p>
    <w:p w14:paraId="1B92623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最高限价：贰拾捌万伍仟元整（285000.00元）</w:t>
      </w:r>
      <w:r>
        <w:rPr>
          <w:rFonts w:hint="eastAsia" w:ascii="宋体" w:hAnsi="宋体" w:cs="宋体"/>
          <w:color w:val="auto"/>
          <w:sz w:val="22"/>
          <w:szCs w:val="22"/>
          <w:highlight w:val="none"/>
          <w:u w:color="000000"/>
        </w:rPr>
        <w:t>，</w:t>
      </w:r>
      <w:r>
        <w:rPr>
          <w:rFonts w:hint="eastAsia" w:ascii="宋体" w:hAnsi="宋体" w:cs="宋体"/>
          <w:color w:val="auto"/>
          <w:highlight w:val="none"/>
        </w:rPr>
        <w:t>供应商的响应报价不得高于采购人发布的最高限价，</w:t>
      </w:r>
      <w:r>
        <w:rPr>
          <w:rFonts w:hint="eastAsia" w:ascii="宋体" w:hAnsi="宋体" w:cs="宋体"/>
          <w:color w:val="auto"/>
          <w:szCs w:val="21"/>
          <w:highlight w:val="none"/>
        </w:rPr>
        <w:t>且综合单价不得高于采购人设置的综合单价最高限价，</w:t>
      </w:r>
      <w:r>
        <w:rPr>
          <w:rFonts w:hint="eastAsia" w:ascii="宋体" w:hAnsi="宋体" w:cs="宋体"/>
          <w:color w:val="auto"/>
          <w:highlight w:val="none"/>
        </w:rPr>
        <w:t>否则按无效标处理</w:t>
      </w:r>
      <w:r>
        <w:rPr>
          <w:rFonts w:hint="eastAsia" w:ascii="宋体" w:hAnsi="宋体" w:cs="宋体"/>
          <w:color w:val="auto"/>
          <w:szCs w:val="21"/>
          <w:highlight w:val="none"/>
        </w:rPr>
        <w:t>。</w:t>
      </w:r>
    </w:p>
    <w:p w14:paraId="59CDDF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采购需求：具体详见采购文件中《采购需求及技术参数要求》。</w:t>
      </w:r>
    </w:p>
    <w:p w14:paraId="4A06C1D9">
      <w:pPr>
        <w:spacing w:line="440" w:lineRule="exact"/>
        <w:ind w:firstLine="420" w:firstLineChars="200"/>
        <w:jc w:val="left"/>
        <w:rPr>
          <w:color w:val="auto"/>
          <w:highlight w:val="none"/>
        </w:rPr>
      </w:pPr>
      <w:r>
        <w:rPr>
          <w:rFonts w:hint="eastAsia" w:ascii="宋体" w:hAnsi="宋体" w:cs="宋体"/>
          <w:color w:val="auto"/>
          <w:szCs w:val="21"/>
          <w:highlight w:val="none"/>
        </w:rPr>
        <w:t>合同履行期限：合同生效后，待采购人通知供货起30个日历天完成供货，待搬迁结束后进行安装调试，具体以学院安排时间为准。</w:t>
      </w:r>
    </w:p>
    <w:p w14:paraId="4A6D7B8C">
      <w:pPr>
        <w:spacing w:line="440" w:lineRule="exact"/>
        <w:ind w:firstLine="420" w:firstLineChars="200"/>
        <w:jc w:val="left"/>
        <w:rPr>
          <w:rFonts w:hint="eastAsia" w:eastAsia="宋体"/>
          <w:color w:val="auto"/>
          <w:highlight w:val="none"/>
          <w:lang w:val="en-US" w:eastAsia="zh-CN"/>
        </w:rPr>
      </w:pPr>
      <w:r>
        <w:rPr>
          <w:rFonts w:hint="eastAsia"/>
          <w:color w:val="auto"/>
          <w:highlight w:val="none"/>
          <w:lang w:val="en-US" w:eastAsia="zh-CN"/>
        </w:rPr>
        <w:t>质保期：</w:t>
      </w:r>
      <w:r>
        <w:rPr>
          <w:rFonts w:hint="eastAsia" w:ascii="宋体" w:hAnsi="宋体"/>
          <w:color w:val="auto"/>
          <w:szCs w:val="21"/>
          <w:highlight w:val="none"/>
        </w:rPr>
        <w:t>项目验收合格后提供三年免费售后服务（最终根据承诺的质保期为准）</w:t>
      </w:r>
    </w:p>
    <w:p w14:paraId="00478B8F">
      <w:pPr>
        <w:spacing w:before="162" w:beforeLines="50" w:after="162" w:afterLines="50" w:line="440" w:lineRule="exact"/>
        <w:jc w:val="left"/>
        <w:outlineLvl w:val="1"/>
        <w:rPr>
          <w:rFonts w:ascii="黑体" w:hAnsi="黑体" w:eastAsia="黑体" w:cs="黑体"/>
          <w:b/>
          <w:bCs/>
          <w:color w:val="auto"/>
          <w:szCs w:val="21"/>
          <w:highlight w:val="none"/>
        </w:rPr>
      </w:pPr>
      <w:bookmarkStart w:id="20" w:name="_Toc28359080"/>
      <w:bookmarkStart w:id="21" w:name="_Toc35393791"/>
      <w:bookmarkStart w:id="22" w:name="_Toc26156"/>
      <w:bookmarkStart w:id="23" w:name="_Toc22650"/>
      <w:bookmarkStart w:id="24" w:name="_Toc35393622"/>
      <w:bookmarkStart w:id="25" w:name="_Toc28359003"/>
      <w:r>
        <w:rPr>
          <w:rFonts w:hint="eastAsia" w:ascii="黑体" w:hAnsi="黑体" w:eastAsia="黑体" w:cs="黑体"/>
          <w:b/>
          <w:bCs/>
          <w:color w:val="auto"/>
          <w:szCs w:val="21"/>
          <w:highlight w:val="none"/>
        </w:rPr>
        <w:t>二、申请人的资格要求</w:t>
      </w:r>
      <w:bookmarkEnd w:id="20"/>
      <w:bookmarkEnd w:id="21"/>
      <w:bookmarkEnd w:id="22"/>
      <w:bookmarkEnd w:id="23"/>
      <w:bookmarkEnd w:id="24"/>
      <w:bookmarkEnd w:id="25"/>
    </w:p>
    <w:p w14:paraId="53C1ABBD">
      <w:pPr>
        <w:spacing w:line="440" w:lineRule="exact"/>
        <w:ind w:firstLine="420" w:firstLineChars="200"/>
        <w:jc w:val="left"/>
        <w:rPr>
          <w:rFonts w:ascii="宋体" w:hAnsi="宋体" w:cs="宋体"/>
          <w:color w:val="auto"/>
          <w:szCs w:val="21"/>
          <w:highlight w:val="none"/>
        </w:rPr>
      </w:pPr>
      <w:bookmarkStart w:id="26" w:name="_Toc35393792"/>
      <w:bookmarkStart w:id="27" w:name="_Toc35393623"/>
      <w:bookmarkStart w:id="28" w:name="_Toc28359004"/>
      <w:bookmarkStart w:id="29" w:name="_Toc28359081"/>
      <w:r>
        <w:rPr>
          <w:rFonts w:hint="eastAsia" w:ascii="宋体" w:hAnsi="宋体" w:cs="宋体"/>
          <w:color w:val="auto"/>
          <w:szCs w:val="21"/>
          <w:highlight w:val="none"/>
        </w:rPr>
        <w:t>1、供应商必须具有承担民事责任能力，并且具有有效的营业执照（或三证合一有效证件）；</w:t>
      </w:r>
    </w:p>
    <w:p w14:paraId="47E653B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2、本项目不接受联合体；</w:t>
      </w:r>
    </w:p>
    <w:p w14:paraId="6A277F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3、信誉要求：供应商不得存在以下情形：</w:t>
      </w:r>
    </w:p>
    <w:p w14:paraId="084CBB8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02C2966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7E1123B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7294210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37C53DD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24E2A2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257AF5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791A4F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017BCA26">
      <w:pPr>
        <w:spacing w:before="162" w:beforeLines="50" w:after="162" w:afterLines="50" w:line="440" w:lineRule="exact"/>
        <w:jc w:val="left"/>
        <w:outlineLvl w:val="1"/>
        <w:rPr>
          <w:rFonts w:ascii="黑体" w:hAnsi="黑体" w:eastAsia="黑体" w:cs="黑体"/>
          <w:b/>
          <w:bCs/>
          <w:color w:val="auto"/>
          <w:szCs w:val="21"/>
          <w:highlight w:val="none"/>
        </w:rPr>
      </w:pPr>
      <w:bookmarkStart w:id="30" w:name="_Toc15392"/>
      <w:r>
        <w:rPr>
          <w:rFonts w:hint="eastAsia" w:ascii="黑体" w:hAnsi="黑体" w:eastAsia="黑体" w:cs="黑体"/>
          <w:b/>
          <w:bCs/>
          <w:color w:val="auto"/>
          <w:szCs w:val="21"/>
          <w:highlight w:val="none"/>
        </w:rPr>
        <w:t>三、获取采购文件</w:t>
      </w:r>
      <w:bookmarkEnd w:id="30"/>
    </w:p>
    <w:p w14:paraId="0506C57C">
      <w:pPr>
        <w:spacing w:line="440" w:lineRule="exact"/>
        <w:ind w:firstLine="420" w:firstLineChars="200"/>
        <w:jc w:val="left"/>
        <w:rPr>
          <w:rFonts w:hint="eastAsia" w:ascii="黑体" w:hAnsi="黑体" w:eastAsia="黑体" w:cs="黑体"/>
          <w:b/>
          <w:bCs/>
          <w:color w:val="auto"/>
          <w:szCs w:val="21"/>
          <w:highlight w:val="none"/>
          <w:lang w:eastAsia="zh-CN"/>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4</w:t>
      </w:r>
      <w:r>
        <w:rPr>
          <w:rFonts w:hint="eastAsia" w:ascii="黑体" w:hAnsi="黑体" w:eastAsia="黑体" w:cs="黑体"/>
          <w:b/>
          <w:bCs/>
          <w:color w:val="auto"/>
          <w:szCs w:val="21"/>
          <w:highlight w:val="none"/>
        </w:rPr>
        <w:t>日至</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3</w:t>
      </w:r>
      <w:r>
        <w:rPr>
          <w:rFonts w:hint="eastAsia" w:ascii="黑体" w:hAnsi="黑体" w:eastAsia="黑体" w:cs="黑体"/>
          <w:b/>
          <w:bCs/>
          <w:color w:val="auto"/>
          <w:szCs w:val="21"/>
          <w:highlight w:val="none"/>
          <w:lang w:eastAsia="zh-CN"/>
        </w:rPr>
        <w:t>日15时00分</w:t>
      </w:r>
    </w:p>
    <w:p w14:paraId="6FD2E9EE">
      <w:pPr>
        <w:spacing w:line="4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获取地点：滁州学院网站（http://zcc.chzu.edu.cn）资产与实验室管理处网页采购公告栏中下载采购文件。</w:t>
      </w:r>
    </w:p>
    <w:p w14:paraId="09654A88">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1" w:name="_Toc3822"/>
      <w:r>
        <w:rPr>
          <w:rFonts w:hint="eastAsia" w:ascii="宋体" w:hAnsi="宋体" w:eastAsia="宋体" w:cs="宋体"/>
          <w:b w:val="0"/>
          <w:color w:val="auto"/>
          <w:kern w:val="0"/>
          <w:sz w:val="21"/>
          <w:szCs w:val="21"/>
          <w:highlight w:val="none"/>
        </w:rPr>
        <w:t>发售方式：网上下载</w:t>
      </w:r>
      <w:bookmarkEnd w:id="31"/>
    </w:p>
    <w:p w14:paraId="0DE8E966">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2" w:name="_Toc498"/>
      <w:r>
        <w:rPr>
          <w:rFonts w:hint="eastAsia" w:ascii="宋体" w:hAnsi="宋体" w:eastAsia="宋体" w:cs="宋体"/>
          <w:b w:val="0"/>
          <w:color w:val="auto"/>
          <w:kern w:val="0"/>
          <w:sz w:val="21"/>
          <w:szCs w:val="21"/>
          <w:highlight w:val="none"/>
        </w:rPr>
        <w:t>售价：0元</w:t>
      </w:r>
      <w:bookmarkEnd w:id="32"/>
    </w:p>
    <w:p w14:paraId="3B4EA50D">
      <w:pPr>
        <w:spacing w:before="162" w:beforeLines="50" w:after="162" w:afterLines="50" w:line="440" w:lineRule="exact"/>
        <w:jc w:val="left"/>
        <w:outlineLvl w:val="1"/>
        <w:rPr>
          <w:rFonts w:ascii="黑体" w:hAnsi="黑体" w:eastAsia="黑体" w:cs="黑体"/>
          <w:b/>
          <w:bCs/>
          <w:color w:val="auto"/>
          <w:szCs w:val="21"/>
          <w:highlight w:val="none"/>
        </w:rPr>
      </w:pPr>
      <w:bookmarkStart w:id="33" w:name="_Toc27215"/>
      <w:r>
        <w:rPr>
          <w:rFonts w:hint="eastAsia" w:ascii="黑体" w:hAnsi="黑体" w:eastAsia="黑体" w:cs="黑体"/>
          <w:b/>
          <w:bCs/>
          <w:color w:val="auto"/>
          <w:szCs w:val="21"/>
          <w:highlight w:val="none"/>
        </w:rPr>
        <w:t>四、提交投标文件截止时间、开标时间和地点</w:t>
      </w:r>
      <w:bookmarkEnd w:id="33"/>
    </w:p>
    <w:p w14:paraId="531ECA00">
      <w:pPr>
        <w:pStyle w:val="3"/>
        <w:adjustRightInd w:val="0"/>
        <w:spacing w:before="0" w:after="0" w:line="440" w:lineRule="exact"/>
        <w:ind w:firstLine="422" w:firstLineChars="200"/>
        <w:jc w:val="left"/>
        <w:rPr>
          <w:rFonts w:ascii="宋体" w:hAnsi="宋体" w:eastAsia="宋体" w:cs="宋体"/>
          <w:b w:val="0"/>
          <w:color w:val="auto"/>
          <w:kern w:val="0"/>
          <w:sz w:val="21"/>
          <w:szCs w:val="21"/>
          <w:highlight w:val="none"/>
        </w:rPr>
      </w:pPr>
      <w:bookmarkStart w:id="34" w:name="_Toc8687"/>
      <w:r>
        <w:rPr>
          <w:rFonts w:hint="eastAsia" w:ascii="宋体" w:hAnsi="宋体" w:eastAsia="宋体" w:cs="宋体"/>
          <w:bCs w:val="0"/>
          <w:color w:val="auto"/>
          <w:kern w:val="0"/>
          <w:sz w:val="21"/>
          <w:szCs w:val="21"/>
          <w:highlight w:val="none"/>
          <w:lang w:eastAsia="zh-CN"/>
        </w:rPr>
        <w:t>202</w:t>
      </w:r>
      <w:r>
        <w:rPr>
          <w:rFonts w:hint="eastAsia" w:ascii="宋体" w:hAnsi="宋体" w:eastAsia="宋体" w:cs="宋体"/>
          <w:bCs w:val="0"/>
          <w:color w:val="auto"/>
          <w:kern w:val="0"/>
          <w:sz w:val="21"/>
          <w:szCs w:val="21"/>
          <w:highlight w:val="none"/>
          <w:lang w:val="en-US" w:eastAsia="zh-CN"/>
        </w:rPr>
        <w:t>5</w:t>
      </w:r>
      <w:r>
        <w:rPr>
          <w:rFonts w:hint="eastAsia" w:ascii="宋体" w:hAnsi="宋体" w:eastAsia="宋体" w:cs="宋体"/>
          <w:bCs w:val="0"/>
          <w:color w:val="auto"/>
          <w:kern w:val="0"/>
          <w:sz w:val="21"/>
          <w:szCs w:val="21"/>
          <w:highlight w:val="none"/>
          <w:lang w:eastAsia="zh-CN"/>
        </w:rPr>
        <w:t>年</w:t>
      </w:r>
      <w:r>
        <w:rPr>
          <w:rFonts w:hint="eastAsia" w:ascii="宋体" w:hAnsi="宋体" w:eastAsia="宋体" w:cs="宋体"/>
          <w:bCs w:val="0"/>
          <w:color w:val="auto"/>
          <w:kern w:val="0"/>
          <w:sz w:val="21"/>
          <w:szCs w:val="21"/>
          <w:highlight w:val="none"/>
          <w:lang w:val="en-US" w:eastAsia="zh-CN"/>
        </w:rPr>
        <w:t>1</w:t>
      </w:r>
      <w:r>
        <w:rPr>
          <w:rFonts w:hint="eastAsia" w:ascii="宋体" w:hAnsi="宋体" w:eastAsia="宋体" w:cs="宋体"/>
          <w:bCs w:val="0"/>
          <w:color w:val="auto"/>
          <w:kern w:val="0"/>
          <w:sz w:val="21"/>
          <w:szCs w:val="21"/>
          <w:highlight w:val="none"/>
          <w:lang w:eastAsia="zh-CN"/>
        </w:rPr>
        <w:t>月</w:t>
      </w:r>
      <w:r>
        <w:rPr>
          <w:rFonts w:hint="eastAsia" w:ascii="宋体" w:hAnsi="宋体" w:eastAsia="宋体" w:cs="宋体"/>
          <w:bCs w:val="0"/>
          <w:color w:val="auto"/>
          <w:kern w:val="0"/>
          <w:sz w:val="21"/>
          <w:szCs w:val="21"/>
          <w:highlight w:val="none"/>
          <w:lang w:val="en-US" w:eastAsia="zh-CN"/>
        </w:rPr>
        <w:t>3</w:t>
      </w:r>
      <w:r>
        <w:rPr>
          <w:rFonts w:hint="eastAsia" w:ascii="宋体" w:hAnsi="宋体" w:eastAsia="宋体" w:cs="宋体"/>
          <w:bCs w:val="0"/>
          <w:color w:val="auto"/>
          <w:kern w:val="0"/>
          <w:sz w:val="21"/>
          <w:szCs w:val="21"/>
          <w:highlight w:val="none"/>
          <w:lang w:eastAsia="zh-CN"/>
        </w:rPr>
        <w:t>日15时00分</w:t>
      </w:r>
      <w:r>
        <w:rPr>
          <w:rFonts w:hint="eastAsia" w:ascii="宋体" w:hAnsi="宋体" w:eastAsia="宋体" w:cs="宋体"/>
          <w:bCs w:val="0"/>
          <w:color w:val="auto"/>
          <w:kern w:val="0"/>
          <w:sz w:val="21"/>
          <w:szCs w:val="21"/>
          <w:highlight w:val="none"/>
        </w:rPr>
        <w:t>（北京时间）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4"/>
    </w:p>
    <w:p w14:paraId="5F383984">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5" w:name="_Toc18970"/>
      <w:r>
        <w:rPr>
          <w:rFonts w:hint="eastAsia" w:ascii="宋体" w:hAnsi="宋体" w:eastAsia="宋体" w:cs="宋体"/>
          <w:b w:val="0"/>
          <w:color w:val="auto"/>
          <w:kern w:val="0"/>
          <w:sz w:val="21"/>
          <w:szCs w:val="21"/>
          <w:highlight w:val="none"/>
        </w:rPr>
        <w:t>地点：滁州市丰乐大道1899号皖东国际车城A区写字楼A6栋3楼</w:t>
      </w:r>
      <w:bookmarkEnd w:id="35"/>
    </w:p>
    <w:p w14:paraId="0B035CCA">
      <w:pPr>
        <w:spacing w:before="162" w:beforeLines="50" w:after="162" w:afterLines="50" w:line="440" w:lineRule="exact"/>
        <w:jc w:val="left"/>
        <w:outlineLvl w:val="1"/>
        <w:rPr>
          <w:rFonts w:ascii="黑体" w:hAnsi="黑体" w:eastAsia="黑体" w:cs="黑体"/>
          <w:b/>
          <w:bCs/>
          <w:color w:val="auto"/>
          <w:szCs w:val="21"/>
          <w:highlight w:val="none"/>
        </w:rPr>
      </w:pPr>
      <w:bookmarkStart w:id="36" w:name="_Toc16611"/>
      <w:r>
        <w:rPr>
          <w:rFonts w:hint="eastAsia" w:ascii="黑体" w:hAnsi="黑体" w:eastAsia="黑体" w:cs="黑体"/>
          <w:b/>
          <w:bCs/>
          <w:color w:val="auto"/>
          <w:szCs w:val="21"/>
          <w:highlight w:val="none"/>
        </w:rPr>
        <w:t>五、公告期限</w:t>
      </w:r>
      <w:bookmarkEnd w:id="36"/>
    </w:p>
    <w:p w14:paraId="1B0B71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0FDA884">
      <w:pPr>
        <w:spacing w:before="162" w:beforeLines="50" w:after="162" w:afterLines="50" w:line="440" w:lineRule="exact"/>
        <w:jc w:val="left"/>
        <w:outlineLvl w:val="1"/>
        <w:rPr>
          <w:rFonts w:ascii="黑体" w:hAnsi="黑体" w:eastAsia="黑体" w:cs="黑体"/>
          <w:b/>
          <w:bCs/>
          <w:color w:val="auto"/>
          <w:szCs w:val="21"/>
          <w:highlight w:val="none"/>
        </w:rPr>
      </w:pPr>
      <w:bookmarkStart w:id="37" w:name="_Toc14682"/>
      <w:r>
        <w:rPr>
          <w:rFonts w:hint="eastAsia" w:ascii="黑体" w:hAnsi="黑体" w:eastAsia="黑体" w:cs="黑体"/>
          <w:b/>
          <w:bCs/>
          <w:color w:val="auto"/>
          <w:szCs w:val="21"/>
          <w:highlight w:val="none"/>
        </w:rPr>
        <w:t>六、投标保证金金额及缴纳账户</w:t>
      </w:r>
      <w:bookmarkEnd w:id="37"/>
    </w:p>
    <w:p w14:paraId="3E3695C9">
      <w:pPr>
        <w:spacing w:line="440" w:lineRule="exact"/>
        <w:ind w:firstLine="420" w:firstLineChars="200"/>
        <w:jc w:val="left"/>
        <w:outlineLvl w:val="2"/>
        <w:rPr>
          <w:rFonts w:ascii="宋体" w:hAnsi="宋体" w:cs="宋体"/>
          <w:color w:val="auto"/>
          <w:szCs w:val="21"/>
          <w:highlight w:val="none"/>
        </w:rPr>
      </w:pPr>
      <w:bookmarkStart w:id="38" w:name="_Toc31095"/>
      <w:r>
        <w:rPr>
          <w:rFonts w:hint="eastAsia" w:ascii="宋体" w:hAnsi="宋体" w:cs="宋体"/>
          <w:color w:val="auto"/>
          <w:szCs w:val="21"/>
          <w:highlight w:val="none"/>
        </w:rPr>
        <w:t>1.是否要求投标供应商提交投标保证金：</w:t>
      </w:r>
      <w:bookmarkEnd w:id="38"/>
    </w:p>
    <w:p w14:paraId="4F1D24F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2C1F4B74">
      <w:pPr>
        <w:spacing w:before="162" w:beforeLines="50" w:after="162" w:afterLines="50" w:line="440" w:lineRule="exact"/>
        <w:jc w:val="left"/>
        <w:outlineLvl w:val="1"/>
        <w:rPr>
          <w:rFonts w:ascii="黑体" w:hAnsi="黑体" w:eastAsia="黑体" w:cs="黑体"/>
          <w:b/>
          <w:bCs/>
          <w:color w:val="auto"/>
          <w:szCs w:val="21"/>
          <w:highlight w:val="none"/>
        </w:rPr>
      </w:pPr>
      <w:bookmarkStart w:id="39" w:name="_Toc15560"/>
      <w:r>
        <w:rPr>
          <w:rFonts w:hint="eastAsia" w:ascii="黑体" w:hAnsi="黑体" w:eastAsia="黑体" w:cs="黑体"/>
          <w:b/>
          <w:bCs/>
          <w:color w:val="auto"/>
          <w:szCs w:val="21"/>
          <w:highlight w:val="none"/>
        </w:rPr>
        <w:t>七、联系方法</w:t>
      </w:r>
      <w:bookmarkEnd w:id="39"/>
    </w:p>
    <w:p w14:paraId="479E7E6D">
      <w:pPr>
        <w:pStyle w:val="8"/>
        <w:spacing w:line="440" w:lineRule="exact"/>
        <w:ind w:firstLine="420" w:firstLineChars="200"/>
        <w:jc w:val="left"/>
        <w:outlineLvl w:val="2"/>
        <w:rPr>
          <w:rFonts w:ascii="宋体" w:hAnsi="宋体" w:cs="宋体"/>
          <w:b w:val="0"/>
          <w:color w:val="auto"/>
          <w:sz w:val="21"/>
          <w:szCs w:val="21"/>
          <w:highlight w:val="none"/>
        </w:rPr>
      </w:pPr>
      <w:bookmarkStart w:id="40" w:name="_Toc10057"/>
      <w:r>
        <w:rPr>
          <w:rFonts w:hint="eastAsia" w:ascii="宋体" w:hAnsi="宋体" w:cs="宋体"/>
          <w:b w:val="0"/>
          <w:color w:val="auto"/>
          <w:sz w:val="21"/>
          <w:szCs w:val="21"/>
          <w:highlight w:val="none"/>
        </w:rPr>
        <w:t>1、项目单位：资产与实验室管理处</w:t>
      </w:r>
      <w:bookmarkEnd w:id="40"/>
      <w:r>
        <w:rPr>
          <w:rFonts w:hint="eastAsia" w:ascii="宋体" w:hAnsi="宋体" w:cs="宋体"/>
          <w:b w:val="0"/>
          <w:color w:val="auto"/>
          <w:sz w:val="21"/>
          <w:szCs w:val="21"/>
          <w:highlight w:val="none"/>
        </w:rPr>
        <w:t xml:space="preserve"> </w:t>
      </w:r>
    </w:p>
    <w:p w14:paraId="2664FAE9">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地址：安徽省滁州市会峰西路1号滁州学院会峰校区 </w:t>
      </w:r>
    </w:p>
    <w:p w14:paraId="0AFA71EC">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采购联系人：李老师、王老师</w:t>
      </w:r>
    </w:p>
    <w:p w14:paraId="44F123D4">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电话：0550-3512003、18855052517　</w:t>
      </w:r>
    </w:p>
    <w:p w14:paraId="71F86596">
      <w:pPr>
        <w:pStyle w:val="8"/>
        <w:spacing w:line="440" w:lineRule="exact"/>
        <w:ind w:firstLine="420" w:firstLineChars="200"/>
        <w:jc w:val="left"/>
        <w:outlineLvl w:val="2"/>
        <w:rPr>
          <w:rFonts w:ascii="宋体" w:hAnsi="宋体" w:cs="宋体"/>
          <w:b w:val="0"/>
          <w:color w:val="auto"/>
          <w:sz w:val="21"/>
          <w:szCs w:val="21"/>
          <w:highlight w:val="none"/>
        </w:rPr>
      </w:pPr>
      <w:bookmarkStart w:id="41" w:name="_Toc19481"/>
      <w:r>
        <w:rPr>
          <w:rFonts w:hint="eastAsia" w:ascii="宋体" w:hAnsi="宋体" w:cs="宋体"/>
          <w:b w:val="0"/>
          <w:color w:val="auto"/>
          <w:sz w:val="21"/>
          <w:szCs w:val="21"/>
          <w:highlight w:val="none"/>
        </w:rPr>
        <w:t>2、采购代理机构：安徽立地工程咨询有限公司</w:t>
      </w:r>
      <w:bookmarkEnd w:id="41"/>
    </w:p>
    <w:p w14:paraId="615E2912">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地址：滁州市丰乐大道1899号皖东国际车城A区写字楼A6栋3楼</w:t>
      </w:r>
    </w:p>
    <w:p w14:paraId="745A81DC">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联系人：全晨曦、翁海玲</w:t>
      </w:r>
    </w:p>
    <w:p w14:paraId="4F34CB75">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电话：18075270227、13965950189</w:t>
      </w:r>
    </w:p>
    <w:p w14:paraId="376E2F21">
      <w:pPr>
        <w:spacing w:before="162" w:beforeLines="50" w:after="162" w:afterLines="50" w:line="440" w:lineRule="exact"/>
        <w:jc w:val="left"/>
        <w:outlineLvl w:val="1"/>
        <w:rPr>
          <w:rFonts w:ascii="黑体" w:hAnsi="黑体" w:eastAsia="黑体" w:cs="黑体"/>
          <w:b/>
          <w:bCs/>
          <w:color w:val="auto"/>
          <w:szCs w:val="21"/>
          <w:highlight w:val="none"/>
        </w:rPr>
      </w:pPr>
      <w:bookmarkStart w:id="42" w:name="_Toc27554"/>
      <w:r>
        <w:rPr>
          <w:rFonts w:hint="eastAsia" w:ascii="黑体" w:hAnsi="黑体" w:eastAsia="黑体" w:cs="黑体"/>
          <w:b/>
          <w:bCs/>
          <w:color w:val="auto"/>
          <w:szCs w:val="21"/>
          <w:highlight w:val="none"/>
        </w:rPr>
        <w:t>八、公告发布媒体</w:t>
      </w:r>
      <w:bookmarkEnd w:id="42"/>
    </w:p>
    <w:p w14:paraId="1F1EDE87">
      <w:pPr>
        <w:spacing w:line="440" w:lineRule="exact"/>
        <w:ind w:firstLine="420" w:firstLineChars="200"/>
        <w:jc w:val="left"/>
        <w:rPr>
          <w:rFonts w:ascii="宋体" w:hAnsi="宋体" w:cs="宋体"/>
          <w:color w:val="auto"/>
          <w:szCs w:val="21"/>
          <w:highlight w:val="none"/>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highlight w:val="none"/>
        </w:rPr>
        <w:t>滁州学院网站、安徽省招标投标信息网</w:t>
      </w:r>
    </w:p>
    <w:bookmarkEnd w:id="26"/>
    <w:bookmarkEnd w:id="27"/>
    <w:bookmarkEnd w:id="28"/>
    <w:bookmarkEnd w:id="29"/>
    <w:p w14:paraId="052ECEDA">
      <w:pPr>
        <w:jc w:val="center"/>
        <w:outlineLvl w:val="0"/>
        <w:rPr>
          <w:rFonts w:ascii="宋体" w:hAnsi="宋体" w:cs="宋体"/>
          <w:b/>
          <w:color w:val="auto"/>
          <w:sz w:val="32"/>
          <w:highlight w:val="none"/>
        </w:rPr>
      </w:pPr>
      <w:bookmarkStart w:id="43" w:name="_Toc29256"/>
      <w:r>
        <w:rPr>
          <w:rFonts w:hint="eastAsia" w:ascii="宋体" w:hAnsi="宋体" w:cs="宋体"/>
          <w:b/>
          <w:color w:val="auto"/>
          <w:sz w:val="32"/>
          <w:highlight w:val="none"/>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A50C62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C247A0">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0B42BB71">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A1D8A56">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3A4A25D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CDC55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7C1977D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8178B5B">
            <w:pPr>
              <w:spacing w:line="440" w:lineRule="exact"/>
              <w:rPr>
                <w:rFonts w:ascii="宋体" w:hAnsi="宋体" w:cs="宋体"/>
                <w:color w:val="auto"/>
                <w:kern w:val="0"/>
                <w:szCs w:val="21"/>
                <w:highlight w:val="none"/>
              </w:rPr>
            </w:pPr>
            <w:r>
              <w:rPr>
                <w:rFonts w:hint="eastAsia" w:ascii="宋体" w:hAnsi="宋体" w:cs="宋体"/>
                <w:color w:val="auto"/>
                <w:szCs w:val="21"/>
                <w:highlight w:val="none"/>
              </w:rPr>
              <w:t xml:space="preserve">滁州学院2024年经管学院会议室设备采购及安装    </w:t>
            </w:r>
          </w:p>
        </w:tc>
      </w:tr>
      <w:tr w14:paraId="7DF7EE4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B2FE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188A51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5232B288">
            <w:pPr>
              <w:spacing w:line="440" w:lineRule="exact"/>
              <w:rPr>
                <w:rFonts w:ascii="宋体" w:hAnsi="宋体" w:cs="宋体"/>
                <w:color w:val="auto"/>
                <w:szCs w:val="21"/>
                <w:highlight w:val="none"/>
              </w:rPr>
            </w:pPr>
            <w:r>
              <w:rPr>
                <w:rFonts w:hint="eastAsia" w:ascii="宋体" w:hAnsi="宋体" w:cs="宋体"/>
                <w:color w:val="auto"/>
                <w:szCs w:val="21"/>
                <w:highlight w:val="none"/>
              </w:rPr>
              <w:t>2024CG-059</w:t>
            </w:r>
          </w:p>
        </w:tc>
      </w:tr>
      <w:tr w14:paraId="749F05A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B7E43E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26001B30">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D1FB63C">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合同生效后，待采购人通知供货起30个日历天完成供货，待搬迁结束后进行安装调试，具体以学院安排时间为准。</w:t>
            </w:r>
          </w:p>
          <w:p w14:paraId="105DE9E3">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lang w:val="en-US" w:eastAsia="zh-CN"/>
              </w:rPr>
              <w:t>质保期：</w:t>
            </w:r>
            <w:r>
              <w:rPr>
                <w:rFonts w:hint="eastAsia" w:ascii="宋体" w:hAnsi="宋体"/>
                <w:color w:val="auto"/>
                <w:szCs w:val="21"/>
                <w:highlight w:val="none"/>
              </w:rPr>
              <w:t>项目验收合格后提供三年免费售后服务（最终根据承诺的质保期为准）</w:t>
            </w:r>
          </w:p>
        </w:tc>
      </w:tr>
      <w:tr w14:paraId="781C2674">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3A9644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169CB4F1">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服务地点</w:t>
            </w:r>
          </w:p>
        </w:tc>
        <w:tc>
          <w:tcPr>
            <w:tcW w:w="7855" w:type="dxa"/>
            <w:tcBorders>
              <w:top w:val="single" w:color="auto" w:sz="8" w:space="0"/>
              <w:left w:val="single" w:color="auto" w:sz="4" w:space="0"/>
              <w:bottom w:val="single" w:color="auto" w:sz="8" w:space="0"/>
              <w:right w:val="single" w:color="auto" w:sz="8" w:space="0"/>
            </w:tcBorders>
            <w:vAlign w:val="center"/>
          </w:tcPr>
          <w:p w14:paraId="14D630D5">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滁州学院，采购人指定地点</w:t>
            </w:r>
          </w:p>
        </w:tc>
      </w:tr>
      <w:tr w14:paraId="6ADF03DB">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AFC30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67DD3174">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BBF2DB2">
            <w:pPr>
              <w:pStyle w:val="12"/>
              <w:wordWrap w:val="0"/>
              <w:spacing w:line="440" w:lineRule="exact"/>
              <w:rPr>
                <w:rFonts w:hAnsi="宋体" w:cs="宋体"/>
                <w:color w:val="auto"/>
                <w:szCs w:val="21"/>
                <w:highlight w:val="none"/>
              </w:rPr>
            </w:pPr>
            <w:r>
              <w:rPr>
                <w:rFonts w:hint="eastAsia" w:hAnsi="宋体" w:cs="宋体"/>
                <w:color w:val="auto"/>
                <w:szCs w:val="21"/>
                <w:highlight w:val="none"/>
              </w:rPr>
              <w:t>采购人名称：资产与实验室管理处</w:t>
            </w:r>
          </w:p>
          <w:p w14:paraId="6048D77C">
            <w:pPr>
              <w:pStyle w:val="12"/>
              <w:wordWrap w:val="0"/>
              <w:spacing w:line="440" w:lineRule="exact"/>
              <w:rPr>
                <w:rFonts w:hAnsi="宋体" w:cs="宋体"/>
                <w:color w:val="auto"/>
                <w:szCs w:val="21"/>
                <w:highlight w:val="none"/>
              </w:rPr>
            </w:pPr>
            <w:r>
              <w:rPr>
                <w:rFonts w:hint="eastAsia" w:hAnsi="宋体" w:cs="宋体"/>
                <w:color w:val="auto"/>
                <w:szCs w:val="21"/>
                <w:highlight w:val="none"/>
              </w:rPr>
              <w:t>联系人：</w:t>
            </w:r>
            <w:r>
              <w:rPr>
                <w:rFonts w:hint="eastAsia" w:hAnsi="宋体" w:cs="宋体"/>
                <w:color w:val="auto"/>
                <w:szCs w:val="21"/>
                <w:highlight w:val="none"/>
                <w:lang w:val="en-US" w:eastAsia="zh-CN"/>
              </w:rPr>
              <w:t>李</w:t>
            </w:r>
            <w:r>
              <w:rPr>
                <w:rFonts w:hint="eastAsia" w:hAnsi="宋体" w:cs="宋体"/>
                <w:color w:val="auto"/>
                <w:szCs w:val="21"/>
                <w:highlight w:val="none"/>
              </w:rPr>
              <w:t>老师、王老师</w:t>
            </w:r>
          </w:p>
          <w:p w14:paraId="657F975F">
            <w:pPr>
              <w:pStyle w:val="12"/>
              <w:wordWrap w:val="0"/>
              <w:spacing w:line="440" w:lineRule="exact"/>
              <w:rPr>
                <w:rFonts w:hAnsi="宋体" w:cs="宋体"/>
                <w:color w:val="auto"/>
                <w:szCs w:val="21"/>
                <w:highlight w:val="none"/>
              </w:rPr>
            </w:pPr>
            <w:r>
              <w:rPr>
                <w:rFonts w:hint="eastAsia" w:hAnsi="宋体" w:cs="宋体"/>
                <w:color w:val="auto"/>
                <w:szCs w:val="21"/>
                <w:highlight w:val="none"/>
              </w:rPr>
              <w:t>电话：0550-3512003、18855052517　</w:t>
            </w:r>
          </w:p>
        </w:tc>
      </w:tr>
      <w:tr w14:paraId="4A225B7E">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A3DB6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1125A99C">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CE8844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招标代理机构名称：安徽立地工程咨询有限公司 </w:t>
            </w:r>
          </w:p>
          <w:p w14:paraId="49F46EA7">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联系人：全晨曦、翁海玲 </w:t>
            </w:r>
          </w:p>
          <w:p w14:paraId="2F28C535">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电话：18075270227、13965950189</w:t>
            </w:r>
          </w:p>
        </w:tc>
      </w:tr>
      <w:tr w14:paraId="13686B5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1CD76D">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24814498">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E314673">
            <w:pPr>
              <w:pStyle w:val="12"/>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34CBC123">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EABFF9">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73D3855A">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4AFBBFE">
            <w:pPr>
              <w:pStyle w:val="12"/>
              <w:wordWrap w:val="0"/>
              <w:spacing w:line="440" w:lineRule="exact"/>
              <w:rPr>
                <w:rFonts w:hAnsi="宋体" w:cs="宋体"/>
                <w:b/>
                <w:bCs/>
                <w:color w:val="auto"/>
                <w:szCs w:val="21"/>
                <w:highlight w:val="none"/>
              </w:rPr>
            </w:pPr>
            <w:r>
              <w:rPr>
                <w:rFonts w:hint="eastAsia" w:hAnsi="宋体" w:cs="宋体"/>
                <w:b/>
                <w:bCs/>
                <w:color w:val="auto"/>
                <w:szCs w:val="21"/>
                <w:highlight w:val="none"/>
              </w:rPr>
              <w:t>285000.00元。</w:t>
            </w:r>
          </w:p>
        </w:tc>
      </w:tr>
      <w:tr w14:paraId="602E044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BD2898">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7ECB10A1">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7F604774">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贰拾捌万伍仟元整（285000.00元），供应商的响应报价不得高于采购人发布的最高限价，且综合单价不得高于采购人设置的综合单价最高限价，否则按无效标处理。</w:t>
            </w:r>
          </w:p>
        </w:tc>
      </w:tr>
      <w:tr w14:paraId="2B64885C">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679EC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02439AA8">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7690C863">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58F9353C">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AD00EB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2AD11510">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21E273">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3444FEB2">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7C285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15259BB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5ED418E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1、供应商必须具有承担民事责任能力，并且具有有效的营业执照（或三证合一有效证件）；</w:t>
            </w:r>
          </w:p>
          <w:p w14:paraId="09CBD95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2、本项目不接受联合体；</w:t>
            </w:r>
          </w:p>
          <w:p w14:paraId="6C5EAC4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3、信誉要求：供应商不得存在以下情形：</w:t>
            </w:r>
          </w:p>
          <w:p w14:paraId="07035A4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26AA809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761459A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05BF4C7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16E5E02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0BD601DB">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2C11EA6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465B367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tc>
      </w:tr>
      <w:tr w14:paraId="74FA7C6C">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5EBC47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50DDB05F">
            <w:pPr>
              <w:pStyle w:val="13"/>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63C418DB">
            <w:pPr>
              <w:pStyle w:val="13"/>
              <w:spacing w:line="44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正本</w:t>
            </w:r>
            <w:r>
              <w:rPr>
                <w:rFonts w:hint="eastAsia" w:ascii="宋体" w:hAnsi="宋体" w:eastAsia="宋体" w:cs="宋体"/>
                <w:color w:val="auto"/>
                <w:kern w:val="0"/>
                <w:sz w:val="21"/>
                <w:szCs w:val="21"/>
                <w:highlight w:val="none"/>
                <w:u w:val="single"/>
              </w:rPr>
              <w:t xml:space="preserve"> 一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二 </w:t>
            </w:r>
            <w:r>
              <w:rPr>
                <w:rFonts w:hint="eastAsia" w:ascii="宋体" w:hAnsi="宋体" w:eastAsia="宋体" w:cs="宋体"/>
                <w:color w:val="auto"/>
                <w:kern w:val="0"/>
                <w:sz w:val="21"/>
                <w:szCs w:val="21"/>
                <w:highlight w:val="none"/>
              </w:rPr>
              <w:t>份。</w:t>
            </w:r>
          </w:p>
        </w:tc>
      </w:tr>
      <w:tr w14:paraId="34567C3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884268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10C70D7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F5B8051">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36529E29">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E82D2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A1A50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2E9A6B2A">
            <w:pPr>
              <w:spacing w:line="440" w:lineRule="exact"/>
              <w:jc w:val="left"/>
              <w:rPr>
                <w:rFonts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color w:val="auto"/>
                <w:szCs w:val="21"/>
                <w:highlight w:val="none"/>
              </w:rPr>
              <w:t>2024年</w:t>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12</w:t>
            </w:r>
            <w:r>
              <w:rPr>
                <w:color w:val="auto"/>
                <w:highlight w:val="none"/>
              </w:rPr>
              <w:fldChar w:fldCharType="begin"/>
            </w:r>
            <w:r>
              <w:rPr>
                <w:color w:val="auto"/>
                <w:highlight w:val="none"/>
              </w:rPr>
              <w:instrText xml:space="preserve"> HYPERLINK "mailto:日17时前，将疑问以书面形式（加盖公章）送至滁州学院资产与设备处（会峰校区行政楼220）或以邮件的形式发送至(909873365@qq.com)邮箱，采购人将在2020年" </w:instrText>
            </w:r>
            <w:r>
              <w:rPr>
                <w:color w:val="auto"/>
                <w:highlight w:val="none"/>
              </w:rPr>
              <w:fldChar w:fldCharType="separate"/>
            </w:r>
            <w:r>
              <w:rPr>
                <w:rStyle w:val="37"/>
                <w:rFonts w:hint="eastAsia" w:ascii="宋体" w:hAnsi="宋体" w:cs="宋体"/>
                <w:b/>
                <w:color w:val="auto"/>
                <w:szCs w:val="21"/>
                <w:highlight w:val="none"/>
              </w:rPr>
              <w:t>日17时前</w:t>
            </w:r>
            <w:r>
              <w:rPr>
                <w:rStyle w:val="37"/>
                <w:rFonts w:hint="eastAsia" w:ascii="宋体" w:hAnsi="宋体" w:cs="宋体"/>
                <w:bCs/>
                <w:color w:val="auto"/>
                <w:szCs w:val="21"/>
                <w:highlight w:val="none"/>
              </w:rPr>
              <w:t>，将疑问以书面形式（加盖公章）送至资产与实验室管理处（会峰校区行政楼220）或以邮件的形式发送至（ahldzb@126.com）代理邮箱，采购人将在</w:t>
            </w:r>
            <w:r>
              <w:rPr>
                <w:rStyle w:val="37"/>
                <w:rFonts w:hint="eastAsia" w:ascii="宋体" w:hAnsi="宋体" w:cs="宋体"/>
                <w:b/>
                <w:color w:val="auto"/>
                <w:szCs w:val="21"/>
                <w:highlight w:val="none"/>
              </w:rPr>
              <w:t>2024年</w:t>
            </w:r>
            <w:r>
              <w:rPr>
                <w:rStyle w:val="37"/>
                <w:rFonts w:hint="eastAsia" w:ascii="宋体" w:hAnsi="宋体" w:cs="宋体"/>
                <w:b/>
                <w:color w:val="auto"/>
                <w:szCs w:val="21"/>
                <w:highlight w:val="none"/>
              </w:rPr>
              <w:fldChar w:fldCharType="end"/>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13</w:t>
            </w:r>
            <w:r>
              <w:rPr>
                <w:rFonts w:hint="eastAsia" w:ascii="宋体" w:hAnsi="宋体" w:cs="宋体"/>
                <w:b/>
                <w:color w:val="auto"/>
                <w:szCs w:val="21"/>
                <w:highlight w:val="none"/>
              </w:rPr>
              <w:t>日17时前</w:t>
            </w:r>
            <w:r>
              <w:rPr>
                <w:rFonts w:hint="eastAsia" w:ascii="宋体" w:hAnsi="宋体" w:cs="宋体"/>
                <w:bCs/>
                <w:color w:val="auto"/>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750E07EA">
            <w:pPr>
              <w:widowControl/>
              <w:spacing w:line="440" w:lineRule="exact"/>
              <w:jc w:val="left"/>
              <w:rPr>
                <w:rFonts w:ascii="宋体" w:hAnsi="宋体" w:cs="宋体"/>
                <w:color w:val="auto"/>
                <w:kern w:val="0"/>
                <w:szCs w:val="21"/>
                <w:highlight w:val="none"/>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1801C09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A8A520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4778B24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7C5D07D0">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6FAA367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645DE1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1165B03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0524CBC7">
            <w:pPr>
              <w:pStyle w:val="12"/>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3B6A50D0">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F803F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18BBFB83">
            <w:pPr>
              <w:pStyle w:val="12"/>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7EAC84A9">
            <w:pPr>
              <w:pStyle w:val="12"/>
              <w:wordWrap w:val="0"/>
              <w:spacing w:line="440" w:lineRule="exact"/>
              <w:rPr>
                <w:rFonts w:hAnsi="宋体" w:cs="宋体"/>
                <w:color w:val="auto"/>
                <w:szCs w:val="21"/>
                <w:highlight w:val="none"/>
              </w:rPr>
            </w:pPr>
            <w:r>
              <w:rPr>
                <w:rFonts w:hint="eastAsia" w:hAnsi="宋体" w:cs="宋体"/>
                <w:color w:val="auto"/>
                <w:szCs w:val="21"/>
                <w:highlight w:val="none"/>
              </w:rPr>
              <w:t>正本一份，副本两份；</w:t>
            </w:r>
          </w:p>
        </w:tc>
      </w:tr>
      <w:tr w14:paraId="326D2C2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8AB1A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5724594B">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2882867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328B9A2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14341A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2C3ACF68">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6733888B">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收件人：安徽立地工程咨询有限公司</w:t>
            </w:r>
          </w:p>
          <w:p w14:paraId="3F0A2C70">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时  间：</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3</w:t>
            </w:r>
            <w:r>
              <w:rPr>
                <w:rFonts w:hint="eastAsia" w:ascii="黑体" w:hAnsi="黑体" w:eastAsia="黑体" w:cs="黑体"/>
                <w:b/>
                <w:bCs/>
                <w:color w:val="auto"/>
                <w:szCs w:val="21"/>
                <w:highlight w:val="none"/>
                <w:lang w:eastAsia="zh-CN"/>
              </w:rPr>
              <w:t>日15时00分</w:t>
            </w:r>
          </w:p>
          <w:p w14:paraId="0457ACC4">
            <w:pPr>
              <w:widowControl/>
              <w:spacing w:line="440" w:lineRule="exact"/>
              <w:jc w:val="left"/>
              <w:textAlignment w:val="baseline"/>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地  点：滁州市丰乐大道1899号皖东国际车城A区写字楼A6栋3楼</w:t>
            </w:r>
          </w:p>
        </w:tc>
      </w:tr>
      <w:tr w14:paraId="12B8D0C7">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A5471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4FA552C3">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1464E406">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kern w:val="0"/>
                <w:szCs w:val="21"/>
                <w:highlight w:val="none"/>
              </w:rPr>
              <w:t>开标时间：</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3</w:t>
            </w:r>
            <w:r>
              <w:rPr>
                <w:rFonts w:hint="eastAsia" w:ascii="黑体" w:hAnsi="黑体" w:eastAsia="黑体" w:cs="黑体"/>
                <w:b/>
                <w:bCs/>
                <w:color w:val="auto"/>
                <w:szCs w:val="21"/>
                <w:highlight w:val="none"/>
                <w:lang w:eastAsia="zh-CN"/>
              </w:rPr>
              <w:t>日15时00分</w:t>
            </w:r>
          </w:p>
          <w:p w14:paraId="7D8C8435">
            <w:pPr>
              <w:widowControl/>
              <w:spacing w:line="440" w:lineRule="exact"/>
              <w:jc w:val="left"/>
              <w:textAlignment w:val="baseline"/>
              <w:rPr>
                <w:rFonts w:ascii="黑体" w:hAnsi="黑体" w:eastAsia="黑体" w:cs="黑体"/>
                <w:b/>
                <w:bCs/>
                <w:color w:val="auto"/>
                <w:szCs w:val="21"/>
                <w:highlight w:val="none"/>
                <w:u w:val="single"/>
              </w:rPr>
            </w:pPr>
            <w:r>
              <w:rPr>
                <w:rFonts w:hint="eastAsia" w:ascii="黑体" w:hAnsi="黑体" w:eastAsia="黑体" w:cs="黑体"/>
                <w:b/>
                <w:bCs/>
                <w:color w:val="auto"/>
                <w:kern w:val="0"/>
                <w:szCs w:val="21"/>
                <w:highlight w:val="none"/>
              </w:rPr>
              <w:t>开标地点：</w:t>
            </w:r>
            <w:r>
              <w:rPr>
                <w:rFonts w:hint="eastAsia" w:ascii="黑体" w:hAnsi="黑体" w:eastAsia="黑体" w:cs="黑体"/>
                <w:b/>
                <w:bCs/>
                <w:color w:val="auto"/>
                <w:szCs w:val="21"/>
                <w:highlight w:val="none"/>
              </w:rPr>
              <w:t>滁州市丰乐大道1899号皖东国际车城A区写字楼A6栋3楼</w:t>
            </w:r>
          </w:p>
        </w:tc>
      </w:tr>
      <w:tr w14:paraId="0C9DD49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72E2EF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21CBCCC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227C10D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在评标中经过修正的中标单位的投标总报价作为中标价，中标价即为合同价。本项目采用固定单价合同，中标后所报单价不予调整。</w:t>
            </w:r>
          </w:p>
        </w:tc>
      </w:tr>
      <w:tr w14:paraId="0ACF496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DF1038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422098F3">
            <w:pPr>
              <w:pStyle w:val="12"/>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77986C61">
            <w:pPr>
              <w:pStyle w:val="12"/>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2D82B7BB">
            <w:pPr>
              <w:pStyle w:val="12"/>
              <w:spacing w:line="440" w:lineRule="exact"/>
              <w:rPr>
                <w:rFonts w:hAnsi="宋体" w:cs="宋体"/>
                <w:color w:val="auto"/>
                <w:kern w:val="0"/>
                <w:szCs w:val="21"/>
                <w:highlight w:val="none"/>
              </w:rPr>
            </w:pPr>
            <w:r>
              <w:rPr>
                <w:rFonts w:hint="eastAsia" w:hAnsi="宋体" w:cs="宋体"/>
                <w:color w:val="auto"/>
                <w:szCs w:val="21"/>
                <w:highlight w:val="none"/>
              </w:rPr>
              <w:t>评标委员会由5名专家评委组建；</w:t>
            </w:r>
          </w:p>
        </w:tc>
      </w:tr>
      <w:tr w14:paraId="2B1FE6B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D3F4D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09109B4">
            <w:pPr>
              <w:pStyle w:val="12"/>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272E026D">
            <w:pPr>
              <w:pStyle w:val="12"/>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23AFC0DB">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1E3C40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19E3A1C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CC1037D">
            <w:pPr>
              <w:pStyle w:val="12"/>
              <w:wordWrap w:val="0"/>
              <w:spacing w:line="440" w:lineRule="exact"/>
              <w:rPr>
                <w:rFonts w:hAnsi="宋体" w:cs="宋体"/>
                <w:color w:val="auto"/>
                <w:szCs w:val="21"/>
                <w:highlight w:val="none"/>
              </w:rPr>
            </w:pPr>
            <w:r>
              <w:rPr>
                <w:rFonts w:hint="eastAsia" w:hAnsi="宋体" w:cs="宋体"/>
                <w:bCs/>
                <w:color w:val="auto"/>
                <w:kern w:val="0"/>
                <w:szCs w:val="21"/>
                <w:highlight w:val="none"/>
              </w:rPr>
              <w:t>滁州学院网站（http://zcc.chzu.edu.cn）资产与实验室管理处网页采购公告栏</w:t>
            </w:r>
          </w:p>
        </w:tc>
      </w:tr>
      <w:tr w14:paraId="487A8F0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886615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4651CB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4AE7C09C">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37D5096C">
            <w:pPr>
              <w:spacing w:line="440" w:lineRule="exact"/>
              <w:rPr>
                <w:rFonts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02D74B88">
            <w:pPr>
              <w:spacing w:line="440" w:lineRule="exact"/>
              <w:rPr>
                <w:rFonts w:ascii="宋体" w:hAnsi="宋体" w:cs="宋体"/>
                <w:color w:val="auto"/>
                <w:szCs w:val="21"/>
                <w:highlight w:val="none"/>
              </w:rPr>
            </w:pPr>
            <w:r>
              <w:rPr>
                <w:rFonts w:hint="eastAsia" w:ascii="宋体" w:hAnsi="宋体" w:cs="宋体"/>
                <w:color w:val="auto"/>
                <w:szCs w:val="21"/>
                <w:highlight w:val="none"/>
              </w:rPr>
              <w:t>备注：</w:t>
            </w:r>
          </w:p>
          <w:p w14:paraId="187944F9">
            <w:pPr>
              <w:spacing w:line="440" w:lineRule="exact"/>
              <w:rPr>
                <w:rFonts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7F57D082">
            <w:pPr>
              <w:spacing w:line="440" w:lineRule="exact"/>
              <w:rPr>
                <w:rFonts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66E70A14">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（3）若项目一个包允许多家供应商中标（成交），则由同时中标（成交）人均摊代理服务费（四舍五入取整）；一招多年的服务项目以一个年度的中标（成交）金额计费。 </w:t>
            </w:r>
          </w:p>
        </w:tc>
      </w:tr>
      <w:tr w14:paraId="7A1FC569">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CE2A1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20312AFE">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194B111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6FDA74E4">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履约担保的金额：中标价款的2.5%</w:t>
            </w:r>
          </w:p>
          <w:p w14:paraId="2AC3461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2065A6F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中标人在签订合同前需将中标价款2.5%的履约保证金交至学校指定账户，供货（服务）完成，经采购人验收合格后，一次性退还履约保证金。</w:t>
            </w:r>
          </w:p>
          <w:p w14:paraId="76C3492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3CDABEA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2ECFEF65">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05414BCF">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FE5578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0C5C0F7E">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2CB1DC1">
            <w:pPr>
              <w:autoSpaceDE w:val="0"/>
              <w:autoSpaceDN w:val="0"/>
              <w:adjustRightInd w:val="0"/>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供货（服务）完成，经验收合格后付全款。</w:t>
            </w:r>
          </w:p>
        </w:tc>
      </w:tr>
      <w:tr w14:paraId="599DE893">
        <w:tblPrEx>
          <w:tblCellMar>
            <w:top w:w="0" w:type="dxa"/>
            <w:left w:w="0" w:type="dxa"/>
            <w:bottom w:w="0" w:type="dxa"/>
            <w:right w:w="0" w:type="dxa"/>
          </w:tblCellMar>
        </w:tblPrEx>
        <w:trPr>
          <w:trHeight w:val="1813"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505FDBF">
            <w:pPr>
              <w:spacing w:line="440" w:lineRule="exact"/>
              <w:jc w:val="center"/>
              <w:rPr>
                <w:rFonts w:ascii="宋体" w:hAnsi="宋体" w:cs="宋体"/>
                <w:color w:val="auto"/>
                <w:kern w:val="0"/>
                <w:szCs w:val="21"/>
                <w:highlight w:val="none"/>
              </w:rPr>
            </w:pPr>
            <w:bookmarkStart w:id="44"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41E44F0B">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6EB93DD9">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①本项目的法定代表人（或委托代理人）必须按照本文件要求的时间、地点手持身份证原件参加开标会议，否则其投标文件将被拒绝。</w:t>
            </w:r>
          </w:p>
          <w:p w14:paraId="53869A67">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②本采购文件前后条款若有不一致之处，在澄清答疑时又未作出明确时，各投标供应商的投标文件只要满足其中任一条款均视为对采购文件的响应。</w:t>
            </w:r>
          </w:p>
          <w:p w14:paraId="6DDE42E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③评标委员会只依靠供应商递交的投标文件及其按照采购文件要求提供的所有证明材料进行评审，而不依靠任何外来的证明材料。</w:t>
            </w:r>
          </w:p>
          <w:p w14:paraId="02B9577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④</w:t>
            </w:r>
            <w:r>
              <w:rPr>
                <w:rFonts w:hint="eastAsia" w:ascii="宋体" w:hAnsi="宋体" w:cs="宋体"/>
                <w:color w:val="auto"/>
                <w:szCs w:val="21"/>
                <w:highlight w:val="none"/>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1B5CFE8B">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⑤本文件的最终解释权归采购人、采购代理机构所有。 </w:t>
            </w:r>
          </w:p>
        </w:tc>
      </w:tr>
      <w:tr w14:paraId="01377C3B">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9F0243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2CAA69D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20ABFDE2">
            <w:pPr>
              <w:pStyle w:val="52"/>
              <w:spacing w:line="500" w:lineRule="exact"/>
              <w:rPr>
                <w:rFonts w:ascii="宋体" w:hAnsi="宋体" w:cs="宋体"/>
                <w:color w:val="auto"/>
                <w:kern w:val="0"/>
                <w:szCs w:val="21"/>
                <w:highlight w:val="none"/>
                <w:u w:color="000000"/>
              </w:rPr>
            </w:pPr>
            <w:r>
              <w:rPr>
                <w:rFonts w:hint="eastAsia" w:ascii="宋体" w:hAnsi="宋体" w:cs="宋体"/>
                <w:color w:val="auto"/>
                <w:szCs w:val="21"/>
                <w:highlight w:val="none"/>
              </w:rPr>
              <w:t>本项目将对排名第一的中标候选供应商经评标委员会评审认可的供应商业绩进行公示。</w:t>
            </w:r>
          </w:p>
        </w:tc>
      </w:tr>
    </w:tbl>
    <w:p w14:paraId="48A58E98">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44"/>
    </w:p>
    <w:p w14:paraId="125C28AD">
      <w:pPr>
        <w:spacing w:before="156" w:beforeLines="50" w:after="156" w:afterLines="50" w:line="440" w:lineRule="exact"/>
        <w:jc w:val="center"/>
        <w:outlineLvl w:val="1"/>
        <w:rPr>
          <w:rFonts w:ascii="宋体" w:hAnsi="宋体" w:cs="宋体"/>
          <w:b/>
          <w:bCs/>
          <w:color w:val="auto"/>
          <w:sz w:val="28"/>
          <w:szCs w:val="28"/>
          <w:highlight w:val="none"/>
        </w:rPr>
      </w:pPr>
      <w:bookmarkStart w:id="45" w:name="_Toc13704"/>
      <w:r>
        <w:rPr>
          <w:rFonts w:hint="eastAsia" w:ascii="宋体" w:hAnsi="宋体" w:cs="宋体"/>
          <w:b/>
          <w:bCs/>
          <w:color w:val="auto"/>
          <w:sz w:val="28"/>
          <w:szCs w:val="28"/>
          <w:highlight w:val="none"/>
        </w:rPr>
        <w:t>一、总  则</w:t>
      </w:r>
      <w:bookmarkEnd w:id="45"/>
    </w:p>
    <w:p w14:paraId="7491306A">
      <w:pPr>
        <w:spacing w:line="440" w:lineRule="exact"/>
        <w:ind w:firstLine="422" w:firstLineChars="200"/>
        <w:jc w:val="left"/>
        <w:outlineLvl w:val="2"/>
        <w:rPr>
          <w:rFonts w:ascii="宋体" w:hAnsi="宋体" w:cs="宋体"/>
          <w:b/>
          <w:bCs/>
          <w:color w:val="auto"/>
          <w:szCs w:val="21"/>
          <w:highlight w:val="none"/>
        </w:rPr>
      </w:pPr>
      <w:bookmarkStart w:id="46" w:name="_Toc23505"/>
      <w:r>
        <w:rPr>
          <w:rFonts w:hint="eastAsia" w:ascii="宋体" w:hAnsi="宋体" w:cs="宋体"/>
          <w:b/>
          <w:bCs/>
          <w:color w:val="auto"/>
          <w:szCs w:val="21"/>
          <w:highlight w:val="none"/>
        </w:rPr>
        <w:t>1. 项目概况</w:t>
      </w:r>
      <w:bookmarkEnd w:id="46"/>
    </w:p>
    <w:p w14:paraId="00FB3BD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 xml:space="preserve">1.1 本项目名称：滁州学院2024年经管学院会议室设备采购及安装    </w:t>
      </w:r>
      <w:r>
        <w:rPr>
          <w:rFonts w:hint="eastAsia" w:ascii="宋体" w:hAnsi="宋体" w:cs="宋体"/>
          <w:color w:val="auto"/>
          <w:kern w:val="0"/>
          <w:szCs w:val="21"/>
          <w:highlight w:val="none"/>
        </w:rPr>
        <w:t xml:space="preserve">    </w:t>
      </w:r>
    </w:p>
    <w:p w14:paraId="41342962">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 xml:space="preserve">1.2采购单位：资产与实验室管理处 </w:t>
      </w:r>
    </w:p>
    <w:p w14:paraId="092472DE">
      <w:pPr>
        <w:spacing w:line="440" w:lineRule="exact"/>
        <w:ind w:firstLine="422" w:firstLineChars="200"/>
        <w:jc w:val="left"/>
        <w:outlineLvl w:val="2"/>
        <w:rPr>
          <w:rFonts w:ascii="宋体" w:hAnsi="宋体" w:cs="宋体"/>
          <w:b/>
          <w:bCs/>
          <w:color w:val="auto"/>
          <w:szCs w:val="21"/>
          <w:highlight w:val="none"/>
        </w:rPr>
      </w:pPr>
      <w:bookmarkStart w:id="47" w:name="_Toc11148"/>
      <w:r>
        <w:rPr>
          <w:rFonts w:hint="eastAsia" w:ascii="宋体" w:hAnsi="宋体" w:cs="宋体"/>
          <w:b/>
          <w:bCs/>
          <w:color w:val="auto"/>
          <w:szCs w:val="21"/>
          <w:highlight w:val="none"/>
        </w:rPr>
        <w:t>2.项目投资</w:t>
      </w:r>
      <w:bookmarkEnd w:id="47"/>
    </w:p>
    <w:p w14:paraId="56575A8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2.1本项目投资约28.5万元。</w:t>
      </w:r>
    </w:p>
    <w:p w14:paraId="7039E45B">
      <w:pPr>
        <w:spacing w:line="440" w:lineRule="exact"/>
        <w:ind w:firstLine="422" w:firstLineChars="200"/>
        <w:jc w:val="left"/>
        <w:outlineLvl w:val="2"/>
        <w:rPr>
          <w:rFonts w:ascii="宋体" w:hAnsi="宋体" w:cs="宋体"/>
          <w:b/>
          <w:bCs/>
          <w:color w:val="auto"/>
          <w:szCs w:val="21"/>
          <w:highlight w:val="none"/>
        </w:rPr>
      </w:pPr>
      <w:bookmarkStart w:id="48" w:name="_Toc18951"/>
      <w:r>
        <w:rPr>
          <w:rFonts w:hint="eastAsia" w:ascii="宋体" w:hAnsi="宋体" w:cs="宋体"/>
          <w:b/>
          <w:bCs/>
          <w:color w:val="auto"/>
          <w:szCs w:val="21"/>
          <w:highlight w:val="none"/>
        </w:rPr>
        <w:t>3.招标范围</w:t>
      </w:r>
      <w:bookmarkEnd w:id="48"/>
    </w:p>
    <w:p w14:paraId="77FA710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5DCF81BF">
      <w:pPr>
        <w:spacing w:line="440" w:lineRule="exact"/>
        <w:ind w:firstLine="422" w:firstLineChars="200"/>
        <w:jc w:val="left"/>
        <w:outlineLvl w:val="2"/>
        <w:rPr>
          <w:rFonts w:ascii="宋体" w:hAnsi="宋体" w:cs="宋体"/>
          <w:b/>
          <w:bCs/>
          <w:color w:val="auto"/>
          <w:szCs w:val="21"/>
          <w:highlight w:val="none"/>
        </w:rPr>
      </w:pPr>
      <w:bookmarkStart w:id="49" w:name="_Toc1347"/>
      <w:r>
        <w:rPr>
          <w:rFonts w:hint="eastAsia" w:ascii="宋体" w:hAnsi="宋体" w:cs="宋体"/>
          <w:b/>
          <w:bCs/>
          <w:color w:val="auto"/>
          <w:szCs w:val="21"/>
          <w:highlight w:val="none"/>
        </w:rPr>
        <w:t>4.服务期限</w:t>
      </w:r>
      <w:bookmarkEnd w:id="49"/>
    </w:p>
    <w:p w14:paraId="7CB152A0">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4.1合同生效后，待采购人通知供货起30个日历天完成供货，待搬迁结束后进行安装调试，具体以学院安排为准。</w:t>
      </w:r>
    </w:p>
    <w:p w14:paraId="372EE6B9">
      <w:pPr>
        <w:spacing w:line="440" w:lineRule="exact"/>
        <w:ind w:firstLine="420" w:firstLineChars="200"/>
        <w:jc w:val="left"/>
        <w:outlineLvl w:val="3"/>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4.2质保期：</w:t>
      </w:r>
      <w:r>
        <w:rPr>
          <w:rFonts w:hint="eastAsia" w:ascii="宋体" w:hAnsi="宋体"/>
          <w:color w:val="auto"/>
          <w:szCs w:val="21"/>
          <w:highlight w:val="none"/>
        </w:rPr>
        <w:t>项目验收合格后提供三年免费售后服务（最终根据承诺的质保期为准）</w:t>
      </w:r>
    </w:p>
    <w:p w14:paraId="39BBC6F3">
      <w:pPr>
        <w:spacing w:line="440" w:lineRule="exact"/>
        <w:ind w:firstLine="422" w:firstLineChars="200"/>
        <w:jc w:val="left"/>
        <w:outlineLvl w:val="2"/>
        <w:rPr>
          <w:rFonts w:ascii="宋体" w:hAnsi="宋体" w:cs="宋体"/>
          <w:b/>
          <w:bCs/>
          <w:color w:val="auto"/>
          <w:szCs w:val="21"/>
          <w:highlight w:val="none"/>
        </w:rPr>
      </w:pPr>
      <w:bookmarkStart w:id="50" w:name="_Toc4219"/>
      <w:r>
        <w:rPr>
          <w:rFonts w:hint="eastAsia" w:ascii="宋体" w:hAnsi="宋体" w:cs="宋体"/>
          <w:b/>
          <w:bCs/>
          <w:color w:val="auto"/>
          <w:szCs w:val="21"/>
          <w:highlight w:val="none"/>
        </w:rPr>
        <w:t>5.投标供应商资格要求</w:t>
      </w:r>
      <w:bookmarkEnd w:id="50"/>
    </w:p>
    <w:p w14:paraId="73CC37CF">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7C85F0BD">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5.2本项目不接受联合体投标；</w:t>
      </w:r>
    </w:p>
    <w:p w14:paraId="39717C45">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5.3信誉要求：投标供应商不得存在以下情形：</w:t>
      </w:r>
    </w:p>
    <w:p w14:paraId="51B93569">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①投标供应商被人民法院列入失信被执行人的；</w:t>
      </w:r>
    </w:p>
    <w:p w14:paraId="4942EEE3">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②投标供应商或其法定代表人被人民检察院列入行贿犯罪档案的；</w:t>
      </w:r>
    </w:p>
    <w:p w14:paraId="27D349F7">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③投标供应商被市场监督管理部门列入经营异常名录或者严重违法企业名单的；</w:t>
      </w:r>
    </w:p>
    <w:p w14:paraId="6FC957DA">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④投标供应商被税收部门列入重大税收违法案件当事人的；</w:t>
      </w:r>
    </w:p>
    <w:p w14:paraId="1A3C3F3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14519538">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18D64B5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7014A20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62985EC0">
      <w:pPr>
        <w:spacing w:line="440" w:lineRule="exact"/>
        <w:ind w:firstLine="422" w:firstLineChars="200"/>
        <w:jc w:val="left"/>
        <w:outlineLvl w:val="2"/>
        <w:rPr>
          <w:rFonts w:ascii="宋体" w:hAnsi="宋体" w:cs="宋体"/>
          <w:b/>
          <w:bCs/>
          <w:color w:val="auto"/>
          <w:szCs w:val="21"/>
          <w:highlight w:val="none"/>
        </w:rPr>
      </w:pPr>
      <w:bookmarkStart w:id="51" w:name="_Toc30010"/>
      <w:r>
        <w:rPr>
          <w:rFonts w:hint="eastAsia" w:ascii="宋体" w:hAnsi="宋体" w:cs="宋体"/>
          <w:b/>
          <w:bCs/>
          <w:color w:val="auto"/>
          <w:szCs w:val="21"/>
          <w:highlight w:val="none"/>
        </w:rPr>
        <w:t>6.资金来源</w:t>
      </w:r>
      <w:bookmarkEnd w:id="51"/>
    </w:p>
    <w:p w14:paraId="0A77C9CA">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3084FC49">
      <w:pPr>
        <w:spacing w:line="440" w:lineRule="exact"/>
        <w:ind w:firstLine="422" w:firstLineChars="200"/>
        <w:jc w:val="left"/>
        <w:outlineLvl w:val="2"/>
        <w:rPr>
          <w:rFonts w:ascii="宋体" w:hAnsi="宋体" w:cs="宋体"/>
          <w:b/>
          <w:bCs/>
          <w:color w:val="auto"/>
          <w:szCs w:val="21"/>
          <w:highlight w:val="none"/>
        </w:rPr>
      </w:pPr>
      <w:bookmarkStart w:id="52" w:name="_Toc15417"/>
      <w:r>
        <w:rPr>
          <w:rFonts w:hint="eastAsia" w:ascii="宋体" w:hAnsi="宋体" w:cs="宋体"/>
          <w:b/>
          <w:bCs/>
          <w:color w:val="auto"/>
          <w:szCs w:val="21"/>
          <w:highlight w:val="none"/>
        </w:rPr>
        <w:t>7.标段划分</w:t>
      </w:r>
      <w:bookmarkEnd w:id="52"/>
    </w:p>
    <w:p w14:paraId="78CF554E">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45089AE7">
      <w:pPr>
        <w:spacing w:line="440" w:lineRule="exact"/>
        <w:ind w:firstLine="422" w:firstLineChars="200"/>
        <w:jc w:val="left"/>
        <w:outlineLvl w:val="2"/>
        <w:rPr>
          <w:rFonts w:ascii="宋体" w:hAnsi="宋体" w:cs="宋体"/>
          <w:b/>
          <w:bCs/>
          <w:color w:val="auto"/>
          <w:szCs w:val="21"/>
          <w:highlight w:val="none"/>
        </w:rPr>
      </w:pPr>
      <w:bookmarkStart w:id="53" w:name="_Toc11838"/>
      <w:r>
        <w:rPr>
          <w:rFonts w:hint="eastAsia" w:ascii="宋体" w:hAnsi="宋体" w:cs="宋体"/>
          <w:b/>
          <w:bCs/>
          <w:color w:val="auto"/>
          <w:szCs w:val="21"/>
          <w:highlight w:val="none"/>
        </w:rPr>
        <w:t>8.招标方式</w:t>
      </w:r>
      <w:bookmarkEnd w:id="53"/>
    </w:p>
    <w:p w14:paraId="762B7CA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7D59688E">
      <w:pPr>
        <w:spacing w:line="440" w:lineRule="exact"/>
        <w:ind w:firstLine="422" w:firstLineChars="200"/>
        <w:jc w:val="left"/>
        <w:outlineLvl w:val="2"/>
        <w:rPr>
          <w:rFonts w:ascii="宋体" w:hAnsi="宋体" w:cs="宋体"/>
          <w:b/>
          <w:bCs/>
          <w:color w:val="auto"/>
          <w:szCs w:val="21"/>
          <w:highlight w:val="none"/>
        </w:rPr>
      </w:pPr>
      <w:bookmarkStart w:id="54" w:name="_Toc20247"/>
      <w:r>
        <w:rPr>
          <w:rFonts w:hint="eastAsia" w:ascii="宋体" w:hAnsi="宋体" w:cs="宋体"/>
          <w:b/>
          <w:bCs/>
          <w:color w:val="auto"/>
          <w:szCs w:val="21"/>
          <w:highlight w:val="none"/>
        </w:rPr>
        <w:t>9.计价方式</w:t>
      </w:r>
      <w:bookmarkEnd w:id="54"/>
    </w:p>
    <w:p w14:paraId="6A0D0CC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固定总价  </w:t>
      </w:r>
      <w:r>
        <w:rPr>
          <w:rFonts w:hint="eastAsia" w:ascii="宋体" w:hAnsi="宋体" w:cs="宋体"/>
          <w:color w:val="auto"/>
          <w:szCs w:val="21"/>
          <w:highlight w:val="none"/>
        </w:rPr>
        <w:t>。</w:t>
      </w:r>
    </w:p>
    <w:p w14:paraId="11B08F4E">
      <w:pPr>
        <w:spacing w:line="440" w:lineRule="exact"/>
        <w:ind w:firstLine="422" w:firstLineChars="200"/>
        <w:jc w:val="left"/>
        <w:outlineLvl w:val="2"/>
        <w:rPr>
          <w:rFonts w:ascii="宋体" w:hAnsi="宋体" w:cs="宋体"/>
          <w:b/>
          <w:bCs/>
          <w:color w:val="auto"/>
          <w:szCs w:val="21"/>
          <w:highlight w:val="none"/>
        </w:rPr>
      </w:pPr>
      <w:bookmarkStart w:id="55" w:name="_Toc25598"/>
      <w:r>
        <w:rPr>
          <w:rFonts w:hint="eastAsia" w:ascii="宋体" w:hAnsi="宋体" w:cs="宋体"/>
          <w:b/>
          <w:bCs/>
          <w:color w:val="auto"/>
          <w:szCs w:val="21"/>
          <w:highlight w:val="none"/>
        </w:rPr>
        <w:t>10.评标办法</w:t>
      </w:r>
      <w:bookmarkEnd w:id="55"/>
    </w:p>
    <w:p w14:paraId="3D7668B8">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029C3C54">
      <w:pPr>
        <w:spacing w:before="156" w:beforeLines="50" w:after="156" w:afterLines="50" w:line="440" w:lineRule="exact"/>
        <w:jc w:val="center"/>
        <w:outlineLvl w:val="1"/>
        <w:rPr>
          <w:rFonts w:ascii="宋体" w:hAnsi="宋体" w:cs="宋体"/>
          <w:color w:val="auto"/>
          <w:szCs w:val="21"/>
          <w:highlight w:val="none"/>
        </w:rPr>
      </w:pPr>
      <w:bookmarkStart w:id="56" w:name="_Toc27229"/>
      <w:r>
        <w:rPr>
          <w:rFonts w:hint="eastAsia" w:ascii="宋体" w:hAnsi="宋体" w:cs="宋体"/>
          <w:b/>
          <w:bCs/>
          <w:color w:val="auto"/>
          <w:sz w:val="28"/>
          <w:szCs w:val="28"/>
          <w:highlight w:val="none"/>
        </w:rPr>
        <w:t>二、采购文件</w:t>
      </w:r>
      <w:bookmarkEnd w:id="56"/>
    </w:p>
    <w:p w14:paraId="3EC3220E">
      <w:pPr>
        <w:spacing w:line="440" w:lineRule="exact"/>
        <w:ind w:firstLine="422" w:firstLineChars="200"/>
        <w:jc w:val="left"/>
        <w:outlineLvl w:val="2"/>
        <w:rPr>
          <w:rFonts w:ascii="宋体" w:hAnsi="宋体" w:cs="宋体"/>
          <w:b/>
          <w:bCs/>
          <w:color w:val="auto"/>
          <w:szCs w:val="21"/>
          <w:highlight w:val="none"/>
        </w:rPr>
      </w:pPr>
      <w:bookmarkStart w:id="57" w:name="_Toc17846"/>
      <w:r>
        <w:rPr>
          <w:rFonts w:hint="eastAsia" w:ascii="宋体" w:hAnsi="宋体" w:cs="宋体"/>
          <w:b/>
          <w:bCs/>
          <w:color w:val="auto"/>
          <w:szCs w:val="21"/>
          <w:highlight w:val="none"/>
        </w:rPr>
        <w:t>11.采购文件的编制依据</w:t>
      </w:r>
      <w:bookmarkEnd w:id="57"/>
    </w:p>
    <w:p w14:paraId="5EFE4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5D0806B4">
      <w:pPr>
        <w:spacing w:line="440" w:lineRule="exact"/>
        <w:ind w:firstLine="422" w:firstLineChars="200"/>
        <w:jc w:val="left"/>
        <w:outlineLvl w:val="2"/>
        <w:rPr>
          <w:rFonts w:ascii="宋体" w:hAnsi="宋体" w:cs="宋体"/>
          <w:b/>
          <w:bCs/>
          <w:color w:val="auto"/>
          <w:szCs w:val="21"/>
          <w:highlight w:val="none"/>
        </w:rPr>
      </w:pPr>
      <w:bookmarkStart w:id="58" w:name="_Toc28477"/>
      <w:r>
        <w:rPr>
          <w:rFonts w:hint="eastAsia" w:ascii="宋体" w:hAnsi="宋体" w:cs="宋体"/>
          <w:b/>
          <w:bCs/>
          <w:color w:val="auto"/>
          <w:szCs w:val="21"/>
          <w:highlight w:val="none"/>
        </w:rPr>
        <w:t>12.采购文件的组成</w:t>
      </w:r>
      <w:bookmarkEnd w:id="58"/>
    </w:p>
    <w:p w14:paraId="17F6028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53CAE3E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29961B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7EA3AD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68385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54E6DE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37E0D9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4809F7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417995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70598A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625B624">
      <w:pPr>
        <w:spacing w:line="440" w:lineRule="exact"/>
        <w:ind w:firstLine="422" w:firstLineChars="200"/>
        <w:jc w:val="left"/>
        <w:outlineLvl w:val="2"/>
        <w:rPr>
          <w:rFonts w:ascii="宋体" w:hAnsi="宋体" w:cs="宋体"/>
          <w:b/>
          <w:bCs/>
          <w:color w:val="auto"/>
          <w:szCs w:val="21"/>
          <w:highlight w:val="none"/>
        </w:rPr>
      </w:pPr>
      <w:bookmarkStart w:id="59" w:name="_Toc27429"/>
      <w:r>
        <w:rPr>
          <w:rFonts w:hint="eastAsia" w:ascii="宋体" w:hAnsi="宋体" w:cs="宋体"/>
          <w:b/>
          <w:bCs/>
          <w:color w:val="auto"/>
          <w:szCs w:val="21"/>
          <w:highlight w:val="none"/>
        </w:rPr>
        <w:t>13.   采购文件的澄清、修改、补充、解释</w:t>
      </w:r>
      <w:bookmarkEnd w:id="59"/>
    </w:p>
    <w:p w14:paraId="5FC958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4A51FC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465C2EF2">
      <w:pPr>
        <w:spacing w:line="440" w:lineRule="exact"/>
        <w:ind w:firstLine="422" w:firstLineChars="200"/>
        <w:jc w:val="left"/>
        <w:outlineLvl w:val="2"/>
        <w:rPr>
          <w:rFonts w:ascii="宋体" w:hAnsi="宋体" w:cs="宋体"/>
          <w:b/>
          <w:bCs/>
          <w:color w:val="auto"/>
          <w:szCs w:val="21"/>
          <w:highlight w:val="none"/>
        </w:rPr>
      </w:pPr>
      <w:bookmarkStart w:id="60" w:name="_Toc19558"/>
      <w:r>
        <w:rPr>
          <w:rFonts w:hint="eastAsia" w:ascii="宋体" w:hAnsi="宋体" w:cs="宋体"/>
          <w:b/>
          <w:bCs/>
          <w:color w:val="auto"/>
          <w:szCs w:val="21"/>
          <w:highlight w:val="none"/>
        </w:rPr>
        <w:t>14.   踏勘现场</w:t>
      </w:r>
      <w:bookmarkEnd w:id="60"/>
    </w:p>
    <w:p w14:paraId="5981D8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65493D69">
      <w:pPr>
        <w:spacing w:before="156" w:beforeLines="50" w:after="156" w:afterLines="50" w:line="440" w:lineRule="exact"/>
        <w:jc w:val="center"/>
        <w:outlineLvl w:val="1"/>
        <w:rPr>
          <w:rFonts w:ascii="宋体" w:hAnsi="宋体" w:cs="宋体"/>
          <w:b/>
          <w:bCs/>
          <w:color w:val="auto"/>
          <w:sz w:val="28"/>
          <w:szCs w:val="28"/>
          <w:highlight w:val="none"/>
        </w:rPr>
      </w:pPr>
      <w:bookmarkStart w:id="61" w:name="_Toc11879"/>
      <w:r>
        <w:rPr>
          <w:rFonts w:hint="eastAsia" w:ascii="宋体" w:hAnsi="宋体" w:cs="宋体"/>
          <w:b/>
          <w:bCs/>
          <w:color w:val="auto"/>
          <w:sz w:val="28"/>
          <w:szCs w:val="28"/>
          <w:highlight w:val="none"/>
        </w:rPr>
        <w:t>三、投标文件的编制</w:t>
      </w:r>
      <w:bookmarkEnd w:id="61"/>
    </w:p>
    <w:p w14:paraId="45C5E02D">
      <w:pPr>
        <w:spacing w:line="440" w:lineRule="exact"/>
        <w:ind w:firstLine="422" w:firstLineChars="200"/>
        <w:outlineLvl w:val="2"/>
        <w:rPr>
          <w:rFonts w:ascii="宋体" w:hAnsi="宋体" w:cs="宋体"/>
          <w:b/>
          <w:bCs/>
          <w:color w:val="auto"/>
          <w:szCs w:val="21"/>
          <w:highlight w:val="none"/>
        </w:rPr>
      </w:pPr>
      <w:bookmarkStart w:id="62" w:name="_Toc10504"/>
      <w:r>
        <w:rPr>
          <w:rFonts w:hint="eastAsia" w:ascii="宋体" w:hAnsi="宋体" w:cs="宋体"/>
          <w:b/>
          <w:bCs/>
          <w:color w:val="auto"/>
          <w:szCs w:val="21"/>
          <w:highlight w:val="none"/>
        </w:rPr>
        <w:t>15.   投标文件的组成</w:t>
      </w:r>
      <w:bookmarkEnd w:id="62"/>
    </w:p>
    <w:p w14:paraId="533601E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59F4CA4C">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1F01A0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1C714EE6">
      <w:pPr>
        <w:spacing w:line="440" w:lineRule="exact"/>
        <w:ind w:firstLine="420" w:firstLineChars="200"/>
        <w:outlineLvl w:val="0"/>
        <w:rPr>
          <w:rFonts w:ascii="宋体" w:hAnsi="宋体" w:cs="宋体"/>
          <w:color w:val="auto"/>
          <w:szCs w:val="21"/>
          <w:highlight w:val="none"/>
        </w:rPr>
      </w:pPr>
      <w:bookmarkStart w:id="63" w:name="_Toc360"/>
      <w:r>
        <w:rPr>
          <w:rFonts w:hint="eastAsia" w:ascii="宋体" w:hAnsi="宋体" w:cs="宋体"/>
          <w:color w:val="auto"/>
          <w:szCs w:val="21"/>
          <w:highlight w:val="none"/>
        </w:rPr>
        <w:t>（2）投标供应商有效的营业执照（或三证合一的有效证件）；</w:t>
      </w:r>
      <w:bookmarkEnd w:id="63"/>
    </w:p>
    <w:p w14:paraId="41EC9BD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2D23F348">
      <w:pPr>
        <w:spacing w:line="440" w:lineRule="exact"/>
        <w:ind w:firstLine="420" w:firstLineChars="200"/>
        <w:outlineLvl w:val="0"/>
        <w:rPr>
          <w:rFonts w:ascii="宋体" w:hAnsi="宋体" w:cs="宋体"/>
          <w:color w:val="auto"/>
          <w:szCs w:val="21"/>
          <w:highlight w:val="none"/>
        </w:rPr>
      </w:pPr>
      <w:bookmarkStart w:id="64" w:name="_Toc24819"/>
      <w:r>
        <w:rPr>
          <w:rFonts w:hint="eastAsia" w:ascii="宋体" w:hAnsi="宋体" w:cs="宋体"/>
          <w:color w:val="auto"/>
          <w:szCs w:val="21"/>
          <w:highlight w:val="none"/>
        </w:rPr>
        <w:t>（4）诚信投标承诺书（格式见附件）；</w:t>
      </w:r>
      <w:bookmarkEnd w:id="64"/>
    </w:p>
    <w:p w14:paraId="5738D90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3AEA2959">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44410C54">
      <w:pPr>
        <w:spacing w:line="440" w:lineRule="exact"/>
        <w:ind w:firstLine="422" w:firstLineChars="200"/>
        <w:jc w:val="left"/>
        <w:outlineLvl w:val="1"/>
        <w:rPr>
          <w:rFonts w:ascii="宋体" w:hAnsi="宋体" w:cs="宋体"/>
          <w:b/>
          <w:bCs/>
          <w:color w:val="auto"/>
          <w:kern w:val="0"/>
          <w:szCs w:val="21"/>
          <w:highlight w:val="none"/>
          <w:u w:color="000000"/>
        </w:rPr>
      </w:pPr>
      <w:bookmarkStart w:id="65" w:name="_Toc1024"/>
      <w:r>
        <w:rPr>
          <w:rFonts w:hint="eastAsia" w:ascii="宋体" w:hAnsi="宋体" w:cs="宋体"/>
          <w:b/>
          <w:bCs/>
          <w:color w:val="auto"/>
          <w:kern w:val="0"/>
          <w:szCs w:val="21"/>
          <w:highlight w:val="none"/>
          <w:u w:color="000000"/>
        </w:rPr>
        <w:t>15.1.2技术标：</w:t>
      </w:r>
      <w:bookmarkEnd w:id="65"/>
    </w:p>
    <w:p w14:paraId="0E82D9E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4CEED95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02140D8A">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（3）质量承诺及保证体系、措施、应急方案；</w:t>
      </w:r>
    </w:p>
    <w:p w14:paraId="0BAD5E5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150841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78C14562">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98FB950">
      <w:pPr>
        <w:spacing w:line="440" w:lineRule="exact"/>
        <w:ind w:firstLine="422" w:firstLineChars="200"/>
        <w:jc w:val="left"/>
        <w:outlineLvl w:val="1"/>
        <w:rPr>
          <w:rFonts w:ascii="宋体" w:hAnsi="宋体" w:cs="宋体"/>
          <w:b/>
          <w:bCs/>
          <w:color w:val="auto"/>
          <w:highlight w:val="none"/>
        </w:rPr>
      </w:pPr>
      <w:bookmarkStart w:id="66" w:name="_Toc8894"/>
      <w:r>
        <w:rPr>
          <w:rFonts w:hint="eastAsia" w:ascii="宋体" w:hAnsi="宋体" w:cs="宋体"/>
          <w:b/>
          <w:bCs/>
          <w:color w:val="auto"/>
          <w:kern w:val="0"/>
          <w:szCs w:val="21"/>
          <w:highlight w:val="none"/>
          <w:u w:color="000000"/>
        </w:rPr>
        <w:t>15.1.3商务标：</w:t>
      </w:r>
      <w:bookmarkEnd w:id="66"/>
    </w:p>
    <w:p w14:paraId="09C4FD8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653E876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2ADE053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227BC82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01BB7072">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0ED56FD4">
      <w:pPr>
        <w:spacing w:line="440" w:lineRule="exact"/>
        <w:ind w:firstLine="420" w:firstLineChars="200"/>
        <w:outlineLvl w:val="1"/>
        <w:rPr>
          <w:rFonts w:ascii="宋体" w:hAnsi="宋体" w:cs="宋体"/>
          <w:color w:val="auto"/>
          <w:szCs w:val="21"/>
          <w:highlight w:val="none"/>
        </w:rPr>
      </w:pPr>
      <w:bookmarkStart w:id="67"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67"/>
    </w:p>
    <w:p w14:paraId="2D2FC427">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1C84D620">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2F1747D1">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本项目最高限价为贰拾捌万伍仟元整（285000.00元），供应商的响应报价不得高于采购人发布的最高限价，且综合单价不得高于采购人设置的综合单价最高限价，否则按无效标处理。</w:t>
      </w:r>
    </w:p>
    <w:p w14:paraId="2B2AEDA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28EADEA8">
      <w:pPr>
        <w:spacing w:before="156" w:beforeLines="50" w:after="156" w:afterLines="50" w:line="440" w:lineRule="exact"/>
        <w:jc w:val="center"/>
        <w:outlineLvl w:val="1"/>
        <w:rPr>
          <w:rFonts w:ascii="宋体" w:hAnsi="宋体" w:cs="宋体"/>
          <w:b/>
          <w:bCs/>
          <w:color w:val="auto"/>
          <w:sz w:val="28"/>
          <w:szCs w:val="28"/>
          <w:highlight w:val="none"/>
        </w:rPr>
      </w:pPr>
      <w:bookmarkStart w:id="68" w:name="_Toc18457"/>
      <w:r>
        <w:rPr>
          <w:rFonts w:hint="eastAsia" w:ascii="宋体" w:hAnsi="宋体" w:cs="宋体"/>
          <w:b/>
          <w:bCs/>
          <w:color w:val="auto"/>
          <w:sz w:val="28"/>
          <w:szCs w:val="28"/>
          <w:highlight w:val="none"/>
        </w:rPr>
        <w:t>四、投标文件的密封和递交</w:t>
      </w:r>
      <w:bookmarkEnd w:id="68"/>
    </w:p>
    <w:p w14:paraId="556C8A1A">
      <w:pPr>
        <w:spacing w:line="440" w:lineRule="exact"/>
        <w:ind w:firstLine="422" w:firstLineChars="200"/>
        <w:outlineLvl w:val="2"/>
        <w:rPr>
          <w:rFonts w:ascii="宋体" w:hAnsi="宋体" w:cs="宋体"/>
          <w:b/>
          <w:bCs/>
          <w:color w:val="auto"/>
          <w:szCs w:val="21"/>
          <w:highlight w:val="none"/>
        </w:rPr>
      </w:pPr>
      <w:bookmarkStart w:id="69" w:name="_Toc23252"/>
      <w:r>
        <w:rPr>
          <w:rFonts w:hint="eastAsia" w:ascii="宋体" w:hAnsi="宋体" w:cs="宋体"/>
          <w:b/>
          <w:bCs/>
          <w:color w:val="auto"/>
          <w:szCs w:val="21"/>
          <w:highlight w:val="none"/>
        </w:rPr>
        <w:t>17.   投标文件的份数和签署（投标文件编制、密封）</w:t>
      </w:r>
      <w:bookmarkEnd w:id="69"/>
    </w:p>
    <w:p w14:paraId="3FFAF4B1">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17.1  投标文件：书面文件一式</w:t>
      </w:r>
      <w:r>
        <w:rPr>
          <w:rFonts w:hint="eastAsia" w:ascii="宋体" w:hAnsi="宋体" w:cs="宋体"/>
          <w:color w:val="auto"/>
          <w:szCs w:val="21"/>
          <w:highlight w:val="none"/>
          <w:u w:val="single"/>
        </w:rPr>
        <w:t xml:space="preserve">  三份</w:t>
      </w:r>
      <w:r>
        <w:rPr>
          <w:rFonts w:hint="eastAsia" w:ascii="宋体" w:hAnsi="宋体" w:cs="宋体"/>
          <w:color w:val="auto"/>
          <w:szCs w:val="21"/>
          <w:highlight w:val="none"/>
        </w:rPr>
        <w:t>，正本</w:t>
      </w:r>
      <w:r>
        <w:rPr>
          <w:rFonts w:hint="eastAsia" w:ascii="宋体" w:hAnsi="宋体" w:cs="宋体"/>
          <w:color w:val="auto"/>
          <w:szCs w:val="21"/>
          <w:highlight w:val="none"/>
          <w:u w:val="single"/>
        </w:rPr>
        <w:t xml:space="preserve"> 一 份</w:t>
      </w:r>
      <w:r>
        <w:rPr>
          <w:rFonts w:hint="eastAsia" w:ascii="宋体" w:hAnsi="宋体" w:cs="宋体"/>
          <w:color w:val="auto"/>
          <w:szCs w:val="21"/>
          <w:highlight w:val="none"/>
        </w:rPr>
        <w:t>，副本</w:t>
      </w:r>
      <w:r>
        <w:rPr>
          <w:rFonts w:hint="eastAsia" w:ascii="宋体" w:hAnsi="宋体" w:cs="宋体"/>
          <w:color w:val="auto"/>
          <w:szCs w:val="21"/>
          <w:highlight w:val="none"/>
          <w:u w:val="single"/>
        </w:rPr>
        <w:t xml:space="preserve"> 二 份</w:t>
      </w:r>
      <w:r>
        <w:rPr>
          <w:rFonts w:hint="eastAsia" w:ascii="宋体" w:hAnsi="宋体" w:cs="宋体"/>
          <w:b/>
          <w:color w:val="auto"/>
          <w:kern w:val="0"/>
          <w:szCs w:val="21"/>
          <w:highlight w:val="none"/>
        </w:rPr>
        <w:t>。</w:t>
      </w:r>
    </w:p>
    <w:p w14:paraId="1989FDB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投标文件的正本和副本均需打印或使用不褪色的蓝、黑墨水笔书写，字迹应清晰易于辨认，并应在投标文件封面的右上角清楚地注明“正本”或“副本”。正本和副本如有不一致之处，以正本为准。</w:t>
      </w:r>
    </w:p>
    <w:p w14:paraId="5DD675D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zCs w:val="21"/>
          <w:highlight w:val="none"/>
        </w:rPr>
        <w:t>否则</w:t>
      </w:r>
      <w:r>
        <w:rPr>
          <w:rFonts w:hint="eastAsia" w:ascii="宋体" w:hAnsi="宋体" w:cs="宋体"/>
          <w:color w:val="auto"/>
          <w:szCs w:val="21"/>
          <w:highlight w:val="none"/>
        </w:rPr>
        <w:t>，投标文件作无效标处理。</w:t>
      </w:r>
    </w:p>
    <w:p w14:paraId="0774CE8C">
      <w:pPr>
        <w:spacing w:line="440" w:lineRule="exact"/>
        <w:ind w:firstLine="422" w:firstLineChars="200"/>
        <w:jc w:val="left"/>
        <w:outlineLvl w:val="2"/>
        <w:rPr>
          <w:rFonts w:ascii="宋体" w:hAnsi="宋体" w:cs="宋体"/>
          <w:b/>
          <w:bCs/>
          <w:color w:val="auto"/>
          <w:szCs w:val="21"/>
          <w:highlight w:val="none"/>
        </w:rPr>
      </w:pPr>
      <w:bookmarkStart w:id="70" w:name="_Toc435"/>
      <w:r>
        <w:rPr>
          <w:rFonts w:hint="eastAsia" w:ascii="宋体" w:hAnsi="宋体" w:cs="宋体"/>
          <w:b/>
          <w:bCs/>
          <w:color w:val="auto"/>
          <w:szCs w:val="21"/>
          <w:highlight w:val="none"/>
        </w:rPr>
        <w:t>18.   投标文件的装订、密封和标记</w:t>
      </w:r>
      <w:bookmarkEnd w:id="70"/>
    </w:p>
    <w:p w14:paraId="27247ED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18.1  投标文件的装订要求</w:t>
      </w:r>
    </w:p>
    <w:p w14:paraId="3E23D2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18.1.1投标文件应当密封装订，按采购文件规定的顺序装订在一起。</w:t>
      </w:r>
    </w:p>
    <w:p w14:paraId="7F49C06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18.2  投标文件的密封</w:t>
      </w:r>
    </w:p>
    <w:p w14:paraId="4B66227A">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18.2.1</w:t>
      </w:r>
      <w:r>
        <w:rPr>
          <w:rFonts w:hint="eastAsia" w:ascii="宋体" w:hAnsi="宋体" w:cs="宋体"/>
          <w:b/>
          <w:bCs/>
          <w:color w:val="auto"/>
          <w:szCs w:val="21"/>
          <w:highlight w:val="none"/>
        </w:rPr>
        <w:t>资格证明文件正副本密封在资格证明文件袋内，技术标正副本密封在技术标文件袋内，商务标正副本密封在商务标文件袋内。</w:t>
      </w:r>
    </w:p>
    <w:p w14:paraId="284589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18.3  投标文件密封袋的标记</w:t>
      </w:r>
    </w:p>
    <w:p w14:paraId="0EA76C5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18.3.1在投标文件密封袋上应写明投标项目名称、供应商名称。</w:t>
      </w:r>
    </w:p>
    <w:p w14:paraId="47F3734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18.3.2所有投标文件的密封袋应加盖投标供应商印章；否则，该投标文件将被拒绝。</w:t>
      </w:r>
    </w:p>
    <w:p w14:paraId="61999346">
      <w:pPr>
        <w:spacing w:line="440" w:lineRule="exact"/>
        <w:ind w:firstLine="422" w:firstLineChars="200"/>
        <w:jc w:val="left"/>
        <w:outlineLvl w:val="2"/>
        <w:rPr>
          <w:rFonts w:ascii="宋体" w:hAnsi="宋体" w:cs="宋体"/>
          <w:b/>
          <w:bCs/>
          <w:color w:val="auto"/>
          <w:szCs w:val="21"/>
          <w:highlight w:val="none"/>
        </w:rPr>
      </w:pPr>
      <w:bookmarkStart w:id="71" w:name="_Toc10261"/>
      <w:r>
        <w:rPr>
          <w:rFonts w:hint="eastAsia" w:ascii="宋体" w:hAnsi="宋体" w:cs="宋体"/>
          <w:b/>
          <w:bCs/>
          <w:color w:val="auto"/>
          <w:szCs w:val="21"/>
          <w:highlight w:val="none"/>
        </w:rPr>
        <w:t>19.   投标文件的提交</w:t>
      </w:r>
      <w:bookmarkEnd w:id="71"/>
    </w:p>
    <w:p w14:paraId="5BB3DEA3">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19.1  投标文件提交的收件人、截止时间及地点</w:t>
      </w:r>
    </w:p>
    <w:p w14:paraId="1E70F6DF">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收件人：</w:t>
      </w:r>
      <w:r>
        <w:rPr>
          <w:rFonts w:hint="eastAsia" w:ascii="宋体" w:hAnsi="宋体" w:cs="宋体"/>
          <w:b/>
          <w:bCs/>
          <w:color w:val="auto"/>
          <w:kern w:val="0"/>
          <w:szCs w:val="21"/>
          <w:highlight w:val="none"/>
          <w:u w:val="single"/>
        </w:rPr>
        <w:t>安徽立地工程咨询有限公司</w:t>
      </w:r>
    </w:p>
    <w:p w14:paraId="6EBB92D0">
      <w:pPr>
        <w:spacing w:line="440" w:lineRule="exact"/>
        <w:ind w:firstLine="422" w:firstLineChars="200"/>
        <w:rPr>
          <w:rFonts w:hint="eastAsia" w:ascii="宋体" w:hAnsi="宋体" w:eastAsia="宋体" w:cs="宋体"/>
          <w:color w:val="auto"/>
          <w:kern w:val="0"/>
          <w:szCs w:val="21"/>
          <w:highlight w:val="none"/>
          <w:u w:val="single"/>
          <w:lang w:eastAsia="zh-CN"/>
        </w:rPr>
      </w:pPr>
      <w:r>
        <w:rPr>
          <w:rFonts w:hint="eastAsia" w:ascii="宋体" w:hAnsi="宋体" w:cs="宋体"/>
          <w:b/>
          <w:bCs/>
          <w:color w:val="auto"/>
          <w:kern w:val="0"/>
          <w:szCs w:val="21"/>
          <w:highlight w:val="none"/>
        </w:rPr>
        <w:t>时  间：</w:t>
      </w:r>
      <w:r>
        <w:rPr>
          <w:rFonts w:hint="eastAsia" w:ascii="宋体" w:hAnsi="宋体" w:cs="宋体"/>
          <w:b/>
          <w:bCs/>
          <w:color w:val="auto"/>
          <w:kern w:val="0"/>
          <w:szCs w:val="21"/>
          <w:highlight w:val="none"/>
          <w:lang w:eastAsia="zh-CN"/>
        </w:rPr>
        <w:t>202</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lang w:eastAsia="zh-CN"/>
        </w:rPr>
        <w:t>年</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lang w:eastAsia="zh-CN"/>
        </w:rPr>
        <w:t>月</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lang w:eastAsia="zh-CN"/>
        </w:rPr>
        <w:t>日15时00分</w:t>
      </w:r>
    </w:p>
    <w:p w14:paraId="2CFC328B">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地  点：</w:t>
      </w:r>
      <w:r>
        <w:rPr>
          <w:rFonts w:hint="eastAsia" w:ascii="宋体" w:hAnsi="宋体" w:cs="宋体"/>
          <w:b/>
          <w:bCs/>
          <w:color w:val="auto"/>
          <w:szCs w:val="21"/>
          <w:highlight w:val="none"/>
        </w:rPr>
        <w:t>滁州市丰乐大道1899号皖东国际车城A区写字楼A6栋3楼</w:t>
      </w:r>
    </w:p>
    <w:p w14:paraId="622BD76F">
      <w:pPr>
        <w:spacing w:before="156" w:beforeLines="50" w:after="156" w:afterLines="50" w:line="440" w:lineRule="exact"/>
        <w:jc w:val="center"/>
        <w:outlineLvl w:val="1"/>
        <w:rPr>
          <w:rFonts w:ascii="宋体" w:hAnsi="宋体" w:cs="宋体"/>
          <w:b/>
          <w:bCs/>
          <w:color w:val="auto"/>
          <w:sz w:val="28"/>
          <w:szCs w:val="28"/>
          <w:highlight w:val="none"/>
        </w:rPr>
      </w:pPr>
      <w:bookmarkStart w:id="72" w:name="_Toc31586"/>
      <w:r>
        <w:rPr>
          <w:rFonts w:hint="eastAsia" w:ascii="宋体" w:hAnsi="宋体" w:cs="宋体"/>
          <w:b/>
          <w:bCs/>
          <w:color w:val="auto"/>
          <w:sz w:val="28"/>
          <w:szCs w:val="28"/>
          <w:highlight w:val="none"/>
        </w:rPr>
        <w:t>五、开标、评标和定标</w:t>
      </w:r>
      <w:bookmarkEnd w:id="72"/>
    </w:p>
    <w:p w14:paraId="46F4AE77">
      <w:pPr>
        <w:spacing w:line="440" w:lineRule="exact"/>
        <w:ind w:firstLine="422" w:firstLineChars="200"/>
        <w:jc w:val="left"/>
        <w:outlineLvl w:val="2"/>
        <w:rPr>
          <w:rFonts w:ascii="宋体" w:hAnsi="宋体" w:cs="宋体"/>
          <w:b/>
          <w:bCs/>
          <w:color w:val="auto"/>
          <w:szCs w:val="21"/>
          <w:highlight w:val="none"/>
        </w:rPr>
      </w:pPr>
      <w:bookmarkStart w:id="73" w:name="_Toc10194"/>
      <w:r>
        <w:rPr>
          <w:rFonts w:hint="eastAsia" w:ascii="宋体" w:hAnsi="宋体" w:cs="宋体"/>
          <w:b/>
          <w:bCs/>
          <w:color w:val="auto"/>
          <w:szCs w:val="21"/>
          <w:highlight w:val="none"/>
        </w:rPr>
        <w:t>20.   开标</w:t>
      </w:r>
      <w:bookmarkEnd w:id="73"/>
    </w:p>
    <w:p w14:paraId="33D5EF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3159E2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20.1.1采购人按本须知第19.1条提交投标文件的截止时间和地点开标，并邀请所有投标供应商参加。</w:t>
      </w:r>
    </w:p>
    <w:p w14:paraId="60606E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6E7B41BE">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099606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5B8F5B75">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25B47C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开标会议由安徽立地工程咨询有限公司（代理机构）主持。</w:t>
      </w:r>
    </w:p>
    <w:p w14:paraId="1824DA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58ECCC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0F64215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（3）公布投标截止时间前，通过在</w:t>
      </w:r>
      <w:r>
        <w:rPr>
          <w:rFonts w:hint="eastAsia" w:ascii="宋体" w:hAnsi="宋体" w:cs="宋体"/>
          <w:bCs/>
          <w:color w:val="auto"/>
          <w:szCs w:val="21"/>
          <w:highlight w:val="none"/>
        </w:rPr>
        <w:t>滁州学院网站（http://zcc.chzu.edu.cn）资产与实验室管理处网页采购公告栏下载文件并按时递交投标文件的</w:t>
      </w:r>
      <w:r>
        <w:rPr>
          <w:rFonts w:hint="eastAsia" w:ascii="宋体" w:hAnsi="宋体" w:cs="宋体"/>
          <w:color w:val="auto"/>
          <w:szCs w:val="21"/>
          <w:highlight w:val="none"/>
        </w:rPr>
        <w:t xml:space="preserve">投标供应商名称及投标保证金缴纳情况等； </w:t>
      </w:r>
    </w:p>
    <w:p w14:paraId="0F5FF7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6F938028">
      <w:pPr>
        <w:spacing w:line="440" w:lineRule="exact"/>
        <w:ind w:firstLine="420" w:firstLineChars="200"/>
        <w:jc w:val="left"/>
        <w:outlineLvl w:val="0"/>
        <w:rPr>
          <w:rFonts w:ascii="宋体" w:hAnsi="宋体" w:cs="宋体"/>
          <w:color w:val="auto"/>
          <w:szCs w:val="21"/>
          <w:highlight w:val="none"/>
        </w:rPr>
      </w:pPr>
      <w:bookmarkStart w:id="74" w:name="_Toc618"/>
      <w:r>
        <w:rPr>
          <w:rFonts w:hint="eastAsia" w:ascii="宋体" w:hAnsi="宋体" w:cs="宋体"/>
          <w:color w:val="auto"/>
          <w:szCs w:val="21"/>
          <w:highlight w:val="none"/>
        </w:rPr>
        <w:t>（5）开标结束。</w:t>
      </w:r>
      <w:bookmarkEnd w:id="74"/>
    </w:p>
    <w:p w14:paraId="08A8717A">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5" w:name="_Toc6681"/>
      <w:r>
        <w:rPr>
          <w:rFonts w:hint="eastAsia" w:ascii="宋体" w:hAnsi="宋体" w:cs="宋体"/>
          <w:color w:val="auto"/>
          <w:szCs w:val="21"/>
          <w:highlight w:val="none"/>
        </w:rPr>
        <w:t>20.3.2开标异议</w:t>
      </w:r>
      <w:bookmarkEnd w:id="75"/>
    </w:p>
    <w:p w14:paraId="4115FB02">
      <w:pPr>
        <w:pStyle w:val="25"/>
        <w:spacing w:line="440" w:lineRule="exact"/>
        <w:ind w:firstLine="420"/>
        <w:rPr>
          <w:rFonts w:hAnsi="宋体" w:cs="宋体"/>
          <w:color w:val="auto"/>
          <w:sz w:val="21"/>
          <w:szCs w:val="21"/>
          <w:highlight w:val="none"/>
        </w:rPr>
      </w:pPr>
      <w:r>
        <w:rPr>
          <w:rFonts w:hint="eastAsia" w:hAnsi="宋体" w:cs="宋体"/>
          <w:color w:val="auto"/>
          <w:sz w:val="21"/>
          <w:szCs w:val="21"/>
          <w:highlight w:val="none"/>
        </w:rPr>
        <w:t>投标供应商对开标有异议的，应当在开标现场提出，采购人当场作出答复，并制作记录。</w:t>
      </w:r>
    </w:p>
    <w:p w14:paraId="034B639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20.3.3投标供应商的法定代表人（或委托代理人）应当参加开标会议，投标供应商在开标时必须</w:t>
      </w:r>
      <w:r>
        <w:rPr>
          <w:rFonts w:hint="eastAsia" w:ascii="宋体" w:hAnsi="宋体" w:cs="宋体"/>
          <w:bCs/>
          <w:color w:val="auto"/>
          <w:szCs w:val="21"/>
          <w:highlight w:val="none"/>
        </w:rPr>
        <w:t>携带（手持或封入文件袋中均视为携带）</w:t>
      </w:r>
      <w:r>
        <w:rPr>
          <w:rFonts w:hint="eastAsia" w:ascii="宋体" w:hAnsi="宋体" w:cs="宋体"/>
          <w:color w:val="auto"/>
          <w:szCs w:val="21"/>
          <w:highlight w:val="none"/>
        </w:rPr>
        <w:t>下列证件的</w:t>
      </w:r>
      <w:r>
        <w:rPr>
          <w:rFonts w:hint="eastAsia" w:ascii="宋体" w:hAnsi="宋体" w:cs="宋体"/>
          <w:b/>
          <w:color w:val="auto"/>
          <w:szCs w:val="21"/>
          <w:highlight w:val="none"/>
        </w:rPr>
        <w:t>原件（或复印件加盖投标供应商公章）</w:t>
      </w:r>
      <w:r>
        <w:rPr>
          <w:rFonts w:hint="eastAsia" w:ascii="宋体" w:hAnsi="宋体" w:cs="宋体"/>
          <w:color w:val="auto"/>
          <w:szCs w:val="21"/>
          <w:highlight w:val="none"/>
        </w:rPr>
        <w:t>，以供资格审查</w:t>
      </w:r>
      <w:r>
        <w:rPr>
          <w:rFonts w:hint="eastAsia" w:ascii="宋体" w:hAnsi="宋体" w:cs="宋体"/>
          <w:b/>
          <w:color w:val="auto"/>
          <w:szCs w:val="21"/>
          <w:highlight w:val="none"/>
        </w:rPr>
        <w:t>，</w:t>
      </w:r>
      <w:r>
        <w:rPr>
          <w:rFonts w:hint="eastAsia" w:ascii="宋体" w:hAnsi="宋体" w:cs="宋体"/>
          <w:color w:val="auto"/>
          <w:szCs w:val="21"/>
          <w:highlight w:val="none"/>
        </w:rPr>
        <w:t>否则，该投标供应商的投标文件将被拒绝。</w:t>
      </w:r>
    </w:p>
    <w:p w14:paraId="7E37F52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43C52247">
      <w:pPr>
        <w:spacing w:line="440" w:lineRule="exact"/>
        <w:ind w:firstLine="420" w:firstLineChars="200"/>
        <w:jc w:val="left"/>
        <w:outlineLvl w:val="0"/>
        <w:rPr>
          <w:rFonts w:ascii="宋体" w:hAnsi="宋体" w:cs="宋体"/>
          <w:color w:val="auto"/>
          <w:szCs w:val="21"/>
          <w:highlight w:val="none"/>
        </w:rPr>
      </w:pPr>
      <w:bookmarkStart w:id="76" w:name="_Toc18197"/>
      <w:r>
        <w:rPr>
          <w:rFonts w:hint="eastAsia" w:ascii="宋体" w:hAnsi="宋体" w:cs="宋体"/>
          <w:color w:val="auto"/>
          <w:szCs w:val="21"/>
          <w:highlight w:val="none"/>
        </w:rPr>
        <w:t>（2）企业营业执照。</w:t>
      </w:r>
      <w:bookmarkEnd w:id="76"/>
    </w:p>
    <w:p w14:paraId="7CC0DC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只有通过资格审查的投标供应商才能进入下一步的开标程序。</w:t>
      </w:r>
    </w:p>
    <w:p w14:paraId="0DD52B40">
      <w:pPr>
        <w:spacing w:line="440" w:lineRule="exact"/>
        <w:ind w:firstLine="420" w:firstLineChars="200"/>
        <w:jc w:val="left"/>
        <w:outlineLvl w:val="1"/>
        <w:rPr>
          <w:rFonts w:ascii="宋体" w:hAnsi="宋体" w:cs="宋体"/>
          <w:color w:val="auto"/>
          <w:szCs w:val="21"/>
          <w:highlight w:val="none"/>
        </w:rPr>
      </w:pPr>
      <w:bookmarkStart w:id="77" w:name="_Toc25783"/>
      <w:r>
        <w:rPr>
          <w:rFonts w:hint="eastAsia" w:ascii="宋体" w:hAnsi="宋体" w:cs="宋体"/>
          <w:color w:val="auto"/>
          <w:szCs w:val="21"/>
          <w:highlight w:val="none"/>
        </w:rPr>
        <w:t>20.4  开标程序</w:t>
      </w:r>
      <w:bookmarkEnd w:id="77"/>
    </w:p>
    <w:p w14:paraId="45E8EE39">
      <w:pPr>
        <w:spacing w:line="440" w:lineRule="exact"/>
        <w:ind w:firstLine="420" w:firstLineChars="200"/>
        <w:jc w:val="left"/>
        <w:outlineLvl w:val="2"/>
        <w:rPr>
          <w:rFonts w:ascii="宋体" w:hAnsi="宋体" w:cs="宋体"/>
          <w:color w:val="auto"/>
          <w:szCs w:val="21"/>
          <w:highlight w:val="none"/>
        </w:rPr>
      </w:pPr>
      <w:bookmarkStart w:id="78" w:name="_Toc23550"/>
      <w:r>
        <w:rPr>
          <w:rFonts w:hint="eastAsia" w:ascii="宋体" w:hAnsi="宋体" w:cs="宋体"/>
          <w:color w:val="auto"/>
          <w:szCs w:val="21"/>
          <w:highlight w:val="none"/>
        </w:rPr>
        <w:t>①开标会议由招标代理机构：</w:t>
      </w:r>
      <w:r>
        <w:rPr>
          <w:rFonts w:hint="eastAsia" w:ascii="宋体" w:hAnsi="宋体" w:cs="宋体"/>
          <w:color w:val="auto"/>
          <w:szCs w:val="21"/>
          <w:highlight w:val="none"/>
          <w:u w:val="single"/>
        </w:rPr>
        <w:t xml:space="preserve">安徽立地工程咨询有限公司 </w:t>
      </w:r>
      <w:r>
        <w:rPr>
          <w:rFonts w:hint="eastAsia" w:ascii="宋体" w:hAnsi="宋体" w:cs="宋体"/>
          <w:color w:val="auto"/>
          <w:szCs w:val="21"/>
          <w:highlight w:val="none"/>
        </w:rPr>
        <w:t>主持；</w:t>
      </w:r>
      <w:bookmarkEnd w:id="78"/>
    </w:p>
    <w:p w14:paraId="1407CE7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②采购人对各投标供应商的法定代表人（或委托代理人）第20.3.3条要求对各投标供应商进行验证确认；</w:t>
      </w:r>
    </w:p>
    <w:p w14:paraId="0A8933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③由投标供应商或其推选的代表检查投标文件的密封情况，也可以由采购人委托的公证机构检查并公证；</w:t>
      </w:r>
    </w:p>
    <w:p w14:paraId="4C83E86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④经确认无误后，由有关工作人员当众拆封，宣读投标供应商名称、投标报价和投标文件的其他主要内容并报送评标委员会评审。</w:t>
      </w:r>
    </w:p>
    <w:p w14:paraId="7B776FB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⑤对投标供应商的投标书进行计算错误复核；</w:t>
      </w:r>
    </w:p>
    <w:p w14:paraId="30049C96">
      <w:pPr>
        <w:pStyle w:val="14"/>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⑥由采购人宣布中标候选人；</w:t>
      </w:r>
    </w:p>
    <w:p w14:paraId="3BF804D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⑦ </w:t>
      </w:r>
      <w:r>
        <w:rPr>
          <w:rFonts w:hint="eastAsia" w:ascii="宋体" w:hAnsi="宋体" w:cs="宋体"/>
          <w:color w:val="auto"/>
          <w:szCs w:val="21"/>
          <w:highlight w:val="none"/>
          <w:u w:val="single"/>
        </w:rPr>
        <w:t xml:space="preserve">代理机构 </w:t>
      </w:r>
      <w:r>
        <w:rPr>
          <w:rFonts w:hint="eastAsia" w:ascii="宋体" w:hAnsi="宋体" w:cs="宋体"/>
          <w:color w:val="auto"/>
          <w:szCs w:val="21"/>
          <w:highlight w:val="none"/>
        </w:rPr>
        <w:t>对开标过程进行记录，并存档备查。</w:t>
      </w:r>
    </w:p>
    <w:p w14:paraId="34DE06CB">
      <w:pPr>
        <w:spacing w:line="440" w:lineRule="exact"/>
        <w:ind w:firstLine="420" w:firstLineChars="200"/>
        <w:jc w:val="left"/>
        <w:outlineLvl w:val="1"/>
        <w:rPr>
          <w:rFonts w:ascii="宋体" w:hAnsi="宋体" w:cs="宋体"/>
          <w:color w:val="auto"/>
          <w:szCs w:val="21"/>
          <w:highlight w:val="none"/>
        </w:rPr>
      </w:pPr>
      <w:bookmarkStart w:id="79" w:name="_Toc3030"/>
      <w:r>
        <w:rPr>
          <w:rFonts w:hint="eastAsia" w:ascii="宋体" w:hAnsi="宋体" w:cs="宋体"/>
          <w:color w:val="auto"/>
          <w:szCs w:val="21"/>
          <w:highlight w:val="none"/>
        </w:rPr>
        <w:t>20.5评标</w:t>
      </w:r>
      <w:bookmarkEnd w:id="79"/>
    </w:p>
    <w:p w14:paraId="44B7620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4A3971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18C141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48F05E15">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485629D0">
      <w:pPr>
        <w:spacing w:line="440" w:lineRule="exact"/>
        <w:ind w:firstLine="420" w:firstLineChars="200"/>
        <w:jc w:val="left"/>
        <w:outlineLvl w:val="2"/>
        <w:rPr>
          <w:rFonts w:ascii="宋体" w:hAnsi="宋体" w:cs="宋体"/>
          <w:color w:val="auto"/>
          <w:szCs w:val="21"/>
          <w:highlight w:val="none"/>
        </w:rPr>
      </w:pPr>
      <w:bookmarkStart w:id="80" w:name="_Toc26808"/>
      <w:r>
        <w:rPr>
          <w:rFonts w:hint="eastAsia" w:ascii="宋体" w:hAnsi="宋体" w:cs="宋体"/>
          <w:color w:val="auto"/>
          <w:szCs w:val="21"/>
          <w:highlight w:val="none"/>
        </w:rPr>
        <w:t>⑤核对评标工作用表。</w:t>
      </w:r>
      <w:bookmarkEnd w:id="80"/>
    </w:p>
    <w:p w14:paraId="2C8EF6C4">
      <w:pPr>
        <w:spacing w:line="440" w:lineRule="exact"/>
        <w:ind w:firstLine="420" w:firstLineChars="200"/>
        <w:jc w:val="left"/>
        <w:outlineLvl w:val="1"/>
        <w:rPr>
          <w:rFonts w:ascii="宋体" w:hAnsi="宋体" w:cs="宋体"/>
          <w:color w:val="auto"/>
          <w:szCs w:val="21"/>
          <w:highlight w:val="none"/>
        </w:rPr>
      </w:pPr>
      <w:bookmarkStart w:id="81" w:name="_Toc17538"/>
      <w:r>
        <w:rPr>
          <w:rFonts w:hint="eastAsia" w:ascii="宋体" w:hAnsi="宋体" w:cs="宋体"/>
          <w:color w:val="auto"/>
          <w:szCs w:val="21"/>
          <w:highlight w:val="none"/>
        </w:rPr>
        <w:t>29.2  评标办法</w:t>
      </w:r>
      <w:bookmarkEnd w:id="81"/>
    </w:p>
    <w:p w14:paraId="039D8DC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4E53E2B4">
      <w:pPr>
        <w:spacing w:line="440" w:lineRule="exact"/>
        <w:ind w:firstLine="420" w:firstLineChars="200"/>
        <w:jc w:val="left"/>
        <w:outlineLvl w:val="1"/>
        <w:rPr>
          <w:rFonts w:ascii="宋体" w:hAnsi="宋体" w:cs="宋体"/>
          <w:color w:val="auto"/>
          <w:szCs w:val="21"/>
          <w:highlight w:val="none"/>
        </w:rPr>
      </w:pPr>
      <w:bookmarkStart w:id="82" w:name="_Toc29376"/>
      <w:r>
        <w:rPr>
          <w:rFonts w:hint="eastAsia" w:ascii="宋体" w:hAnsi="宋体" w:cs="宋体"/>
          <w:color w:val="auto"/>
          <w:szCs w:val="21"/>
          <w:highlight w:val="none"/>
        </w:rPr>
        <w:t>20.6评标原则：</w:t>
      </w:r>
      <w:bookmarkEnd w:id="82"/>
    </w:p>
    <w:p w14:paraId="032CF9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6F5BEDAB">
      <w:pPr>
        <w:spacing w:line="440" w:lineRule="exact"/>
        <w:ind w:firstLine="422" w:firstLineChars="200"/>
        <w:jc w:val="left"/>
        <w:outlineLvl w:val="1"/>
        <w:rPr>
          <w:rFonts w:ascii="宋体" w:hAnsi="宋体" w:cs="宋体"/>
          <w:b/>
          <w:bCs/>
          <w:color w:val="auto"/>
          <w:szCs w:val="21"/>
          <w:highlight w:val="none"/>
        </w:rPr>
      </w:pPr>
      <w:bookmarkStart w:id="83" w:name="_Toc6243"/>
      <w:r>
        <w:rPr>
          <w:rFonts w:hint="eastAsia" w:ascii="宋体" w:hAnsi="宋体" w:cs="宋体"/>
          <w:b/>
          <w:bCs/>
          <w:color w:val="auto"/>
          <w:szCs w:val="21"/>
          <w:highlight w:val="none"/>
        </w:rPr>
        <w:t>20.7关于提供相同品牌的处理 （本项目不采用）</w:t>
      </w:r>
      <w:bookmarkEnd w:id="83"/>
    </w:p>
    <w:p w14:paraId="34B9B9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41E8C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330C1D77">
      <w:pPr>
        <w:spacing w:line="440" w:lineRule="exact"/>
        <w:ind w:firstLine="422" w:firstLineChars="200"/>
        <w:jc w:val="left"/>
        <w:outlineLvl w:val="1"/>
        <w:rPr>
          <w:rFonts w:ascii="宋体" w:hAnsi="宋体" w:cs="宋体"/>
          <w:b/>
          <w:bCs/>
          <w:color w:val="auto"/>
          <w:szCs w:val="21"/>
          <w:highlight w:val="none"/>
        </w:rPr>
      </w:pPr>
      <w:bookmarkStart w:id="84" w:name="_Toc30420"/>
      <w:r>
        <w:rPr>
          <w:rFonts w:hint="eastAsia" w:ascii="宋体" w:hAnsi="宋体" w:cs="宋体"/>
          <w:b/>
          <w:bCs/>
          <w:color w:val="auto"/>
          <w:szCs w:val="21"/>
          <w:highlight w:val="none"/>
        </w:rPr>
        <w:t>21. 无效投标文件</w:t>
      </w:r>
      <w:bookmarkEnd w:id="84"/>
    </w:p>
    <w:p w14:paraId="72D33046">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2AEFE9A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①逾期送达的或未送达指定地点的；</w:t>
      </w:r>
    </w:p>
    <w:p w14:paraId="50E3D8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②未按采购文件要求密封的；</w:t>
      </w:r>
    </w:p>
    <w:p w14:paraId="4FF68E9B">
      <w:pPr>
        <w:spacing w:line="440" w:lineRule="exact"/>
        <w:ind w:firstLine="422" w:firstLineChars="200"/>
        <w:jc w:val="left"/>
        <w:outlineLvl w:val="1"/>
        <w:rPr>
          <w:rFonts w:ascii="宋体" w:hAnsi="宋体" w:cs="宋体"/>
          <w:b/>
          <w:bCs/>
          <w:color w:val="auto"/>
          <w:szCs w:val="21"/>
          <w:highlight w:val="none"/>
        </w:rPr>
      </w:pPr>
      <w:bookmarkStart w:id="85" w:name="_Toc3112"/>
      <w:r>
        <w:rPr>
          <w:rFonts w:hint="eastAsia" w:ascii="宋体" w:hAnsi="宋体" w:cs="宋体"/>
          <w:b/>
          <w:bCs/>
          <w:color w:val="auto"/>
          <w:szCs w:val="21"/>
          <w:highlight w:val="none"/>
        </w:rPr>
        <w:t>22. 定标</w:t>
      </w:r>
      <w:bookmarkEnd w:id="85"/>
    </w:p>
    <w:p w14:paraId="40C9A8CD">
      <w:pPr>
        <w:spacing w:line="440" w:lineRule="exact"/>
        <w:ind w:firstLine="420" w:firstLineChars="200"/>
        <w:jc w:val="left"/>
        <w:outlineLvl w:val="2"/>
        <w:rPr>
          <w:rFonts w:ascii="宋体" w:hAnsi="宋体" w:cs="宋体"/>
          <w:color w:val="auto"/>
          <w:szCs w:val="21"/>
          <w:highlight w:val="none"/>
        </w:rPr>
      </w:pPr>
      <w:bookmarkStart w:id="86" w:name="_Toc7714"/>
      <w:r>
        <w:rPr>
          <w:rFonts w:hint="eastAsia" w:ascii="宋体" w:hAnsi="宋体" w:cs="宋体"/>
          <w:color w:val="auto"/>
          <w:szCs w:val="21"/>
          <w:highlight w:val="none"/>
        </w:rPr>
        <w:t>22.1  中标候选人的确定</w:t>
      </w:r>
      <w:bookmarkEnd w:id="86"/>
    </w:p>
    <w:p w14:paraId="135D87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062FC0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bCs/>
          <w:color w:val="auto"/>
          <w:szCs w:val="21"/>
          <w:highlight w:val="none"/>
        </w:rPr>
        <w:t>滁州学院网站（http://zcc.chzu.edu.cn）资产与实验室管理处网页采购公告栏处予以公告</w:t>
      </w:r>
      <w:r>
        <w:rPr>
          <w:rFonts w:hint="eastAsia" w:ascii="宋体" w:hAnsi="宋体" w:cs="宋体"/>
          <w:color w:val="auto"/>
          <w:szCs w:val="21"/>
          <w:highlight w:val="none"/>
        </w:rPr>
        <w:t>。</w:t>
      </w:r>
    </w:p>
    <w:p w14:paraId="70FF9AB1">
      <w:pPr>
        <w:pStyle w:val="12"/>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22.1.3在采购文件规定的响应文件递交截止时间后，供应商不足三家或在评审期间，出现符合条件的供应商不足三家的情形时，本项目流标进行二次招标。</w:t>
      </w:r>
    </w:p>
    <w:p w14:paraId="18DE5D15">
      <w:pPr>
        <w:spacing w:line="440" w:lineRule="exact"/>
        <w:ind w:firstLine="422" w:firstLineChars="200"/>
        <w:jc w:val="left"/>
        <w:outlineLvl w:val="1"/>
        <w:rPr>
          <w:rFonts w:ascii="宋体" w:hAnsi="宋体" w:cs="宋体"/>
          <w:b/>
          <w:bCs/>
          <w:color w:val="auto"/>
          <w:szCs w:val="21"/>
          <w:highlight w:val="none"/>
        </w:rPr>
      </w:pPr>
      <w:bookmarkStart w:id="87" w:name="_Toc1664"/>
      <w:r>
        <w:rPr>
          <w:rFonts w:hint="eastAsia" w:ascii="宋体" w:hAnsi="宋体" w:cs="宋体"/>
          <w:b/>
          <w:bCs/>
          <w:color w:val="auto"/>
          <w:szCs w:val="21"/>
          <w:highlight w:val="none"/>
        </w:rPr>
        <w:t>23中标价</w:t>
      </w:r>
      <w:bookmarkEnd w:id="87"/>
    </w:p>
    <w:p w14:paraId="25A5ADF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本项目采用固定单价合同，中标后所报单价不予调整。</w:t>
      </w:r>
    </w:p>
    <w:p w14:paraId="600EE30C">
      <w:pPr>
        <w:spacing w:before="156" w:beforeLines="50" w:after="156" w:afterLines="50" w:line="440" w:lineRule="exact"/>
        <w:jc w:val="center"/>
        <w:outlineLvl w:val="1"/>
        <w:rPr>
          <w:rFonts w:ascii="宋体" w:hAnsi="宋体" w:cs="宋体"/>
          <w:color w:val="auto"/>
          <w:szCs w:val="21"/>
          <w:highlight w:val="none"/>
        </w:rPr>
      </w:pPr>
      <w:bookmarkStart w:id="88" w:name="_Toc30200"/>
      <w:r>
        <w:rPr>
          <w:rFonts w:hint="eastAsia" w:ascii="宋体" w:hAnsi="宋体" w:cs="宋体"/>
          <w:b/>
          <w:bCs/>
          <w:color w:val="auto"/>
          <w:sz w:val="28"/>
          <w:szCs w:val="28"/>
          <w:highlight w:val="none"/>
        </w:rPr>
        <w:t>六、合同的授予</w:t>
      </w:r>
      <w:bookmarkEnd w:id="88"/>
    </w:p>
    <w:p w14:paraId="36291DCC">
      <w:pPr>
        <w:spacing w:line="440" w:lineRule="exact"/>
        <w:ind w:firstLine="422" w:firstLineChars="200"/>
        <w:jc w:val="left"/>
        <w:outlineLvl w:val="2"/>
        <w:rPr>
          <w:rFonts w:ascii="宋体" w:hAnsi="宋体" w:cs="宋体"/>
          <w:b/>
          <w:bCs/>
          <w:color w:val="auto"/>
          <w:szCs w:val="21"/>
          <w:highlight w:val="none"/>
        </w:rPr>
      </w:pPr>
      <w:bookmarkStart w:id="89" w:name="_Toc25482"/>
      <w:r>
        <w:rPr>
          <w:rFonts w:hint="eastAsia" w:ascii="宋体" w:hAnsi="宋体" w:cs="宋体"/>
          <w:b/>
          <w:bCs/>
          <w:color w:val="auto"/>
          <w:szCs w:val="21"/>
          <w:highlight w:val="none"/>
        </w:rPr>
        <w:t>24. 合同授予标准</w:t>
      </w:r>
      <w:bookmarkEnd w:id="89"/>
    </w:p>
    <w:p w14:paraId="6268FE2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70EB700A">
      <w:pPr>
        <w:spacing w:line="440" w:lineRule="exact"/>
        <w:ind w:firstLine="422" w:firstLineChars="200"/>
        <w:jc w:val="left"/>
        <w:outlineLvl w:val="2"/>
        <w:rPr>
          <w:rFonts w:ascii="宋体" w:hAnsi="宋体" w:cs="宋体"/>
          <w:b/>
          <w:bCs/>
          <w:color w:val="auto"/>
          <w:szCs w:val="21"/>
          <w:highlight w:val="none"/>
        </w:rPr>
      </w:pPr>
      <w:bookmarkStart w:id="90" w:name="_Toc1492"/>
      <w:r>
        <w:rPr>
          <w:rFonts w:hint="eastAsia" w:ascii="宋体" w:hAnsi="宋体" w:cs="宋体"/>
          <w:b/>
          <w:bCs/>
          <w:color w:val="auto"/>
          <w:szCs w:val="21"/>
          <w:highlight w:val="none"/>
        </w:rPr>
        <w:t>25. 合同协议书的签订</w:t>
      </w:r>
      <w:bookmarkEnd w:id="90"/>
    </w:p>
    <w:p w14:paraId="133627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1F8B654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41B988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05B55377">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184FB6FA">
      <w:pPr>
        <w:spacing w:line="440" w:lineRule="exact"/>
        <w:ind w:firstLine="413" w:firstLineChars="196"/>
        <w:outlineLvl w:val="2"/>
        <w:rPr>
          <w:rFonts w:ascii="宋体" w:hAnsi="宋体" w:cs="宋体"/>
          <w:color w:val="auto"/>
          <w:szCs w:val="21"/>
          <w:highlight w:val="none"/>
        </w:rPr>
      </w:pPr>
      <w:bookmarkStart w:id="91" w:name="_Toc30355"/>
      <w:bookmarkStart w:id="92" w:name="_Toc13054"/>
      <w:r>
        <w:rPr>
          <w:rFonts w:hint="eastAsia" w:ascii="宋体" w:hAnsi="宋体" w:cs="宋体"/>
          <w:b/>
          <w:color w:val="auto"/>
          <w:szCs w:val="21"/>
          <w:highlight w:val="none"/>
        </w:rPr>
        <w:t>26.验收</w:t>
      </w:r>
      <w:bookmarkEnd w:id="91"/>
      <w:bookmarkEnd w:id="92"/>
    </w:p>
    <w:p w14:paraId="452B57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2AD7426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1F1A75CE">
      <w:pPr>
        <w:spacing w:line="440" w:lineRule="exact"/>
        <w:ind w:firstLine="413" w:firstLineChars="196"/>
        <w:outlineLvl w:val="2"/>
        <w:rPr>
          <w:rFonts w:ascii="宋体" w:hAnsi="宋体" w:cs="宋体"/>
          <w:b/>
          <w:color w:val="auto"/>
          <w:szCs w:val="21"/>
          <w:highlight w:val="none"/>
        </w:rPr>
      </w:pPr>
      <w:bookmarkStart w:id="93" w:name="_Toc27135"/>
      <w:bookmarkStart w:id="94" w:name="_Toc13934"/>
      <w:r>
        <w:rPr>
          <w:rFonts w:hint="eastAsia" w:ascii="宋体" w:hAnsi="宋体" w:cs="宋体"/>
          <w:b/>
          <w:color w:val="auto"/>
          <w:szCs w:val="21"/>
          <w:highlight w:val="none"/>
        </w:rPr>
        <w:t>27.质疑</w:t>
      </w:r>
      <w:bookmarkEnd w:id="93"/>
      <w:bookmarkEnd w:id="94"/>
    </w:p>
    <w:p w14:paraId="55262F4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34EFE57F">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2440FE7">
      <w:pPr>
        <w:spacing w:line="440" w:lineRule="exact"/>
        <w:ind w:firstLine="420" w:firstLineChars="200"/>
        <w:outlineLvl w:val="3"/>
        <w:rPr>
          <w:rFonts w:ascii="宋体" w:hAnsi="宋体" w:cs="宋体"/>
          <w:bCs/>
          <w:color w:val="auto"/>
          <w:szCs w:val="21"/>
          <w:highlight w:val="none"/>
        </w:rPr>
      </w:pPr>
      <w:bookmarkStart w:id="95" w:name="_Toc7613"/>
      <w:bookmarkStart w:id="96" w:name="_Toc21699"/>
      <w:r>
        <w:rPr>
          <w:rFonts w:hint="eastAsia" w:ascii="宋体" w:hAnsi="宋体" w:cs="宋体"/>
          <w:bCs/>
          <w:color w:val="auto"/>
          <w:szCs w:val="21"/>
          <w:highlight w:val="none"/>
        </w:rPr>
        <w:t>27.2质疑应在规定时限内提出：</w:t>
      </w:r>
      <w:bookmarkEnd w:id="95"/>
      <w:bookmarkEnd w:id="96"/>
      <w:r>
        <w:rPr>
          <w:rFonts w:hint="eastAsia" w:ascii="宋体" w:hAnsi="宋体" w:cs="宋体"/>
          <w:bCs/>
          <w:color w:val="auto"/>
          <w:szCs w:val="21"/>
          <w:highlight w:val="none"/>
        </w:rPr>
        <w:t xml:space="preserve"> </w:t>
      </w:r>
    </w:p>
    <w:p w14:paraId="3822F7C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30890FB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152CF20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784E4E8F">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6F28B77C">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081413D9">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054A32C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0A8B49C0">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1C99007A">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4B404DD">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792B6321">
      <w:pPr>
        <w:spacing w:line="440" w:lineRule="exact"/>
        <w:ind w:firstLine="420" w:firstLineChars="200"/>
        <w:outlineLvl w:val="3"/>
        <w:rPr>
          <w:rFonts w:ascii="宋体" w:hAnsi="宋体" w:cs="宋体"/>
          <w:bCs/>
          <w:color w:val="auto"/>
          <w:szCs w:val="21"/>
          <w:highlight w:val="none"/>
        </w:rPr>
      </w:pPr>
      <w:bookmarkStart w:id="97" w:name="_Toc11332"/>
      <w:bookmarkStart w:id="98" w:name="_Toc19439"/>
      <w:r>
        <w:rPr>
          <w:rFonts w:hint="eastAsia" w:ascii="宋体" w:hAnsi="宋体" w:cs="宋体"/>
          <w:bCs/>
          <w:color w:val="auto"/>
          <w:szCs w:val="21"/>
          <w:highlight w:val="none"/>
        </w:rPr>
        <w:t>27.4有下列情形之一的，不予受理：</w:t>
      </w:r>
      <w:bookmarkEnd w:id="97"/>
      <w:bookmarkEnd w:id="98"/>
    </w:p>
    <w:p w14:paraId="1086E8D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229E6F45">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331F7FA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5A70545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225FD244">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.4.5对其他供应商的响应文件详细内容质疑，证据来源无法提供合法来源渠道的；</w:t>
      </w:r>
    </w:p>
    <w:p w14:paraId="5112339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4251631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7528D1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44FCA11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ABD16D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33214ED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1FDAF5DC">
      <w:pPr>
        <w:spacing w:line="440" w:lineRule="exact"/>
        <w:ind w:firstLine="420" w:firstLineChars="200"/>
        <w:outlineLvl w:val="4"/>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2E16CBA5">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B8F40CC">
      <w:pPr>
        <w:spacing w:line="440" w:lineRule="exact"/>
        <w:ind w:firstLine="413" w:firstLineChars="196"/>
        <w:outlineLvl w:val="2"/>
        <w:rPr>
          <w:rFonts w:ascii="宋体" w:hAnsi="宋体" w:cs="宋体"/>
          <w:b/>
          <w:color w:val="auto"/>
          <w:szCs w:val="21"/>
          <w:highlight w:val="none"/>
        </w:rPr>
      </w:pPr>
      <w:bookmarkStart w:id="99" w:name="_Toc10755"/>
      <w:bookmarkStart w:id="100" w:name="_Toc27057"/>
      <w:r>
        <w:rPr>
          <w:rFonts w:hint="eastAsia" w:ascii="宋体" w:hAnsi="宋体" w:cs="宋体"/>
          <w:b/>
          <w:color w:val="auto"/>
          <w:szCs w:val="21"/>
          <w:highlight w:val="none"/>
        </w:rPr>
        <w:t>28.未尽事宜</w:t>
      </w:r>
      <w:bookmarkEnd w:id="99"/>
      <w:bookmarkEnd w:id="100"/>
    </w:p>
    <w:p w14:paraId="01B5B35F">
      <w:pPr>
        <w:spacing w:line="440" w:lineRule="exact"/>
        <w:ind w:firstLine="420" w:firstLineChars="200"/>
        <w:outlineLvl w:val="3"/>
        <w:rPr>
          <w:rFonts w:ascii="宋体" w:hAnsi="宋体" w:cs="宋体"/>
          <w:color w:val="auto"/>
          <w:szCs w:val="21"/>
          <w:highlight w:val="none"/>
        </w:rPr>
      </w:pPr>
      <w:bookmarkStart w:id="101" w:name="_Toc18168"/>
      <w:bookmarkStart w:id="102" w:name="_Toc4940"/>
      <w:r>
        <w:rPr>
          <w:rFonts w:hint="eastAsia" w:ascii="宋体" w:hAnsi="宋体" w:cs="宋体"/>
          <w:color w:val="auto"/>
          <w:szCs w:val="21"/>
          <w:highlight w:val="none"/>
        </w:rPr>
        <w:t>28.1参照相关法律法规的规定执行。</w:t>
      </w:r>
      <w:bookmarkEnd w:id="101"/>
      <w:bookmarkEnd w:id="102"/>
    </w:p>
    <w:p w14:paraId="32AEEE26">
      <w:pPr>
        <w:spacing w:line="440" w:lineRule="exact"/>
        <w:ind w:firstLine="413" w:firstLineChars="196"/>
        <w:outlineLvl w:val="2"/>
        <w:rPr>
          <w:rFonts w:ascii="宋体" w:hAnsi="宋体" w:cs="宋体"/>
          <w:bCs/>
          <w:color w:val="auto"/>
          <w:szCs w:val="21"/>
          <w:highlight w:val="none"/>
        </w:rPr>
      </w:pPr>
      <w:bookmarkStart w:id="103" w:name="_Toc14073"/>
      <w:bookmarkStart w:id="104" w:name="_Toc10184"/>
      <w:r>
        <w:rPr>
          <w:rFonts w:hint="eastAsia" w:ascii="宋体" w:hAnsi="宋体" w:cs="宋体"/>
          <w:b/>
          <w:color w:val="auto"/>
          <w:szCs w:val="21"/>
          <w:highlight w:val="none"/>
        </w:rPr>
        <w:t>29.解释权</w:t>
      </w:r>
      <w:bookmarkEnd w:id="103"/>
      <w:bookmarkEnd w:id="104"/>
    </w:p>
    <w:p w14:paraId="7B0FF599">
      <w:pPr>
        <w:spacing w:line="440" w:lineRule="exact"/>
        <w:ind w:firstLine="420" w:firstLineChars="200"/>
        <w:outlineLvl w:val="3"/>
        <w:rPr>
          <w:rFonts w:ascii="宋体" w:hAnsi="宋体" w:cs="宋体"/>
          <w:b/>
          <w:color w:val="auto"/>
          <w:sz w:val="28"/>
          <w:highlight w:val="none"/>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5" w:name="_Toc3336"/>
      <w:bookmarkStart w:id="106" w:name="_Toc20892"/>
      <w:r>
        <w:rPr>
          <w:rFonts w:hint="eastAsia" w:ascii="宋体" w:hAnsi="宋体" w:cs="宋体"/>
          <w:bCs/>
          <w:color w:val="auto"/>
          <w:szCs w:val="21"/>
          <w:highlight w:val="none"/>
        </w:rPr>
        <w:t>29.1本采购文件的解释权属于采购人或采购代理机构</w:t>
      </w:r>
      <w:bookmarkEnd w:id="105"/>
      <w:bookmarkEnd w:id="106"/>
    </w:p>
    <w:p w14:paraId="30DB8A6D">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107" w:name="_Toc469495731"/>
      <w:bookmarkStart w:id="108" w:name="_Toc759"/>
      <w:bookmarkStart w:id="109" w:name="_Toc16681"/>
      <w:bookmarkStart w:id="110" w:name="_Toc16257"/>
      <w:r>
        <w:rPr>
          <w:rFonts w:hint="eastAsia" w:ascii="黑体" w:hAnsi="黑体" w:eastAsia="黑体" w:cs="黑体"/>
          <w:b/>
          <w:bCs/>
          <w:color w:val="auto"/>
          <w:sz w:val="32"/>
          <w:szCs w:val="32"/>
          <w:highlight w:val="none"/>
        </w:rPr>
        <w:t>第二章  评标办法</w:t>
      </w:r>
      <w:bookmarkEnd w:id="107"/>
      <w:bookmarkEnd w:id="108"/>
      <w:bookmarkEnd w:id="109"/>
      <w:bookmarkEnd w:id="110"/>
    </w:p>
    <w:p w14:paraId="715A370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1" w:name="_Toc469495732"/>
      <w:bookmarkStart w:id="112" w:name="_Toc19225"/>
      <w:bookmarkStart w:id="113" w:name="_Toc4193"/>
      <w:bookmarkStart w:id="114" w:name="_Toc362983801"/>
      <w:bookmarkStart w:id="115" w:name="_Toc16128"/>
      <w:bookmarkStart w:id="116" w:name="_Toc267320058"/>
      <w:r>
        <w:rPr>
          <w:rFonts w:hint="eastAsia" w:ascii="黑体" w:hAnsi="黑体" w:eastAsia="黑体" w:cs="黑体"/>
          <w:b/>
          <w:color w:val="auto"/>
          <w:sz w:val="28"/>
          <w:szCs w:val="28"/>
          <w:highlight w:val="none"/>
        </w:rPr>
        <w:t>一  总则</w:t>
      </w:r>
      <w:bookmarkEnd w:id="111"/>
      <w:bookmarkEnd w:id="112"/>
      <w:bookmarkEnd w:id="113"/>
      <w:bookmarkEnd w:id="114"/>
      <w:bookmarkEnd w:id="115"/>
    </w:p>
    <w:p w14:paraId="2CFF34E2">
      <w:pPr>
        <w:spacing w:line="440" w:lineRule="exact"/>
        <w:ind w:firstLine="422" w:firstLineChars="200"/>
        <w:jc w:val="left"/>
        <w:outlineLvl w:val="2"/>
        <w:rPr>
          <w:rFonts w:ascii="黑体" w:hAnsi="黑体" w:eastAsia="黑体" w:cs="黑体"/>
          <w:b/>
          <w:color w:val="auto"/>
          <w:szCs w:val="21"/>
          <w:highlight w:val="none"/>
        </w:rPr>
      </w:pPr>
      <w:bookmarkStart w:id="117" w:name="_Toc12964"/>
      <w:bookmarkStart w:id="118" w:name="_Toc362983802"/>
      <w:bookmarkStart w:id="119" w:name="_Toc469495733"/>
      <w:r>
        <w:rPr>
          <w:rFonts w:hint="eastAsia" w:ascii="黑体" w:hAnsi="黑体" w:eastAsia="黑体" w:cs="黑体"/>
          <w:b/>
          <w:color w:val="auto"/>
          <w:szCs w:val="21"/>
          <w:highlight w:val="none"/>
        </w:rPr>
        <w:t>1. 本次评标采用综合评分法</w:t>
      </w:r>
      <w:bookmarkEnd w:id="117"/>
    </w:p>
    <w:p w14:paraId="559C94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72F7CB2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27398D08">
      <w:pPr>
        <w:spacing w:line="440" w:lineRule="exact"/>
        <w:ind w:firstLine="422" w:firstLineChars="200"/>
        <w:jc w:val="left"/>
        <w:outlineLvl w:val="2"/>
        <w:rPr>
          <w:rFonts w:ascii="黑体" w:hAnsi="黑体" w:eastAsia="黑体" w:cs="黑体"/>
          <w:b/>
          <w:color w:val="auto"/>
          <w:szCs w:val="21"/>
          <w:highlight w:val="none"/>
        </w:rPr>
      </w:pPr>
      <w:bookmarkStart w:id="120" w:name="_Toc23084"/>
      <w:r>
        <w:rPr>
          <w:rFonts w:hint="eastAsia" w:ascii="黑体" w:hAnsi="黑体" w:eastAsia="黑体" w:cs="黑体"/>
          <w:b/>
          <w:color w:val="auto"/>
          <w:szCs w:val="21"/>
          <w:highlight w:val="none"/>
        </w:rPr>
        <w:t>2．评标程序</w:t>
      </w:r>
      <w:bookmarkEnd w:id="120"/>
    </w:p>
    <w:p w14:paraId="65E43B1A">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7FBC54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76FF965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4638539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79EC822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014AF7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34142C36">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04F0D350">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25E74B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5543F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7C036E5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2AACB9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3F57A327">
      <w:pPr>
        <w:spacing w:before="162" w:beforeLines="50" w:after="162" w:afterLines="50" w:line="440" w:lineRule="exact"/>
        <w:jc w:val="center"/>
        <w:outlineLvl w:val="2"/>
        <w:rPr>
          <w:rFonts w:ascii="黑体" w:hAnsi="黑体" w:eastAsia="黑体" w:cs="黑体"/>
          <w:b/>
          <w:color w:val="auto"/>
          <w:sz w:val="28"/>
          <w:szCs w:val="28"/>
          <w:highlight w:val="none"/>
        </w:rPr>
      </w:pPr>
      <w:bookmarkStart w:id="121" w:name="_Toc15979"/>
      <w:bookmarkStart w:id="122" w:name="_Toc23006"/>
      <w:bookmarkStart w:id="123" w:name="_Toc22076"/>
      <w:r>
        <w:rPr>
          <w:rFonts w:hint="eastAsia" w:ascii="黑体" w:hAnsi="黑体" w:eastAsia="黑体" w:cs="黑体"/>
          <w:b/>
          <w:color w:val="auto"/>
          <w:sz w:val="28"/>
          <w:szCs w:val="28"/>
          <w:highlight w:val="none"/>
        </w:rPr>
        <w:t>二  投标文件初审</w:t>
      </w:r>
      <w:bookmarkEnd w:id="118"/>
      <w:bookmarkEnd w:id="119"/>
      <w:bookmarkEnd w:id="121"/>
      <w:bookmarkEnd w:id="122"/>
      <w:bookmarkEnd w:id="123"/>
    </w:p>
    <w:p w14:paraId="201AE0D8">
      <w:pPr>
        <w:spacing w:line="440" w:lineRule="exact"/>
        <w:ind w:firstLine="422" w:firstLineChars="200"/>
        <w:jc w:val="left"/>
        <w:outlineLvl w:val="2"/>
        <w:rPr>
          <w:rFonts w:ascii="黑体" w:hAnsi="黑体" w:eastAsia="黑体" w:cs="黑体"/>
          <w:b/>
          <w:color w:val="auto"/>
          <w:szCs w:val="21"/>
          <w:highlight w:val="none"/>
        </w:rPr>
      </w:pPr>
      <w:bookmarkStart w:id="124" w:name="_Toc6807"/>
      <w:r>
        <w:rPr>
          <w:rFonts w:hint="eastAsia" w:ascii="黑体" w:hAnsi="黑体" w:eastAsia="黑体" w:cs="黑体"/>
          <w:b/>
          <w:color w:val="auto"/>
          <w:szCs w:val="21"/>
          <w:highlight w:val="none"/>
        </w:rPr>
        <w:t>3.资格性审查：</w:t>
      </w:r>
      <w:bookmarkEnd w:id="124"/>
    </w:p>
    <w:p w14:paraId="4230717F">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673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77EE35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39E5328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28D0A41D">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292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69F9989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276047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33B526B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479B3AD5">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30B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926A7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1AE3B96D">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2D4D4F4F">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09E852D5">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6C03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1567589C">
            <w:pPr>
              <w:spacing w:line="440" w:lineRule="exact"/>
              <w:jc w:val="center"/>
              <w:rPr>
                <w:rFonts w:ascii="宋体" w:hAnsi="宋体" w:cs="宋体"/>
                <w:color w:val="auto"/>
                <w:szCs w:val="21"/>
                <w:highlight w:val="none"/>
              </w:rPr>
            </w:pPr>
          </w:p>
        </w:tc>
        <w:tc>
          <w:tcPr>
            <w:tcW w:w="1233" w:type="dxa"/>
            <w:vMerge w:val="continue"/>
            <w:vAlign w:val="center"/>
          </w:tcPr>
          <w:p w14:paraId="38BF2014">
            <w:pPr>
              <w:spacing w:line="440" w:lineRule="exact"/>
              <w:rPr>
                <w:rFonts w:ascii="宋体" w:hAnsi="宋体" w:cs="宋体"/>
                <w:color w:val="auto"/>
                <w:szCs w:val="21"/>
                <w:highlight w:val="none"/>
              </w:rPr>
            </w:pPr>
          </w:p>
        </w:tc>
        <w:tc>
          <w:tcPr>
            <w:tcW w:w="3399" w:type="dxa"/>
            <w:vAlign w:val="center"/>
          </w:tcPr>
          <w:p w14:paraId="173E7D14">
            <w:pPr>
              <w:spacing w:line="440" w:lineRule="exact"/>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w:t>
            </w:r>
          </w:p>
        </w:tc>
        <w:tc>
          <w:tcPr>
            <w:tcW w:w="4533" w:type="dxa"/>
            <w:vAlign w:val="center"/>
          </w:tcPr>
          <w:p w14:paraId="53512BA0">
            <w:pPr>
              <w:spacing w:line="440" w:lineRule="exact"/>
              <w:rPr>
                <w:rFonts w:ascii="宋体" w:hAnsi="宋体" w:cs="宋体"/>
                <w:color w:val="auto"/>
                <w:szCs w:val="21"/>
                <w:highlight w:val="none"/>
              </w:rPr>
            </w:pPr>
            <w:r>
              <w:rPr>
                <w:rFonts w:hint="eastAsia" w:ascii="宋体" w:hAnsi="宋体" w:cs="宋体"/>
                <w:color w:val="auto"/>
                <w:szCs w:val="21"/>
                <w:highlight w:val="none"/>
              </w:rPr>
              <w:t>参加本项目近三年内无重大违法记录声明（格式自拟）</w:t>
            </w:r>
          </w:p>
        </w:tc>
      </w:tr>
      <w:tr w14:paraId="777A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5D104BDF">
            <w:pPr>
              <w:spacing w:line="440" w:lineRule="exact"/>
              <w:jc w:val="center"/>
              <w:rPr>
                <w:rFonts w:ascii="宋体" w:hAnsi="宋体" w:cs="宋体"/>
                <w:color w:val="auto"/>
                <w:szCs w:val="21"/>
                <w:highlight w:val="none"/>
              </w:rPr>
            </w:pPr>
          </w:p>
        </w:tc>
        <w:tc>
          <w:tcPr>
            <w:tcW w:w="1233" w:type="dxa"/>
            <w:vMerge w:val="continue"/>
            <w:vAlign w:val="center"/>
          </w:tcPr>
          <w:p w14:paraId="553BA15F">
            <w:pPr>
              <w:spacing w:line="440" w:lineRule="exact"/>
              <w:rPr>
                <w:rFonts w:ascii="宋体" w:hAnsi="宋体" w:cs="宋体"/>
                <w:color w:val="auto"/>
                <w:szCs w:val="21"/>
                <w:highlight w:val="none"/>
              </w:rPr>
            </w:pPr>
          </w:p>
        </w:tc>
        <w:tc>
          <w:tcPr>
            <w:tcW w:w="3399" w:type="dxa"/>
            <w:vAlign w:val="center"/>
          </w:tcPr>
          <w:p w14:paraId="6BAAA0E9">
            <w:pPr>
              <w:spacing w:line="440" w:lineRule="exact"/>
              <w:rPr>
                <w:rFonts w:ascii="宋体" w:hAnsi="宋体" w:cs="宋体"/>
                <w:color w:val="auto"/>
                <w:szCs w:val="21"/>
                <w:highlight w:val="none"/>
              </w:rPr>
            </w:pPr>
            <w:r>
              <w:rPr>
                <w:rFonts w:hint="eastAsia" w:ascii="宋体" w:hAnsi="宋体" w:cs="宋体"/>
                <w:color w:val="auto"/>
                <w:szCs w:val="21"/>
                <w:highlight w:val="none"/>
              </w:rPr>
              <w:t>（4）诚信投标承诺书</w:t>
            </w:r>
          </w:p>
        </w:tc>
        <w:tc>
          <w:tcPr>
            <w:tcW w:w="4533" w:type="dxa"/>
            <w:vAlign w:val="center"/>
          </w:tcPr>
          <w:p w14:paraId="0BEBFDF6">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33C600EE">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4E1E8101">
      <w:pPr>
        <w:spacing w:line="440" w:lineRule="exact"/>
        <w:ind w:firstLine="422" w:firstLineChars="200"/>
        <w:outlineLvl w:val="2"/>
        <w:rPr>
          <w:rFonts w:ascii="黑体" w:hAnsi="黑体" w:eastAsia="黑体" w:cs="黑体"/>
          <w:b/>
          <w:color w:val="auto"/>
          <w:szCs w:val="21"/>
          <w:highlight w:val="none"/>
        </w:rPr>
      </w:pPr>
      <w:bookmarkStart w:id="125" w:name="_Toc24327"/>
      <w:r>
        <w:rPr>
          <w:rFonts w:hint="eastAsia" w:ascii="黑体" w:hAnsi="黑体" w:eastAsia="黑体" w:cs="黑体"/>
          <w:b/>
          <w:color w:val="auto"/>
          <w:szCs w:val="21"/>
          <w:highlight w:val="none"/>
        </w:rPr>
        <w:t>4.符合性审查</w:t>
      </w:r>
      <w:bookmarkEnd w:id="125"/>
    </w:p>
    <w:p w14:paraId="0347D557">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4．1评审细则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23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75D0132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4A7B302F">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72F45F67">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5CD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573E3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39E9504D">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46BA632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777BA0F1">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80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A8E71B9">
            <w:pPr>
              <w:spacing w:line="440" w:lineRule="exact"/>
              <w:jc w:val="center"/>
              <w:rPr>
                <w:rFonts w:ascii="宋体" w:hAnsi="宋体" w:cs="宋体"/>
                <w:color w:val="auto"/>
                <w:szCs w:val="21"/>
                <w:highlight w:val="none"/>
              </w:rPr>
            </w:pPr>
          </w:p>
        </w:tc>
        <w:tc>
          <w:tcPr>
            <w:tcW w:w="1204" w:type="dxa"/>
            <w:vMerge w:val="continue"/>
            <w:vAlign w:val="center"/>
          </w:tcPr>
          <w:p w14:paraId="05ADA778">
            <w:pPr>
              <w:spacing w:line="440" w:lineRule="exact"/>
              <w:jc w:val="center"/>
              <w:rPr>
                <w:rFonts w:ascii="宋体" w:hAnsi="宋体" w:cs="宋体"/>
                <w:color w:val="auto"/>
                <w:szCs w:val="21"/>
                <w:highlight w:val="none"/>
              </w:rPr>
            </w:pPr>
          </w:p>
        </w:tc>
        <w:tc>
          <w:tcPr>
            <w:tcW w:w="2931" w:type="dxa"/>
            <w:vAlign w:val="center"/>
          </w:tcPr>
          <w:p w14:paraId="71FE513A">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447F0579">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35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562C1606">
            <w:pPr>
              <w:spacing w:line="440" w:lineRule="exact"/>
              <w:jc w:val="center"/>
              <w:rPr>
                <w:rFonts w:ascii="宋体" w:hAnsi="宋体" w:cs="宋体"/>
                <w:color w:val="auto"/>
                <w:szCs w:val="21"/>
                <w:highlight w:val="none"/>
              </w:rPr>
            </w:pPr>
          </w:p>
        </w:tc>
        <w:tc>
          <w:tcPr>
            <w:tcW w:w="1204" w:type="dxa"/>
            <w:vMerge w:val="continue"/>
            <w:vAlign w:val="center"/>
          </w:tcPr>
          <w:p w14:paraId="7455CFD9">
            <w:pPr>
              <w:spacing w:line="440" w:lineRule="exact"/>
              <w:jc w:val="center"/>
              <w:rPr>
                <w:rFonts w:ascii="宋体" w:hAnsi="宋体" w:cs="宋体"/>
                <w:color w:val="auto"/>
                <w:szCs w:val="21"/>
                <w:highlight w:val="none"/>
              </w:rPr>
            </w:pPr>
          </w:p>
        </w:tc>
        <w:tc>
          <w:tcPr>
            <w:tcW w:w="2931" w:type="dxa"/>
            <w:vAlign w:val="center"/>
          </w:tcPr>
          <w:p w14:paraId="1B13B8B6">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5EA1E1C7">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416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E70AD99">
            <w:pPr>
              <w:spacing w:line="440" w:lineRule="exact"/>
              <w:jc w:val="center"/>
              <w:rPr>
                <w:rFonts w:ascii="宋体" w:hAnsi="宋体" w:cs="宋体"/>
                <w:color w:val="auto"/>
                <w:szCs w:val="21"/>
                <w:highlight w:val="none"/>
              </w:rPr>
            </w:pPr>
          </w:p>
        </w:tc>
        <w:tc>
          <w:tcPr>
            <w:tcW w:w="1204" w:type="dxa"/>
            <w:vMerge w:val="continue"/>
            <w:vAlign w:val="center"/>
          </w:tcPr>
          <w:p w14:paraId="43C0BF5E">
            <w:pPr>
              <w:spacing w:line="440" w:lineRule="exact"/>
              <w:jc w:val="center"/>
              <w:rPr>
                <w:rFonts w:ascii="宋体" w:hAnsi="宋体" w:cs="宋体"/>
                <w:color w:val="auto"/>
                <w:szCs w:val="21"/>
                <w:highlight w:val="none"/>
              </w:rPr>
            </w:pPr>
          </w:p>
        </w:tc>
        <w:tc>
          <w:tcPr>
            <w:tcW w:w="2931" w:type="dxa"/>
            <w:vAlign w:val="center"/>
          </w:tcPr>
          <w:p w14:paraId="547A4B7E">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72AF128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3F9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061E2E5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4EE4993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32D6DC7A">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77D4F3B5">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51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60FECBD">
            <w:pPr>
              <w:spacing w:line="440" w:lineRule="exact"/>
              <w:jc w:val="center"/>
              <w:rPr>
                <w:rFonts w:ascii="宋体" w:hAnsi="宋体" w:cs="宋体"/>
                <w:color w:val="auto"/>
                <w:szCs w:val="21"/>
                <w:highlight w:val="none"/>
              </w:rPr>
            </w:pPr>
          </w:p>
        </w:tc>
        <w:tc>
          <w:tcPr>
            <w:tcW w:w="1204" w:type="dxa"/>
            <w:vMerge w:val="continue"/>
            <w:vAlign w:val="center"/>
          </w:tcPr>
          <w:p w14:paraId="2BF9D2B2">
            <w:pPr>
              <w:spacing w:line="440" w:lineRule="exact"/>
              <w:jc w:val="center"/>
              <w:rPr>
                <w:rFonts w:ascii="宋体" w:hAnsi="宋体" w:cs="宋体"/>
                <w:color w:val="auto"/>
                <w:szCs w:val="21"/>
                <w:highlight w:val="none"/>
              </w:rPr>
            </w:pPr>
          </w:p>
        </w:tc>
        <w:tc>
          <w:tcPr>
            <w:tcW w:w="2931" w:type="dxa"/>
            <w:vAlign w:val="center"/>
          </w:tcPr>
          <w:p w14:paraId="2A14CDCF">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7B283B3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1BE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5B11CEE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553B059A">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5452B9B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vAlign w:val="center"/>
          </w:tcPr>
          <w:p w14:paraId="04AA7F7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613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6C3DAFBC">
            <w:pPr>
              <w:spacing w:line="440" w:lineRule="exact"/>
              <w:rPr>
                <w:rFonts w:ascii="宋体" w:hAnsi="宋体" w:cs="宋体"/>
                <w:color w:val="auto"/>
                <w:szCs w:val="21"/>
                <w:highlight w:val="none"/>
              </w:rPr>
            </w:pPr>
          </w:p>
        </w:tc>
        <w:tc>
          <w:tcPr>
            <w:tcW w:w="1204" w:type="dxa"/>
            <w:vMerge w:val="continue"/>
            <w:vAlign w:val="center"/>
          </w:tcPr>
          <w:p w14:paraId="158BBAB5">
            <w:pPr>
              <w:spacing w:line="440" w:lineRule="exact"/>
              <w:rPr>
                <w:rFonts w:ascii="宋体" w:hAnsi="宋体" w:cs="宋体"/>
                <w:color w:val="auto"/>
                <w:szCs w:val="21"/>
                <w:highlight w:val="none"/>
              </w:rPr>
            </w:pPr>
          </w:p>
        </w:tc>
        <w:tc>
          <w:tcPr>
            <w:tcW w:w="2931" w:type="dxa"/>
            <w:vAlign w:val="center"/>
          </w:tcPr>
          <w:p w14:paraId="2C866B86">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3BD7CF3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7C8E9EC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066E5BD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52C6F4D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35ABC7D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1A1ED7AE">
      <w:pPr>
        <w:spacing w:before="162" w:beforeLines="50" w:after="162" w:afterLines="50" w:line="440" w:lineRule="exact"/>
        <w:jc w:val="center"/>
        <w:outlineLvl w:val="4"/>
        <w:rPr>
          <w:rFonts w:ascii="黑体" w:hAnsi="黑体" w:eastAsia="黑体" w:cs="黑体"/>
          <w:b/>
          <w:color w:val="auto"/>
          <w:sz w:val="28"/>
          <w:szCs w:val="28"/>
          <w:highlight w:val="none"/>
        </w:rPr>
      </w:pPr>
      <w:bookmarkStart w:id="126" w:name="_Toc469495734"/>
      <w:bookmarkStart w:id="127" w:name="_Toc362983803"/>
      <w:bookmarkStart w:id="128" w:name="_Toc20667"/>
      <w:bookmarkStart w:id="129" w:name="_Toc8811"/>
      <w:r>
        <w:rPr>
          <w:rFonts w:hint="eastAsia" w:ascii="黑体" w:hAnsi="黑体" w:eastAsia="黑体" w:cs="黑体"/>
          <w:b/>
          <w:color w:val="auto"/>
          <w:sz w:val="28"/>
          <w:szCs w:val="28"/>
          <w:highlight w:val="none"/>
        </w:rPr>
        <w:t>三  投标文件的澄清和补正</w:t>
      </w:r>
      <w:bookmarkEnd w:id="126"/>
      <w:bookmarkEnd w:id="127"/>
      <w:bookmarkEnd w:id="128"/>
      <w:bookmarkEnd w:id="129"/>
    </w:p>
    <w:p w14:paraId="2C44EDC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6B61B9C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1F21487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5AE594D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348B918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0" w:name="_Toc469495735"/>
    </w:p>
    <w:bookmarkEnd w:id="130"/>
    <w:p w14:paraId="695B0CA9">
      <w:pPr>
        <w:widowControl/>
        <w:spacing w:before="162" w:beforeLines="50" w:after="162" w:afterLines="50" w:line="440" w:lineRule="exact"/>
        <w:jc w:val="center"/>
        <w:outlineLvl w:val="4"/>
        <w:rPr>
          <w:rFonts w:ascii="黑体" w:hAnsi="黑体" w:eastAsia="黑体" w:cs="黑体"/>
          <w:b/>
          <w:color w:val="auto"/>
          <w:sz w:val="28"/>
          <w:szCs w:val="28"/>
          <w:highlight w:val="none"/>
        </w:rPr>
      </w:pPr>
      <w:bookmarkStart w:id="131" w:name="_Toc6932"/>
      <w:bookmarkStart w:id="132" w:name="_Toc27786"/>
      <w:bookmarkStart w:id="133" w:name="_Toc29803"/>
      <w:bookmarkStart w:id="134" w:name="_Toc469495736"/>
      <w:bookmarkStart w:id="135" w:name="_Toc23516"/>
      <w:bookmarkStart w:id="136" w:name="_Toc362983805"/>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31"/>
      <w:bookmarkEnd w:id="132"/>
    </w:p>
    <w:p w14:paraId="65018BB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07597034">
      <w:pPr>
        <w:pStyle w:val="57"/>
        <w:spacing w:line="44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6.1资信评审细则（16分）</w:t>
      </w:r>
      <w:r>
        <w:rPr>
          <w:rFonts w:ascii="宋体" w:hAnsi="宋体" w:cs="宋体"/>
          <w:color w:val="auto"/>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88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0D323F61">
            <w:pPr>
              <w:pStyle w:val="57"/>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5BB62076">
            <w:pPr>
              <w:pStyle w:val="57"/>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vAlign w:val="center"/>
          </w:tcPr>
          <w:p w14:paraId="75083FDB">
            <w:pPr>
              <w:pStyle w:val="57"/>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31F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4252F447">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03721DA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企业业绩</w:t>
            </w:r>
          </w:p>
          <w:p w14:paraId="4BE8BC61">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（10分）</w:t>
            </w:r>
          </w:p>
        </w:tc>
        <w:tc>
          <w:tcPr>
            <w:tcW w:w="7661" w:type="dxa"/>
            <w:vAlign w:val="center"/>
          </w:tcPr>
          <w:p w14:paraId="3A8FA2DD">
            <w:pPr>
              <w:pStyle w:val="57"/>
              <w:spacing w:line="440" w:lineRule="exact"/>
              <w:ind w:firstLine="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自202</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val="zh-CN"/>
              </w:rPr>
              <w:t>月1日至开标截止时间前，</w:t>
            </w:r>
            <w:r>
              <w:rPr>
                <w:rFonts w:hint="eastAsia" w:ascii="宋体" w:hAnsi="宋体" w:cs="宋体"/>
                <w:color w:val="auto"/>
                <w:kern w:val="0"/>
                <w:sz w:val="21"/>
                <w:szCs w:val="21"/>
                <w:highlight w:val="none"/>
              </w:rPr>
              <w:t>投标供应商具有一份类似项目业绩的得5分，本项满分10分。</w:t>
            </w:r>
          </w:p>
          <w:p w14:paraId="3367D905">
            <w:pPr>
              <w:pStyle w:val="57"/>
              <w:spacing w:line="440" w:lineRule="exact"/>
              <w:ind w:firstLine="0"/>
              <w:rPr>
                <w:rFonts w:ascii="宋体" w:hAnsi="宋体" w:cs="宋体"/>
                <w:color w:val="auto"/>
                <w:kern w:val="0"/>
                <w:sz w:val="21"/>
                <w:szCs w:val="21"/>
                <w:highlight w:val="none"/>
              </w:rPr>
            </w:pPr>
            <w:r>
              <w:rPr>
                <w:rFonts w:hint="eastAsia" w:ascii="黑体" w:hAnsi="黑体" w:eastAsia="黑体" w:cs="黑体"/>
                <w:b/>
                <w:bCs/>
                <w:color w:val="auto"/>
                <w:sz w:val="21"/>
                <w:szCs w:val="21"/>
                <w:highlight w:val="none"/>
              </w:rPr>
              <w:t>注：提供采购合同复印件加盖投标供应商公章。业绩时间以合同签署日期为准，业绩类型以合同内容为准。</w:t>
            </w:r>
          </w:p>
        </w:tc>
      </w:tr>
      <w:tr w14:paraId="799D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722" w:type="dxa"/>
            <w:vAlign w:val="center"/>
          </w:tcPr>
          <w:p w14:paraId="0EF06A0B">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86" w:type="dxa"/>
            <w:vAlign w:val="center"/>
          </w:tcPr>
          <w:p w14:paraId="3820D687">
            <w:pPr>
              <w:pStyle w:val="57"/>
              <w:spacing w:line="440" w:lineRule="exact"/>
              <w:ind w:firstLine="0"/>
              <w:jc w:val="center"/>
              <w:rPr>
                <w:rStyle w:val="46"/>
                <w:rFonts w:ascii="宋体" w:hAnsi="宋体" w:cs="宋体"/>
                <w:color w:val="auto"/>
                <w:szCs w:val="21"/>
                <w:highlight w:val="none"/>
              </w:rPr>
            </w:pPr>
            <w:r>
              <w:rPr>
                <w:rStyle w:val="46"/>
                <w:rFonts w:hint="eastAsia" w:ascii="宋体" w:hAnsi="宋体" w:cs="宋体"/>
                <w:color w:val="auto"/>
                <w:szCs w:val="21"/>
                <w:highlight w:val="none"/>
              </w:rPr>
              <w:t>体系认证</w:t>
            </w:r>
          </w:p>
          <w:p w14:paraId="5ED2CB2A">
            <w:pPr>
              <w:pStyle w:val="57"/>
              <w:spacing w:line="440" w:lineRule="exact"/>
              <w:ind w:firstLine="0"/>
              <w:jc w:val="center"/>
              <w:rPr>
                <w:rFonts w:ascii="宋体" w:hAnsi="宋体" w:cs="宋体"/>
                <w:color w:val="auto"/>
                <w:kern w:val="0"/>
                <w:sz w:val="21"/>
                <w:szCs w:val="21"/>
                <w:highlight w:val="none"/>
              </w:rPr>
            </w:pPr>
            <w:r>
              <w:rPr>
                <w:rStyle w:val="46"/>
                <w:rFonts w:hint="eastAsia" w:ascii="宋体" w:hAnsi="宋体" w:cs="宋体"/>
                <w:color w:val="auto"/>
                <w:szCs w:val="21"/>
                <w:highlight w:val="none"/>
              </w:rPr>
              <w:t>（6分）</w:t>
            </w:r>
          </w:p>
        </w:tc>
        <w:tc>
          <w:tcPr>
            <w:tcW w:w="7661" w:type="dxa"/>
            <w:vAlign w:val="center"/>
          </w:tcPr>
          <w:p w14:paraId="57C8E718">
            <w:pPr>
              <w:snapToGri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投标供应商具有质量管理体系认证证书和信息安全管理体系认证证书和环境管理体系认证证书的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每提供一个对应证书的得2分，本项最高</w:t>
            </w:r>
            <w:r>
              <w:rPr>
                <w:rFonts w:hint="eastAsia" w:ascii="宋体" w:hAnsi="宋体" w:cs="宋体"/>
                <w:color w:val="auto"/>
                <w:szCs w:val="21"/>
                <w:highlight w:val="none"/>
              </w:rPr>
              <w:t>得6分；</w:t>
            </w:r>
            <w:r>
              <w:rPr>
                <w:rFonts w:hint="eastAsia" w:ascii="宋体" w:hAnsi="宋体" w:cs="仿宋"/>
                <w:color w:val="auto"/>
                <w:szCs w:val="21"/>
                <w:highlight w:val="none"/>
              </w:rPr>
              <w:t>否则不得分。</w:t>
            </w:r>
          </w:p>
          <w:p w14:paraId="51565F95">
            <w:pPr>
              <w:snapToGrid w:val="0"/>
              <w:spacing w:line="440" w:lineRule="exact"/>
              <w:jc w:val="left"/>
              <w:rPr>
                <w:rFonts w:ascii="宋体" w:hAnsi="宋体" w:cs="宋体"/>
                <w:b/>
                <w:bCs/>
                <w:color w:val="auto"/>
                <w:szCs w:val="21"/>
                <w:highlight w:val="none"/>
              </w:rPr>
            </w:pPr>
            <w:r>
              <w:rPr>
                <w:rFonts w:hint="eastAsia" w:ascii="黑体" w:hAnsi="黑体" w:eastAsia="黑体" w:cs="黑体"/>
                <w:b/>
                <w:bCs/>
                <w:color w:val="auto"/>
                <w:szCs w:val="21"/>
                <w:highlight w:val="none"/>
              </w:rPr>
              <w:t>注：上述证书均在有效期内，提供证书复印件加盖投标供应商公章。证书单位名称与投标供应商名称一致，在全国认证认可信息公共服务平台（http://cx.cnca.cn/）网站上可查，并提供查询截图，否则不得分。</w:t>
            </w:r>
          </w:p>
        </w:tc>
      </w:tr>
    </w:tbl>
    <w:p w14:paraId="460C380F">
      <w:pPr>
        <w:spacing w:line="440" w:lineRule="atLeast"/>
        <w:ind w:firstLine="422" w:firstLineChars="200"/>
        <w:jc w:val="left"/>
        <w:rPr>
          <w:rFonts w:ascii="宋体" w:hAnsi="宋体"/>
          <w:b/>
          <w:bCs/>
          <w:color w:val="auto"/>
          <w:szCs w:val="21"/>
          <w:highlight w:val="none"/>
        </w:rPr>
      </w:pPr>
      <w:r>
        <w:rPr>
          <w:rFonts w:hint="eastAsia" w:ascii="宋体" w:hAnsi="宋体"/>
          <w:b/>
          <w:bCs/>
          <w:color w:val="auto"/>
          <w:szCs w:val="21"/>
          <w:highlight w:val="none"/>
        </w:rPr>
        <w:t>6.2技术评审细则（54分）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6D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5DCF7FE6">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7C6A7C55">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vAlign w:val="center"/>
          </w:tcPr>
          <w:p w14:paraId="1C30CAA8">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44E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8089F10">
            <w:pPr>
              <w:pStyle w:val="23"/>
              <w:spacing w:line="440" w:lineRule="exact"/>
              <w:jc w:val="center"/>
              <w:rPr>
                <w:color w:val="auto"/>
                <w:sz w:val="21"/>
                <w:szCs w:val="21"/>
                <w:highlight w:val="none"/>
              </w:rPr>
            </w:pPr>
            <w:r>
              <w:rPr>
                <w:rFonts w:hint="eastAsia"/>
                <w:color w:val="auto"/>
                <w:sz w:val="21"/>
                <w:szCs w:val="21"/>
                <w:highlight w:val="none"/>
              </w:rPr>
              <w:t>1</w:t>
            </w:r>
          </w:p>
        </w:tc>
        <w:tc>
          <w:tcPr>
            <w:tcW w:w="1325" w:type="dxa"/>
            <w:vAlign w:val="center"/>
          </w:tcPr>
          <w:p w14:paraId="7DCB2544">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产品技术参数（</w:t>
            </w:r>
            <w:r>
              <w:rPr>
                <w:rFonts w:ascii="宋体" w:hAnsi="宋体" w:cs="宋体"/>
                <w:color w:val="auto"/>
                <w:szCs w:val="21"/>
                <w:highlight w:val="none"/>
              </w:rPr>
              <w:t>40</w:t>
            </w:r>
            <w:r>
              <w:rPr>
                <w:rFonts w:hint="eastAsia" w:ascii="宋体" w:hAnsi="宋体" w:cs="宋体"/>
                <w:color w:val="auto"/>
                <w:szCs w:val="21"/>
                <w:highlight w:val="none"/>
              </w:rPr>
              <w:t>分）</w:t>
            </w:r>
          </w:p>
        </w:tc>
        <w:tc>
          <w:tcPr>
            <w:tcW w:w="7863" w:type="dxa"/>
            <w:vAlign w:val="center"/>
          </w:tcPr>
          <w:p w14:paraId="756196AA">
            <w:pPr>
              <w:spacing w:line="440" w:lineRule="exact"/>
              <w:rPr>
                <w:rFonts w:ascii="宋体" w:hAnsi="宋体" w:cs="宋体"/>
                <w:color w:val="auto"/>
                <w:szCs w:val="21"/>
                <w:highlight w:val="none"/>
              </w:rPr>
            </w:pPr>
            <w:r>
              <w:rPr>
                <w:rFonts w:hint="eastAsia" w:ascii="宋体" w:hAnsi="宋体" w:cs="宋体"/>
                <w:color w:val="auto"/>
                <w:szCs w:val="21"/>
                <w:highlight w:val="none"/>
              </w:rPr>
              <w:t>评标委员会根据投标供应商对招标文件“</w:t>
            </w:r>
            <w:r>
              <w:rPr>
                <w:rFonts w:hint="eastAsia" w:ascii="宋体" w:hAnsi="宋体" w:cs="宋体"/>
                <w:bCs/>
                <w:color w:val="auto"/>
                <w:szCs w:val="21"/>
                <w:highlight w:val="none"/>
              </w:rPr>
              <w:t>■</w:t>
            </w:r>
            <w:r>
              <w:rPr>
                <w:rFonts w:hint="eastAsia" w:ascii="宋体" w:hAnsi="宋体" w:cs="宋体"/>
                <w:color w:val="auto"/>
                <w:szCs w:val="21"/>
                <w:highlight w:val="none"/>
              </w:rPr>
              <w:t>”项、“</w:t>
            </w:r>
            <w:r>
              <w:rPr>
                <w:rFonts w:hint="eastAsia" w:ascii="仿宋" w:hAnsi="仿宋" w:eastAsia="仿宋" w:cs="宋体"/>
                <w:color w:val="auto"/>
                <w:szCs w:val="21"/>
                <w:highlight w:val="none"/>
              </w:rPr>
              <w:t>●</w:t>
            </w:r>
            <w:r>
              <w:rPr>
                <w:rFonts w:hint="eastAsia" w:ascii="宋体" w:hAnsi="宋体" w:cs="宋体"/>
                <w:color w:val="auto"/>
                <w:szCs w:val="21"/>
                <w:highlight w:val="none"/>
              </w:rPr>
              <w:t>”项以及无标识技术参数及要求的响应情况进行综合评审：</w:t>
            </w:r>
          </w:p>
          <w:p w14:paraId="4ADDC860">
            <w:pPr>
              <w:spacing w:line="44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标注“</w:t>
            </w:r>
            <w:r>
              <w:rPr>
                <w:rFonts w:hint="eastAsia" w:ascii="宋体" w:hAnsi="宋体" w:cs="宋体"/>
                <w:bCs/>
                <w:color w:val="auto"/>
                <w:szCs w:val="21"/>
                <w:highlight w:val="none"/>
              </w:rPr>
              <w:t>■</w:t>
            </w:r>
            <w:r>
              <w:rPr>
                <w:rFonts w:hint="eastAsia" w:ascii="宋体" w:hAnsi="宋体" w:cs="宋体"/>
                <w:color w:val="auto"/>
                <w:szCs w:val="21"/>
                <w:highlight w:val="none"/>
              </w:rPr>
              <w:t>”的条款每有一项满足</w:t>
            </w:r>
            <w:r>
              <w:rPr>
                <w:rFonts w:ascii="宋体" w:hAnsi="宋体" w:cs="宋体"/>
                <w:color w:val="auto"/>
                <w:szCs w:val="21"/>
                <w:highlight w:val="none"/>
              </w:rPr>
              <w:t>3</w:t>
            </w:r>
            <w:r>
              <w:rPr>
                <w:rFonts w:hint="eastAsia" w:ascii="宋体" w:hAnsi="宋体" w:cs="宋体"/>
                <w:color w:val="auto"/>
                <w:szCs w:val="21"/>
                <w:highlight w:val="none"/>
              </w:rPr>
              <w:t>分，共</w:t>
            </w:r>
            <w:r>
              <w:rPr>
                <w:rFonts w:ascii="宋体" w:hAnsi="宋体" w:cs="宋体"/>
                <w:color w:val="auto"/>
                <w:szCs w:val="21"/>
                <w:highlight w:val="none"/>
              </w:rPr>
              <w:t>8</w:t>
            </w:r>
            <w:r>
              <w:rPr>
                <w:rFonts w:hint="eastAsia" w:ascii="宋体" w:hAnsi="宋体" w:cs="宋体"/>
                <w:color w:val="auto"/>
                <w:szCs w:val="21"/>
                <w:highlight w:val="none"/>
              </w:rPr>
              <w:t>项，共计</w:t>
            </w:r>
            <w:r>
              <w:rPr>
                <w:rFonts w:ascii="宋体" w:hAnsi="宋体" w:cs="宋体"/>
                <w:color w:val="auto"/>
                <w:szCs w:val="21"/>
                <w:highlight w:val="none"/>
              </w:rPr>
              <w:t>24</w:t>
            </w:r>
            <w:r>
              <w:rPr>
                <w:rFonts w:hint="eastAsia" w:ascii="宋体" w:hAnsi="宋体" w:cs="宋体"/>
                <w:color w:val="auto"/>
                <w:szCs w:val="21"/>
                <w:highlight w:val="none"/>
              </w:rPr>
              <w:t>分；</w:t>
            </w:r>
          </w:p>
          <w:p w14:paraId="395CF07A">
            <w:pPr>
              <w:pStyle w:val="58"/>
              <w:spacing w:line="440" w:lineRule="exact"/>
              <w:ind w:firstLine="0" w:firstLineChars="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标注“</w:t>
            </w:r>
            <w:r>
              <w:rPr>
                <w:rFonts w:hint="eastAsia" w:ascii="仿宋" w:hAnsi="仿宋" w:eastAsia="仿宋" w:cs="宋体"/>
                <w:color w:val="auto"/>
                <w:szCs w:val="21"/>
                <w:highlight w:val="none"/>
              </w:rPr>
              <w:t>●</w:t>
            </w:r>
            <w:r>
              <w:rPr>
                <w:rFonts w:hint="eastAsia" w:ascii="宋体" w:hAnsi="宋体" w:cs="宋体"/>
                <w:color w:val="auto"/>
                <w:szCs w:val="21"/>
                <w:highlight w:val="none"/>
              </w:rPr>
              <w:t>”的条款每有一项满足</w:t>
            </w:r>
            <w:r>
              <w:rPr>
                <w:rFonts w:ascii="宋体" w:hAnsi="宋体" w:cs="宋体"/>
                <w:color w:val="auto"/>
                <w:szCs w:val="21"/>
                <w:highlight w:val="none"/>
              </w:rPr>
              <w:t>2</w:t>
            </w:r>
            <w:r>
              <w:rPr>
                <w:rFonts w:hint="eastAsia" w:ascii="宋体" w:hAnsi="宋体" w:cs="宋体"/>
                <w:color w:val="auto"/>
                <w:szCs w:val="21"/>
                <w:highlight w:val="none"/>
              </w:rPr>
              <w:t>分，共</w:t>
            </w:r>
            <w:r>
              <w:rPr>
                <w:rFonts w:ascii="宋体" w:hAnsi="宋体" w:cs="宋体"/>
                <w:color w:val="auto"/>
                <w:szCs w:val="21"/>
                <w:highlight w:val="none"/>
              </w:rPr>
              <w:t>8</w:t>
            </w:r>
            <w:r>
              <w:rPr>
                <w:rFonts w:hint="eastAsia" w:ascii="宋体" w:hAnsi="宋体" w:cs="宋体"/>
                <w:color w:val="auto"/>
                <w:szCs w:val="21"/>
                <w:highlight w:val="none"/>
              </w:rPr>
              <w:t>项，共计</w:t>
            </w:r>
            <w:r>
              <w:rPr>
                <w:rFonts w:ascii="宋体" w:hAnsi="宋体" w:cs="宋体"/>
                <w:color w:val="auto"/>
                <w:szCs w:val="21"/>
                <w:highlight w:val="none"/>
              </w:rPr>
              <w:t>16</w:t>
            </w:r>
            <w:r>
              <w:rPr>
                <w:rFonts w:hint="eastAsia" w:ascii="宋体" w:hAnsi="宋体" w:cs="宋体"/>
                <w:color w:val="auto"/>
                <w:szCs w:val="21"/>
                <w:highlight w:val="none"/>
              </w:rPr>
              <w:t>分；</w:t>
            </w:r>
          </w:p>
          <w:p w14:paraId="3D825DD9">
            <w:pPr>
              <w:spacing w:line="440" w:lineRule="exac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未标注符号的参数，最大允许偏离3项，超过最大允许偏离项数的，投标无效</w:t>
            </w:r>
            <w:r>
              <w:rPr>
                <w:rFonts w:hint="eastAsia" w:ascii="宋体" w:hAnsi="宋体"/>
                <w:color w:val="auto"/>
                <w:szCs w:val="21"/>
                <w:highlight w:val="none"/>
              </w:rPr>
              <w:t>。</w:t>
            </w:r>
          </w:p>
          <w:p w14:paraId="4D572C64">
            <w:pPr>
              <w:spacing w:line="440" w:lineRule="exact"/>
              <w:jc w:val="left"/>
              <w:rPr>
                <w:rFonts w:ascii="宋体" w:hAnsi="宋体" w:cs="宋体"/>
                <w:bCs/>
                <w:color w:val="auto"/>
                <w:szCs w:val="21"/>
                <w:highlight w:val="none"/>
              </w:rPr>
            </w:pPr>
            <w:r>
              <w:rPr>
                <w:rFonts w:hint="eastAsia" w:ascii="宋体" w:hAnsi="宋体" w:cs="宋体"/>
                <w:b/>
                <w:bCs/>
                <w:color w:val="auto"/>
                <w:szCs w:val="21"/>
                <w:highlight w:val="none"/>
              </w:rPr>
              <w:t>注：以采购需求中要求提供的材料作为评审依据，不满足的、要求提供证明文件或承诺，未提供的、配置不详的、技术参数不清或缺漏的，均视为负偏离。所有承诺函需加盖投标供应商公章</w:t>
            </w:r>
            <w:r>
              <w:rPr>
                <w:rFonts w:hint="eastAsia" w:ascii="宋体" w:hAnsi="宋体" w:cs="宋体"/>
                <w:bCs/>
                <w:color w:val="auto"/>
                <w:szCs w:val="21"/>
                <w:highlight w:val="none"/>
              </w:rPr>
              <w:t>。</w:t>
            </w:r>
          </w:p>
        </w:tc>
      </w:tr>
      <w:tr w14:paraId="2C1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09461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325" w:type="dxa"/>
            <w:vAlign w:val="center"/>
          </w:tcPr>
          <w:p w14:paraId="0CD3530D">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安装、售后服务及维保方案（</w:t>
            </w:r>
            <w:r>
              <w:rPr>
                <w:rStyle w:val="46"/>
                <w:rFonts w:ascii="宋体" w:hAnsi="宋体" w:cs="宋体"/>
                <w:color w:val="auto"/>
                <w:szCs w:val="21"/>
                <w:highlight w:val="none"/>
              </w:rPr>
              <w:t>6</w:t>
            </w:r>
            <w:r>
              <w:rPr>
                <w:rStyle w:val="46"/>
                <w:rFonts w:hint="eastAsia" w:ascii="宋体" w:hAnsi="宋体" w:cs="宋体"/>
                <w:color w:val="auto"/>
                <w:szCs w:val="21"/>
                <w:highlight w:val="none"/>
              </w:rPr>
              <w:t>分）</w:t>
            </w:r>
          </w:p>
        </w:tc>
        <w:tc>
          <w:tcPr>
            <w:tcW w:w="7863" w:type="dxa"/>
            <w:vAlign w:val="center"/>
          </w:tcPr>
          <w:p w14:paraId="3C87D55F">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根据投标人的安装方案，售后服务及维保体系完备、合理情况，售后技术服务承诺、保修期、保修内容及优惠条件进行综合评分。</w:t>
            </w:r>
          </w:p>
          <w:p w14:paraId="36FB708A">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1、与本项目的具体特点和实际需要适应度高，利于项目实施，有针对性得</w:t>
            </w:r>
            <w:r>
              <w:rPr>
                <w:rStyle w:val="46"/>
                <w:rFonts w:hint="eastAsia" w:ascii="宋体" w:hAnsi="宋体" w:cs="宋体"/>
                <w:color w:val="auto"/>
                <w:szCs w:val="21"/>
                <w:highlight w:val="none"/>
                <w:lang w:val="en-US"/>
              </w:rPr>
              <w:t>3</w:t>
            </w:r>
            <w:r>
              <w:rPr>
                <w:rStyle w:val="46"/>
                <w:rFonts w:hint="eastAsia" w:ascii="宋体" w:hAnsi="宋体" w:cs="宋体"/>
                <w:color w:val="auto"/>
                <w:szCs w:val="21"/>
                <w:highlight w:val="none"/>
              </w:rPr>
              <w:t>分；与本项目的具体特点和实际需要适应度较高，较利于项目实施，有一定针对性得</w:t>
            </w:r>
            <w:r>
              <w:rPr>
                <w:rStyle w:val="46"/>
                <w:rFonts w:hint="eastAsia" w:ascii="宋体" w:hAnsi="宋体" w:cs="宋体"/>
                <w:color w:val="auto"/>
                <w:szCs w:val="21"/>
                <w:highlight w:val="none"/>
                <w:lang w:val="en-US"/>
              </w:rPr>
              <w:t>2</w:t>
            </w:r>
            <w:r>
              <w:rPr>
                <w:rStyle w:val="46"/>
                <w:rFonts w:hint="eastAsia" w:ascii="宋体" w:hAnsi="宋体" w:cs="宋体"/>
                <w:color w:val="auto"/>
                <w:szCs w:val="21"/>
                <w:highlight w:val="none"/>
              </w:rPr>
              <w:t>分；与本项目的具体特点以及项目实际需要适应程度不够，有待完善得1分；差的或未提供相关内容的不得分。</w:t>
            </w:r>
          </w:p>
          <w:p w14:paraId="278EF50B">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2、服务响应时间：响应迅速，能够妥善解决问题得</w:t>
            </w:r>
            <w:r>
              <w:rPr>
                <w:rStyle w:val="46"/>
                <w:rFonts w:hint="eastAsia" w:ascii="宋体" w:hAnsi="宋体" w:cs="宋体"/>
                <w:color w:val="auto"/>
                <w:szCs w:val="21"/>
                <w:highlight w:val="none"/>
                <w:lang w:val="en-US"/>
              </w:rPr>
              <w:t>3</w:t>
            </w:r>
            <w:r>
              <w:rPr>
                <w:rStyle w:val="46"/>
                <w:rFonts w:hint="eastAsia" w:ascii="宋体" w:hAnsi="宋体" w:cs="宋体"/>
                <w:color w:val="auto"/>
                <w:szCs w:val="21"/>
                <w:highlight w:val="none"/>
              </w:rPr>
              <w:t>分；响应较为及时，基本保障项目需要得</w:t>
            </w:r>
            <w:r>
              <w:rPr>
                <w:rStyle w:val="46"/>
                <w:rFonts w:hint="eastAsia" w:ascii="宋体" w:hAnsi="宋体" w:cs="宋体"/>
                <w:color w:val="auto"/>
                <w:szCs w:val="21"/>
                <w:highlight w:val="none"/>
                <w:lang w:val="en-US"/>
              </w:rPr>
              <w:t>2</w:t>
            </w:r>
            <w:r>
              <w:rPr>
                <w:rStyle w:val="46"/>
                <w:rFonts w:hint="eastAsia" w:ascii="宋体" w:hAnsi="宋体" w:cs="宋体"/>
                <w:color w:val="auto"/>
                <w:szCs w:val="21"/>
                <w:highlight w:val="none"/>
              </w:rPr>
              <w:t>分；能够响应服务要求，细节有待完善得1分；差的或未提供相关内容的不得分。</w:t>
            </w:r>
          </w:p>
        </w:tc>
      </w:tr>
      <w:tr w14:paraId="67CF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05123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325" w:type="dxa"/>
            <w:vAlign w:val="center"/>
          </w:tcPr>
          <w:p w14:paraId="2E98DCA4">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质量承诺及应急方案（5分）</w:t>
            </w:r>
          </w:p>
        </w:tc>
        <w:tc>
          <w:tcPr>
            <w:tcW w:w="7863" w:type="dxa"/>
            <w:vAlign w:val="center"/>
          </w:tcPr>
          <w:p w14:paraId="5B4DBC18">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质量承诺、应急处置能力部署的方案等进行综合评审，由评委进行打分，</w:t>
            </w:r>
            <w:r>
              <w:rPr>
                <w:rFonts w:hint="eastAsia" w:ascii="宋体" w:hAnsi="宋体" w:cs="宋体"/>
                <w:color w:val="auto"/>
                <w:highlight w:val="none"/>
              </w:rPr>
              <w:t>内容全面，表述清晰的</w:t>
            </w:r>
            <w:r>
              <w:rPr>
                <w:rStyle w:val="46"/>
                <w:rFonts w:hint="eastAsia" w:ascii="宋体" w:hAnsi="宋体" w:cs="宋体"/>
                <w:color w:val="auto"/>
                <w:szCs w:val="21"/>
                <w:highlight w:val="none"/>
              </w:rPr>
              <w:t>优于采购需求的得5分，</w:t>
            </w:r>
            <w:r>
              <w:rPr>
                <w:rFonts w:hint="eastAsia" w:ascii="宋体" w:hAnsi="宋体" w:cs="宋体"/>
                <w:color w:val="auto"/>
                <w:highlight w:val="none"/>
              </w:rPr>
              <w:t>内容基本全面，表述内容清晰满足</w:t>
            </w:r>
            <w:r>
              <w:rPr>
                <w:rStyle w:val="46"/>
                <w:rFonts w:hint="eastAsia" w:ascii="宋体" w:hAnsi="宋体" w:cs="宋体"/>
                <w:color w:val="auto"/>
                <w:szCs w:val="21"/>
                <w:highlight w:val="none"/>
              </w:rPr>
              <w:t>采购需求的得3分，</w:t>
            </w:r>
            <w:r>
              <w:rPr>
                <w:rFonts w:hint="eastAsia" w:ascii="宋体" w:hAnsi="宋体" w:cs="宋体"/>
                <w:color w:val="auto"/>
                <w:highlight w:val="none"/>
              </w:rPr>
              <w:t>具体实施内容不贴合，出现与本项目无关内容的</w:t>
            </w:r>
            <w:r>
              <w:rPr>
                <w:rStyle w:val="46"/>
                <w:rFonts w:hint="eastAsia" w:ascii="宋体" w:hAnsi="宋体" w:cs="宋体"/>
                <w:color w:val="auto"/>
                <w:szCs w:val="21"/>
                <w:highlight w:val="none"/>
              </w:rPr>
              <w:t>得1分；差或未提供不得分。</w:t>
            </w:r>
          </w:p>
        </w:tc>
      </w:tr>
      <w:tr w14:paraId="024D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0F0AF01">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325" w:type="dxa"/>
            <w:vAlign w:val="center"/>
          </w:tcPr>
          <w:p w14:paraId="2EA97F03">
            <w:pPr>
              <w:snapToGrid w:val="0"/>
              <w:spacing w:line="440" w:lineRule="exact"/>
              <w:jc w:val="center"/>
              <w:rPr>
                <w:rStyle w:val="46"/>
                <w:rFonts w:ascii="宋体" w:hAnsi="宋体" w:cs="宋体"/>
                <w:color w:val="auto"/>
                <w:szCs w:val="21"/>
                <w:highlight w:val="none"/>
              </w:rPr>
            </w:pPr>
            <w:r>
              <w:rPr>
                <w:rStyle w:val="46"/>
                <w:rFonts w:hint="eastAsia" w:ascii="宋体" w:hAnsi="宋体" w:cs="宋体"/>
                <w:color w:val="auto"/>
                <w:szCs w:val="21"/>
                <w:highlight w:val="none"/>
              </w:rPr>
              <w:t>质保期</w:t>
            </w:r>
          </w:p>
          <w:p w14:paraId="321571E4">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（3分）</w:t>
            </w:r>
          </w:p>
        </w:tc>
        <w:tc>
          <w:tcPr>
            <w:tcW w:w="7863" w:type="dxa"/>
            <w:vAlign w:val="center"/>
          </w:tcPr>
          <w:p w14:paraId="1C54CF83">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投标人所投所有产品质保期满足招标文件规定3年免费质保期的情况下，每延长1年得1分，最高得3分（所有产品质保期均做延长方予认可）；</w:t>
            </w:r>
          </w:p>
          <w:p w14:paraId="03878EFF">
            <w:pPr>
              <w:snapToGrid w:val="0"/>
              <w:spacing w:line="440" w:lineRule="exact"/>
              <w:jc w:val="left"/>
              <w:rPr>
                <w:rStyle w:val="46"/>
                <w:rFonts w:ascii="宋体" w:hAnsi="宋体" w:cs="宋体"/>
                <w:color w:val="auto"/>
                <w:szCs w:val="21"/>
                <w:highlight w:val="none"/>
              </w:rPr>
            </w:pPr>
            <w:r>
              <w:rPr>
                <w:rStyle w:val="46"/>
                <w:rFonts w:hint="eastAsia" w:ascii="宋体" w:hAnsi="宋体" w:cs="宋体"/>
                <w:b/>
                <w:bCs/>
                <w:color w:val="auto"/>
                <w:szCs w:val="21"/>
                <w:highlight w:val="none"/>
              </w:rPr>
              <w:t>注：投标人自行承诺，格式自拟，不承诺不得分。</w:t>
            </w:r>
          </w:p>
        </w:tc>
      </w:tr>
    </w:tbl>
    <w:p w14:paraId="6CB4056A">
      <w:pPr>
        <w:spacing w:line="4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5140A40D">
      <w:pPr>
        <w:pStyle w:val="23"/>
        <w:keepNext/>
        <w:widowControl w:val="0"/>
        <w:snapToGrid w:val="0"/>
        <w:spacing w:line="440" w:lineRule="atLeast"/>
        <w:ind w:firstLine="420" w:firstLineChars="200"/>
        <w:outlineLvl w:val="3"/>
        <w:rPr>
          <w:rFonts w:hint="eastAsia"/>
          <w:bCs/>
          <w:color w:val="auto"/>
          <w:sz w:val="21"/>
          <w:szCs w:val="21"/>
          <w:highlight w:val="none"/>
        </w:rPr>
      </w:pPr>
      <w:r>
        <w:rPr>
          <w:rFonts w:hint="eastAsia"/>
          <w:bCs/>
          <w:color w:val="auto"/>
          <w:sz w:val="21"/>
          <w:szCs w:val="21"/>
          <w:highlight w:val="none"/>
        </w:rPr>
        <w:t>6.3商务标评审细则（30分）</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57"/>
        <w:gridCol w:w="7605"/>
      </w:tblGrid>
      <w:tr w14:paraId="6EB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vAlign w:val="center"/>
          </w:tcPr>
          <w:p w14:paraId="37E270E6">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257" w:type="dxa"/>
            <w:tcBorders>
              <w:top w:val="single" w:color="auto" w:sz="4" w:space="0"/>
              <w:left w:val="single" w:color="auto" w:sz="4" w:space="0"/>
              <w:bottom w:val="single" w:color="auto" w:sz="4" w:space="0"/>
              <w:right w:val="single" w:color="auto" w:sz="4" w:space="0"/>
            </w:tcBorders>
            <w:vAlign w:val="center"/>
          </w:tcPr>
          <w:p w14:paraId="0511E9CC">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7605" w:type="dxa"/>
            <w:tcBorders>
              <w:top w:val="single" w:color="auto" w:sz="4" w:space="0"/>
              <w:left w:val="single" w:color="auto" w:sz="4" w:space="0"/>
              <w:bottom w:val="single" w:color="auto" w:sz="4" w:space="0"/>
              <w:right w:val="single" w:color="auto" w:sz="4" w:space="0"/>
            </w:tcBorders>
            <w:vAlign w:val="center"/>
          </w:tcPr>
          <w:p w14:paraId="1B42DA1A">
            <w:pPr>
              <w:spacing w:line="440" w:lineRule="atLeas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2A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Align w:val="center"/>
          </w:tcPr>
          <w:p w14:paraId="53F67AB3">
            <w:pPr>
              <w:keepNext/>
              <w:wordWrap w:val="0"/>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7" w:type="dxa"/>
            <w:tcBorders>
              <w:top w:val="single" w:color="auto" w:sz="4" w:space="0"/>
              <w:left w:val="single" w:color="auto" w:sz="4" w:space="0"/>
              <w:bottom w:val="single" w:color="auto" w:sz="4" w:space="0"/>
              <w:right w:val="single" w:color="auto" w:sz="4" w:space="0"/>
            </w:tcBorders>
            <w:vAlign w:val="center"/>
          </w:tcPr>
          <w:p w14:paraId="31CE13FF">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49E1F7DA">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7605" w:type="dxa"/>
            <w:tcBorders>
              <w:top w:val="single" w:color="auto" w:sz="4" w:space="0"/>
              <w:left w:val="single" w:color="auto" w:sz="4" w:space="0"/>
              <w:bottom w:val="single" w:color="auto" w:sz="4" w:space="0"/>
              <w:right w:val="single" w:color="auto" w:sz="4" w:space="0"/>
            </w:tcBorders>
            <w:vAlign w:val="center"/>
          </w:tcPr>
          <w:p w14:paraId="7CEE3458">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采购人设置投标报价最高限价，各投标供应商有效报价不得高于最高限价，否则，其投标文件按无效标处理。</w:t>
            </w:r>
          </w:p>
          <w:p w14:paraId="595AFF1D">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1、评标基准价=所有效投标供应商的最低报价；其得分为满分；</w:t>
            </w:r>
          </w:p>
          <w:p w14:paraId="12F9F226">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2、其它报价得分=评标基准价/投标报价*30分，小数点后保留两位小数，第三位四舍五入；</w:t>
            </w:r>
          </w:p>
          <w:p w14:paraId="19CB63E3">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3、本项分值由评标委员会负责组织计算。</w:t>
            </w:r>
          </w:p>
        </w:tc>
      </w:tr>
    </w:tbl>
    <w:p w14:paraId="3459B457">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33"/>
      <w:bookmarkEnd w:id="134"/>
      <w:bookmarkEnd w:id="135"/>
      <w:bookmarkEnd w:id="136"/>
    </w:p>
    <w:bookmarkEnd w:id="116"/>
    <w:p w14:paraId="70682F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67FD5AF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D971A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28D0707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5F787C1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2C3D9B4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5279F41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2B95EA4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31496A0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687660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206B3C8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4CFF0F5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6FFD65A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6732D0E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2385F2B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64BDD99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6251075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59926E4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619CF74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5DC63634">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181A4E9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4444FD2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25B15B6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200D214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32C2F2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7BE45B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029114EA">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6290F5C7">
      <w:pPr>
        <w:keepNext/>
        <w:pageBreakBefore/>
        <w:spacing w:before="162" w:beforeLines="50" w:after="162" w:afterLines="50" w:line="440" w:lineRule="exact"/>
        <w:jc w:val="center"/>
        <w:rPr>
          <w:rFonts w:ascii="宋体" w:hAnsi="宋体" w:cs="宋体"/>
          <w:b/>
          <w:color w:val="auto"/>
          <w:sz w:val="32"/>
          <w:szCs w:val="32"/>
          <w:highlight w:val="none"/>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37" w:name="_Toc27595"/>
    </w:p>
    <w:p w14:paraId="203837F6">
      <w:pPr>
        <w:keepNext/>
        <w:pageBreakBefore/>
        <w:spacing w:before="162" w:beforeLines="50" w:after="162" w:afterLines="50" w:line="440" w:lineRule="exact"/>
        <w:jc w:val="center"/>
        <w:outlineLvl w:val="1"/>
        <w:rPr>
          <w:b/>
          <w:bCs/>
          <w:color w:val="auto"/>
          <w:highlight w:val="none"/>
        </w:rPr>
      </w:pPr>
      <w:r>
        <w:rPr>
          <w:rFonts w:hint="eastAsia" w:ascii="宋体" w:hAnsi="宋体" w:cs="宋体"/>
          <w:b/>
          <w:color w:val="auto"/>
          <w:sz w:val="32"/>
          <w:szCs w:val="32"/>
          <w:highlight w:val="none"/>
        </w:rPr>
        <w:t>第三章  采购服务需求</w:t>
      </w:r>
      <w:bookmarkEnd w:id="137"/>
    </w:p>
    <w:p w14:paraId="27C7A5FF">
      <w:pPr>
        <w:keepNext/>
        <w:tabs>
          <w:tab w:val="left" w:pos="420"/>
        </w:tabs>
        <w:spacing w:line="440" w:lineRule="exact"/>
        <w:ind w:firstLine="420"/>
        <w:jc w:val="left"/>
        <w:outlineLvl w:val="2"/>
        <w:rPr>
          <w:rFonts w:ascii="宋体"/>
          <w:b/>
          <w:color w:val="auto"/>
          <w:szCs w:val="21"/>
          <w:highlight w:val="none"/>
        </w:rPr>
      </w:pPr>
      <w:bookmarkStart w:id="138" w:name="_Toc18551"/>
      <w:r>
        <w:rPr>
          <w:rFonts w:hint="eastAsia" w:ascii="宋体"/>
          <w:b/>
          <w:color w:val="auto"/>
          <w:szCs w:val="21"/>
          <w:highlight w:val="none"/>
        </w:rPr>
        <w:t>一、采购清单及技术参数</w:t>
      </w:r>
    </w:p>
    <w:tbl>
      <w:tblPr>
        <w:tblStyle w:val="26"/>
        <w:tblW w:w="14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8"/>
        <w:gridCol w:w="9271"/>
        <w:gridCol w:w="813"/>
        <w:gridCol w:w="700"/>
        <w:gridCol w:w="1128"/>
        <w:gridCol w:w="1406"/>
      </w:tblGrid>
      <w:tr w14:paraId="5E79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2E474F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888" w:type="dxa"/>
            <w:vAlign w:val="center"/>
          </w:tcPr>
          <w:p w14:paraId="0B49A78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9271" w:type="dxa"/>
            <w:vAlign w:val="center"/>
          </w:tcPr>
          <w:p w14:paraId="761D06A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主要技术参数</w:t>
            </w:r>
          </w:p>
        </w:tc>
        <w:tc>
          <w:tcPr>
            <w:tcW w:w="813" w:type="dxa"/>
            <w:vAlign w:val="center"/>
          </w:tcPr>
          <w:p w14:paraId="33AF9B6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数量</w:t>
            </w:r>
          </w:p>
        </w:tc>
        <w:tc>
          <w:tcPr>
            <w:tcW w:w="700" w:type="dxa"/>
            <w:vAlign w:val="center"/>
          </w:tcPr>
          <w:p w14:paraId="73BC98D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单位</w:t>
            </w:r>
          </w:p>
        </w:tc>
        <w:tc>
          <w:tcPr>
            <w:tcW w:w="1128" w:type="dxa"/>
            <w:vAlign w:val="center"/>
          </w:tcPr>
          <w:p w14:paraId="5578DB5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最高综合单价（元）</w:t>
            </w:r>
          </w:p>
        </w:tc>
        <w:tc>
          <w:tcPr>
            <w:tcW w:w="1406" w:type="dxa"/>
            <w:vAlign w:val="center"/>
          </w:tcPr>
          <w:p w14:paraId="14AF80C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合价</w:t>
            </w:r>
          </w:p>
          <w:p w14:paraId="79DAB97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（元）</w:t>
            </w:r>
          </w:p>
        </w:tc>
      </w:tr>
      <w:tr w14:paraId="0EC5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DAF704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w:t>
            </w:r>
          </w:p>
        </w:tc>
        <w:tc>
          <w:tcPr>
            <w:tcW w:w="888" w:type="dxa"/>
            <w:vAlign w:val="center"/>
          </w:tcPr>
          <w:p w14:paraId="38B42D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LED屏</w:t>
            </w:r>
          </w:p>
        </w:tc>
        <w:tc>
          <w:tcPr>
            <w:tcW w:w="9271" w:type="dxa"/>
            <w:vAlign w:val="center"/>
          </w:tcPr>
          <w:p w14:paraId="29D6C25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（1）LED像素点间距≤1.86mm;像素密度≥280000点/㎡，每个像素点采用1纯红1纯绿1纯蓝三像素，表贴三合一封装。</w:t>
            </w:r>
          </w:p>
          <w:p w14:paraId="78A9BF2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（2）可根据自身产品尺寸进行拼接，但是设计显示尺寸长和宽均不得小于规定长宽，误差范围不超过2％。</w:t>
            </w:r>
          </w:p>
          <w:p w14:paraId="0FC1BFC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（3）PCB设计焊盘采用沉金工艺处理，LED显示屏整屏平整度：≤0.05mm，单元平整度：≤0.05mm，模组间缝隙：≤0.10mm。</w:t>
            </w:r>
          </w:p>
          <w:p w14:paraId="0291E19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（4）色彩：≥16Bit，≥280万亿色，色域覆盖率100%，NTSC色域覆盖率≥120%上，YLV(PAL)色域覆盖率≥170%，支持BT.2020、DCI.P3、BT.709、sRGB等多种色域转换。</w:t>
            </w:r>
          </w:p>
          <w:p w14:paraId="7DE229F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（5）LED显示屏整屏像素失控率小于0.000001且区域像素失控率小于0.000003。</w:t>
            </w:r>
          </w:p>
          <w:p w14:paraId="57EC04A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（6）投标产品水平和垂直视角≥170°；亮度均匀性≥99%，色度均匀性≤±0.001Cx、Cy之内。</w:t>
            </w:r>
          </w:p>
          <w:p w14:paraId="4550C62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（7）LED 显示屏观看舒适度需符合：“人眼视觉舒适度(VICO)”指数低于2.0，去除100% 紫外线，消除 80%摩尔纹。</w:t>
            </w:r>
          </w:p>
          <w:p w14:paraId="38DC911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b/>
                <w:color w:val="auto"/>
                <w:kern w:val="0"/>
                <w:sz w:val="21"/>
                <w:szCs w:val="21"/>
              </w:rPr>
              <w:t>（8）投标时提供所投产品需要获得CCC认证证书复印件加盖单位公章。</w:t>
            </w:r>
          </w:p>
        </w:tc>
        <w:tc>
          <w:tcPr>
            <w:tcW w:w="813" w:type="dxa"/>
            <w:shd w:val="clear" w:color="auto" w:fill="auto"/>
            <w:vAlign w:val="center"/>
          </w:tcPr>
          <w:p w14:paraId="4472EAC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700" w:type="dxa"/>
            <w:vAlign w:val="center"/>
          </w:tcPr>
          <w:p w14:paraId="146F15E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平方</w:t>
            </w:r>
          </w:p>
        </w:tc>
        <w:tc>
          <w:tcPr>
            <w:tcW w:w="1128" w:type="dxa"/>
            <w:vAlign w:val="center"/>
          </w:tcPr>
          <w:p w14:paraId="54D98E2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7500</w:t>
            </w:r>
          </w:p>
        </w:tc>
        <w:tc>
          <w:tcPr>
            <w:tcW w:w="1406" w:type="dxa"/>
            <w:vAlign w:val="center"/>
          </w:tcPr>
          <w:p w14:paraId="132BEFD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60000</w:t>
            </w:r>
          </w:p>
        </w:tc>
      </w:tr>
      <w:tr w14:paraId="0A1F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B72B7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w:t>
            </w:r>
          </w:p>
        </w:tc>
        <w:tc>
          <w:tcPr>
            <w:tcW w:w="888" w:type="dxa"/>
            <w:vAlign w:val="center"/>
          </w:tcPr>
          <w:p w14:paraId="5C54A0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接收卡</w:t>
            </w:r>
          </w:p>
        </w:tc>
        <w:tc>
          <w:tcPr>
            <w:tcW w:w="9271" w:type="dxa"/>
            <w:vAlign w:val="center"/>
          </w:tcPr>
          <w:p w14:paraId="1FFE7CA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单卡带载≤256*256像素；支持16组RGB并行数据；集成≥8个HUB75接口，免接HUB板。</w:t>
            </w:r>
          </w:p>
        </w:tc>
        <w:tc>
          <w:tcPr>
            <w:tcW w:w="813" w:type="dxa"/>
            <w:shd w:val="clear" w:color="auto" w:fill="auto"/>
            <w:vAlign w:val="center"/>
          </w:tcPr>
          <w:p w14:paraId="60CB95B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26</w:t>
            </w:r>
          </w:p>
        </w:tc>
        <w:tc>
          <w:tcPr>
            <w:tcW w:w="700" w:type="dxa"/>
            <w:vAlign w:val="center"/>
          </w:tcPr>
          <w:p w14:paraId="2BADFD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张</w:t>
            </w:r>
          </w:p>
        </w:tc>
        <w:tc>
          <w:tcPr>
            <w:tcW w:w="1128" w:type="dxa"/>
            <w:vAlign w:val="center"/>
          </w:tcPr>
          <w:p w14:paraId="5A2751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260</w:t>
            </w:r>
          </w:p>
        </w:tc>
        <w:tc>
          <w:tcPr>
            <w:tcW w:w="1406" w:type="dxa"/>
            <w:vAlign w:val="center"/>
          </w:tcPr>
          <w:p w14:paraId="0FC7B0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6760</w:t>
            </w:r>
          </w:p>
        </w:tc>
      </w:tr>
      <w:tr w14:paraId="13D5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175540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3</w:t>
            </w:r>
          </w:p>
        </w:tc>
        <w:tc>
          <w:tcPr>
            <w:tcW w:w="888" w:type="dxa"/>
            <w:vAlign w:val="center"/>
          </w:tcPr>
          <w:p w14:paraId="599AAC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视频处理器</w:t>
            </w:r>
          </w:p>
        </w:tc>
        <w:tc>
          <w:tcPr>
            <w:tcW w:w="9271" w:type="dxa"/>
            <w:vAlign w:val="center"/>
          </w:tcPr>
          <w:p w14:paraId="54F2479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视频处理器：</w:t>
            </w:r>
          </w:p>
          <w:p w14:paraId="56D4CBD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（1）集成发送卡、视频处理、U盘播放功能于一体；支持≥1路DVI/HDMI/VGA/CVBS输入，≥1路USB播放；支持≥4路网口输出，≥260万像素点带载。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（2）支持画面全屏缩放、点对点显示、自定义缩放三种缩放模式；支持窗口位置、大小调整及窗口截取功能；支持≥6个预设场景。</w:t>
            </w:r>
          </w:p>
          <w:p w14:paraId="12CD1C2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（3）支持输出软调映射功能。LED屏调试时，无需将处理器输出端口与LED屏发送卡按照固定的顺序进行连接，可通过软件平台快速对应输出端口与LED屏的映射关系。</w:t>
            </w:r>
          </w:p>
          <w:p w14:paraId="159230E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（4）强大视频处理能力、搭载 SuperView III 画质处理技术、支持输出画面无极缩放。</w:t>
            </w:r>
          </w:p>
          <w:p w14:paraId="0968417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（5）上电即可工作，启动速度快、稳定性高，不会出现死机、黑屏现象，启动时间＜5S。</w:t>
            </w:r>
          </w:p>
          <w:p w14:paraId="43D5FA4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云联服务器：</w:t>
            </w:r>
          </w:p>
          <w:p w14:paraId="1B1559C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w:t>
            </w:r>
            <w:r>
              <w:rPr>
                <w:rFonts w:hint="eastAsia" w:ascii="宋体" w:hAnsi="宋体" w:eastAsia="宋体" w:cs="宋体"/>
                <w:color w:val="auto"/>
                <w:kern w:val="0"/>
                <w:sz w:val="21"/>
                <w:szCs w:val="21"/>
              </w:rPr>
              <w:t>（1）</w:t>
            </w:r>
            <w:r>
              <w:rPr>
                <w:rFonts w:hint="eastAsia" w:ascii="宋体" w:hAnsi="宋体" w:eastAsia="宋体" w:cs="宋体"/>
                <w:bCs/>
                <w:color w:val="auto"/>
                <w:kern w:val="0"/>
                <w:sz w:val="21"/>
                <w:szCs w:val="21"/>
              </w:rPr>
              <w:t>检验项目至少包含但不限于：</w:t>
            </w:r>
            <w:r>
              <w:rPr>
                <w:rFonts w:hint="eastAsia" w:ascii="宋体" w:hAnsi="宋体" w:eastAsia="宋体" w:cs="宋体"/>
                <w:color w:val="auto"/>
                <w:kern w:val="0"/>
                <w:sz w:val="21"/>
                <w:szCs w:val="21"/>
              </w:rPr>
              <w:t>不少于6个HDMI输出，HDMI最大支持8K输出，可以显示不少于6个不同画面，</w:t>
            </w:r>
            <w:r>
              <w:rPr>
                <w:rFonts w:hint="eastAsia" w:ascii="宋体" w:hAnsi="宋体" w:eastAsia="宋体" w:cs="宋体"/>
                <w:b/>
                <w:color w:val="auto"/>
                <w:kern w:val="0"/>
                <w:sz w:val="21"/>
                <w:szCs w:val="21"/>
              </w:rPr>
              <w:t>投标时提供第三方检测机构出具的检测报告复印件加盖单位公章</w:t>
            </w:r>
            <w:r>
              <w:rPr>
                <w:rFonts w:hint="eastAsia" w:ascii="宋体" w:hAnsi="宋体" w:eastAsia="宋体" w:cs="宋体"/>
                <w:bCs/>
                <w:color w:val="auto"/>
                <w:kern w:val="0"/>
                <w:sz w:val="21"/>
                <w:szCs w:val="21"/>
              </w:rPr>
              <w:t>。</w:t>
            </w:r>
          </w:p>
          <w:p w14:paraId="6BE0873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（2）支持H.265/H.264视频解码，最高8K60FPS。</w:t>
            </w:r>
          </w:p>
          <w:p w14:paraId="1A42F92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■（3）在一个屏幕上可以任意分屏，最大支持6块不同的显示屏任意分屏，开窗，漫游显示（投标文件中提供与所投产品同品牌同型号的</w:t>
            </w:r>
            <w:r>
              <w:rPr>
                <w:rFonts w:hint="eastAsia" w:ascii="宋体" w:hAnsi="宋体" w:eastAsia="宋体" w:cs="宋体"/>
                <w:b/>
                <w:color w:val="auto"/>
                <w:kern w:val="0"/>
                <w:sz w:val="21"/>
                <w:szCs w:val="21"/>
              </w:rPr>
              <w:t>投标时提供第三方检测机构出具的检测报告复印件加盖单位公章</w:t>
            </w:r>
            <w:r>
              <w:rPr>
                <w:rFonts w:hint="eastAsia" w:ascii="宋体" w:hAnsi="宋体" w:eastAsia="宋体" w:cs="宋体"/>
                <w:bCs/>
                <w:color w:val="auto"/>
                <w:kern w:val="0"/>
                <w:sz w:val="21"/>
                <w:szCs w:val="21"/>
              </w:rPr>
              <w:t>。</w:t>
            </w:r>
          </w:p>
          <w:p w14:paraId="118ABE4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（4）服务器系统采用B/S架构，管理人员只需通过WEB页面即可访问节目制作编辑系统。</w:t>
            </w:r>
          </w:p>
          <w:p w14:paraId="236A4D2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（5）系统界面默认支持简单中文、繁体、英文、俄语、日语（可扩展支持其它语言包）。</w:t>
            </w:r>
          </w:p>
          <w:p w14:paraId="1326E8F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（6）支持windows操作系统(x86架构)。</w:t>
            </w:r>
          </w:p>
          <w:p w14:paraId="7186AAD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（7）支持局域网（内网）、互联网（公网）、专网等， 包括3G/4G/Wifi/Adsl/光纤等各种网络。</w:t>
            </w:r>
          </w:p>
          <w:p w14:paraId="2EABF39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（8）终端安装简单，只需要指定服务器IP或者域名，通电联网就可以使用。</w:t>
            </w:r>
          </w:p>
          <w:p w14:paraId="04B281C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（9）支持上传超过2G以上超大文件。</w:t>
            </w:r>
          </w:p>
          <w:p w14:paraId="546BB56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（10）windows终端互动按钮支持：上一个，下一个，播放，暂停，停止，退出。</w:t>
            </w:r>
          </w:p>
        </w:tc>
        <w:tc>
          <w:tcPr>
            <w:tcW w:w="813" w:type="dxa"/>
            <w:shd w:val="clear" w:color="auto" w:fill="auto"/>
            <w:vAlign w:val="center"/>
          </w:tcPr>
          <w:p w14:paraId="432103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00" w:type="dxa"/>
            <w:vAlign w:val="center"/>
          </w:tcPr>
          <w:p w14:paraId="7A764D5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套</w:t>
            </w:r>
          </w:p>
        </w:tc>
        <w:tc>
          <w:tcPr>
            <w:tcW w:w="1128" w:type="dxa"/>
            <w:vAlign w:val="center"/>
          </w:tcPr>
          <w:p w14:paraId="4CD5DEF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3600</w:t>
            </w:r>
          </w:p>
        </w:tc>
        <w:tc>
          <w:tcPr>
            <w:tcW w:w="1406" w:type="dxa"/>
            <w:vAlign w:val="center"/>
          </w:tcPr>
          <w:p w14:paraId="0A51ECB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3600</w:t>
            </w:r>
          </w:p>
        </w:tc>
      </w:tr>
      <w:tr w14:paraId="2B43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09558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4</w:t>
            </w:r>
          </w:p>
        </w:tc>
        <w:tc>
          <w:tcPr>
            <w:tcW w:w="888" w:type="dxa"/>
            <w:vAlign w:val="center"/>
          </w:tcPr>
          <w:p w14:paraId="7974EA7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电源</w:t>
            </w:r>
          </w:p>
        </w:tc>
        <w:tc>
          <w:tcPr>
            <w:tcW w:w="9271" w:type="dxa"/>
            <w:vAlign w:val="center"/>
          </w:tcPr>
          <w:p w14:paraId="4917648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数控开关电源在接到数控信号后,调整输出电压，然后送到LED显示屏。</w:t>
            </w:r>
          </w:p>
        </w:tc>
        <w:tc>
          <w:tcPr>
            <w:tcW w:w="813" w:type="dxa"/>
            <w:shd w:val="clear" w:color="auto" w:fill="auto"/>
            <w:vAlign w:val="center"/>
          </w:tcPr>
          <w:p w14:paraId="66B3F45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40 </w:t>
            </w:r>
          </w:p>
        </w:tc>
        <w:tc>
          <w:tcPr>
            <w:tcW w:w="700" w:type="dxa"/>
            <w:vAlign w:val="center"/>
          </w:tcPr>
          <w:p w14:paraId="4B44531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33C96F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122</w:t>
            </w:r>
          </w:p>
        </w:tc>
        <w:tc>
          <w:tcPr>
            <w:tcW w:w="1406" w:type="dxa"/>
            <w:vAlign w:val="center"/>
          </w:tcPr>
          <w:p w14:paraId="3723A23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4880</w:t>
            </w:r>
          </w:p>
        </w:tc>
      </w:tr>
      <w:tr w14:paraId="7408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04F7E3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5</w:t>
            </w:r>
          </w:p>
        </w:tc>
        <w:tc>
          <w:tcPr>
            <w:tcW w:w="888" w:type="dxa"/>
            <w:vAlign w:val="center"/>
          </w:tcPr>
          <w:p w14:paraId="572EE0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配电柜</w:t>
            </w:r>
          </w:p>
        </w:tc>
        <w:tc>
          <w:tcPr>
            <w:tcW w:w="9271" w:type="dxa"/>
            <w:vAlign w:val="center"/>
          </w:tcPr>
          <w:p w14:paraId="4CE5F85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（1）功能特性： 控制方式：手动+时控+选控三位一体； 手动状态：一键启停，分步上电、断电； 时控状态：设置4组控制时间段； 选控控制：多功能卡、PLC、干接点 ； 空调控制：单独温度设定控制；级联控制：自动级联控制。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（2）输入接线 接线方式 ：≥国家3相5线；输入电压 ：3相380V，50Hz；额定功率：≥10KW。</w:t>
            </w:r>
          </w:p>
        </w:tc>
        <w:tc>
          <w:tcPr>
            <w:tcW w:w="813" w:type="dxa"/>
            <w:shd w:val="clear" w:color="auto" w:fill="auto"/>
            <w:vAlign w:val="center"/>
          </w:tcPr>
          <w:p w14:paraId="46727E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00" w:type="dxa"/>
            <w:vAlign w:val="center"/>
          </w:tcPr>
          <w:p w14:paraId="135AC44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套</w:t>
            </w:r>
          </w:p>
        </w:tc>
        <w:tc>
          <w:tcPr>
            <w:tcW w:w="1128" w:type="dxa"/>
            <w:vAlign w:val="center"/>
          </w:tcPr>
          <w:p w14:paraId="17F1A7A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3500</w:t>
            </w:r>
          </w:p>
        </w:tc>
        <w:tc>
          <w:tcPr>
            <w:tcW w:w="1406" w:type="dxa"/>
            <w:vAlign w:val="center"/>
          </w:tcPr>
          <w:p w14:paraId="537FD2A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3500</w:t>
            </w:r>
          </w:p>
        </w:tc>
      </w:tr>
      <w:tr w14:paraId="494A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75FA9C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6</w:t>
            </w:r>
          </w:p>
        </w:tc>
        <w:tc>
          <w:tcPr>
            <w:tcW w:w="888" w:type="dxa"/>
            <w:vAlign w:val="center"/>
          </w:tcPr>
          <w:p w14:paraId="489C86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控制软件</w:t>
            </w:r>
          </w:p>
        </w:tc>
        <w:tc>
          <w:tcPr>
            <w:tcW w:w="9271" w:type="dxa"/>
            <w:vAlign w:val="center"/>
          </w:tcPr>
          <w:p w14:paraId="3CE7505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（1）多显示屏导播、远程显示屏管理通过一台计算机的操作远程控制和发布播放方案到显示屏。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（2）多日期多时段调度功能、多节目页功能、节目页多窗口功能。</w:t>
            </w:r>
          </w:p>
          <w:p w14:paraId="5A84A32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（3）多种媒体类型：支持视频，音频、图片、Flash、自定义文本、单行文本、静态文本、走马灯、模拟时钟、数字时钟、天气预报、倒计时、视频设备、网页等。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（4）媒体属性：支持媒体的背景颜色、背景图片、透明度、音量、显示比例、出入场特效、特效速度、文字颜色、文字效果、字体、风格、透明等属性设置。</w:t>
            </w:r>
          </w:p>
          <w:p w14:paraId="788066C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（5）硬盘备份功能:可将当前的播放方案和包含的全部媒体备份到指定的硬盘位置,可监测U盘的插入，并自动播放U盘中的播放方案。</w:t>
            </w:r>
          </w:p>
        </w:tc>
        <w:tc>
          <w:tcPr>
            <w:tcW w:w="813" w:type="dxa"/>
            <w:shd w:val="clear" w:color="auto" w:fill="auto"/>
            <w:vAlign w:val="center"/>
          </w:tcPr>
          <w:p w14:paraId="44A43F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346A78E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套</w:t>
            </w:r>
          </w:p>
        </w:tc>
        <w:tc>
          <w:tcPr>
            <w:tcW w:w="1128" w:type="dxa"/>
            <w:vAlign w:val="center"/>
          </w:tcPr>
          <w:p w14:paraId="0035839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2200</w:t>
            </w:r>
          </w:p>
        </w:tc>
        <w:tc>
          <w:tcPr>
            <w:tcW w:w="1406" w:type="dxa"/>
            <w:vAlign w:val="center"/>
          </w:tcPr>
          <w:p w14:paraId="181F822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2200</w:t>
            </w:r>
          </w:p>
        </w:tc>
      </w:tr>
      <w:tr w14:paraId="0BB5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1AAEAF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7</w:t>
            </w:r>
          </w:p>
        </w:tc>
        <w:tc>
          <w:tcPr>
            <w:tcW w:w="888" w:type="dxa"/>
            <w:vAlign w:val="center"/>
          </w:tcPr>
          <w:p w14:paraId="209F58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屏体结构</w:t>
            </w:r>
          </w:p>
        </w:tc>
        <w:tc>
          <w:tcPr>
            <w:tcW w:w="9271" w:type="dxa"/>
            <w:vAlign w:val="center"/>
          </w:tcPr>
          <w:p w14:paraId="7622765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安装方式：壁挂式安装。钢架结构采用国标40mm(±10mm)*40mm(±10mm)镀锌钢管，中间采用50（±10mm）*30（±10mm）国标镀锌方管等，外部装潢采用不锈钢包边。钢架结构整体美观整齐、牢固稳定，采用标准工艺、焊接角铁及方管的方式组成框架。</w:t>
            </w:r>
          </w:p>
        </w:tc>
        <w:tc>
          <w:tcPr>
            <w:tcW w:w="813" w:type="dxa"/>
            <w:shd w:val="clear" w:color="auto" w:fill="auto"/>
            <w:vAlign w:val="center"/>
          </w:tcPr>
          <w:p w14:paraId="65E6F4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700" w:type="dxa"/>
            <w:vAlign w:val="center"/>
          </w:tcPr>
          <w:p w14:paraId="64EDDD9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平方</w:t>
            </w:r>
          </w:p>
        </w:tc>
        <w:tc>
          <w:tcPr>
            <w:tcW w:w="1128" w:type="dxa"/>
            <w:vAlign w:val="center"/>
          </w:tcPr>
          <w:p w14:paraId="782000D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870</w:t>
            </w:r>
          </w:p>
        </w:tc>
        <w:tc>
          <w:tcPr>
            <w:tcW w:w="1406" w:type="dxa"/>
            <w:vAlign w:val="center"/>
          </w:tcPr>
          <w:p w14:paraId="08AE021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6960</w:t>
            </w:r>
          </w:p>
        </w:tc>
      </w:tr>
      <w:tr w14:paraId="61F7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F8F99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8</w:t>
            </w:r>
          </w:p>
        </w:tc>
        <w:tc>
          <w:tcPr>
            <w:tcW w:w="888" w:type="dxa"/>
            <w:vAlign w:val="center"/>
          </w:tcPr>
          <w:p w14:paraId="4041BE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机柜</w:t>
            </w:r>
          </w:p>
        </w:tc>
        <w:tc>
          <w:tcPr>
            <w:tcW w:w="9271" w:type="dxa"/>
            <w:vAlign w:val="center"/>
          </w:tcPr>
          <w:p w14:paraId="764046F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（1）容量：≥20U；兼容</w:t>
            </w:r>
            <w:r>
              <w:rPr>
                <w:rFonts w:hint="eastAsia" w:ascii="宋体" w:hAnsi="宋体" w:eastAsia="宋体" w:cs="宋体"/>
                <w:color w:val="auto"/>
                <w:sz w:val="21"/>
                <w:szCs w:val="21"/>
                <w:shd w:val="clear" w:color="auto" w:fill="FDFDFE"/>
              </w:rPr>
              <w:t>GB/T 13879-2017</w:t>
            </w:r>
            <w:r>
              <w:rPr>
                <w:rFonts w:hint="eastAsia" w:ascii="宋体" w:hAnsi="宋体" w:eastAsia="宋体" w:cs="宋体"/>
                <w:color w:val="auto"/>
                <w:kern w:val="0"/>
                <w:sz w:val="21"/>
                <w:szCs w:val="21"/>
              </w:rPr>
              <w:t>标准；门及门锁：高密度六角网孔前后门。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（2）材料及工艺：优质冷扎钢板制作；厚度：方孔条1.5±0.5mmmm，安装梁 1.2±0.5mm，其它 1.0±0.5mm；表面处理：方孔条镀蓝锌；其余：脱脂、磷化、静电喷塑；附加功能：前后为圆形通风孔的上下框。</w:t>
            </w:r>
          </w:p>
        </w:tc>
        <w:tc>
          <w:tcPr>
            <w:tcW w:w="813" w:type="dxa"/>
            <w:shd w:val="clear" w:color="auto" w:fill="auto"/>
            <w:vAlign w:val="center"/>
          </w:tcPr>
          <w:p w14:paraId="5A1C68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0C3EC4F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6E7E46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1400</w:t>
            </w:r>
          </w:p>
        </w:tc>
        <w:tc>
          <w:tcPr>
            <w:tcW w:w="1406" w:type="dxa"/>
            <w:vAlign w:val="center"/>
          </w:tcPr>
          <w:p w14:paraId="7F90844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1400</w:t>
            </w:r>
          </w:p>
        </w:tc>
      </w:tr>
      <w:tr w14:paraId="3F7D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1E9E42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FF0000"/>
                <w:sz w:val="21"/>
                <w:szCs w:val="21"/>
              </w:rPr>
            </w:pPr>
            <w:bookmarkStart w:id="181" w:name="_GoBack" w:colFirst="3" w:colLast="6"/>
            <w:r>
              <w:rPr>
                <w:rFonts w:hint="eastAsia" w:ascii="宋体" w:hAnsi="宋体" w:eastAsia="宋体" w:cs="宋体"/>
                <w:color w:val="FF0000"/>
                <w:kern w:val="0"/>
                <w:sz w:val="21"/>
                <w:szCs w:val="21"/>
              </w:rPr>
              <w:t>9</w:t>
            </w:r>
          </w:p>
        </w:tc>
        <w:tc>
          <w:tcPr>
            <w:tcW w:w="888" w:type="dxa"/>
            <w:vAlign w:val="center"/>
          </w:tcPr>
          <w:p w14:paraId="747393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FF0000"/>
                <w:kern w:val="0"/>
                <w:sz w:val="21"/>
                <w:szCs w:val="21"/>
                <w:lang w:bidi="ar"/>
              </w:rPr>
            </w:pPr>
            <w:r>
              <w:rPr>
                <w:rFonts w:hint="eastAsia" w:ascii="宋体" w:hAnsi="宋体" w:eastAsia="宋体" w:cs="宋体"/>
                <w:color w:val="FF0000"/>
                <w:kern w:val="0"/>
                <w:sz w:val="21"/>
                <w:szCs w:val="21"/>
              </w:rPr>
              <w:t>控制电脑（笔记本电脑）</w:t>
            </w:r>
          </w:p>
        </w:tc>
        <w:tc>
          <w:tcPr>
            <w:tcW w:w="9271" w:type="dxa"/>
            <w:vAlign w:val="center"/>
          </w:tcPr>
          <w:p w14:paraId="2190B2B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（1）处理器：配置≥1颗，单颗CPU核数≥10核，主频≥2.0GHz；内存：≥16GB DDR4 5200MHz内存, 双内存插槽，最大支持 32G；硬盘：≥512G M.2 SSD硬盘。</w:t>
            </w:r>
          </w:p>
          <w:p w14:paraId="6FB0E7F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（2）显示屏：14” IPS防眩光液晶显示屏（≥1920x1200），≥300nit,屏幕支持180度平放，IPS通过低蓝光认证。</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（3）网卡：802.11 AX 2x2无线网卡（支持WIFI6协议）。</w:t>
            </w:r>
          </w:p>
          <w:p w14:paraId="497ED0C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FF"/>
                <w:sz w:val="21"/>
                <w:szCs w:val="21"/>
              </w:rPr>
            </w:pPr>
            <w:r>
              <w:rPr>
                <w:rFonts w:hint="eastAsia" w:ascii="宋体" w:hAnsi="宋体" w:eastAsia="宋体" w:cs="宋体"/>
                <w:color w:val="auto"/>
                <w:kern w:val="0"/>
                <w:sz w:val="21"/>
                <w:szCs w:val="21"/>
              </w:rPr>
              <w:t>（4）操作系统：出厂预装正版 Windows 11操作系统；适配器：65WTYPE-C电源适配器。</w:t>
            </w:r>
          </w:p>
        </w:tc>
        <w:tc>
          <w:tcPr>
            <w:tcW w:w="813" w:type="dxa"/>
            <w:shd w:val="clear" w:color="auto" w:fill="auto"/>
            <w:vAlign w:val="center"/>
          </w:tcPr>
          <w:p w14:paraId="121AD28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289C3C0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489E868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4800</w:t>
            </w:r>
          </w:p>
        </w:tc>
        <w:tc>
          <w:tcPr>
            <w:tcW w:w="1406" w:type="dxa"/>
            <w:vAlign w:val="center"/>
          </w:tcPr>
          <w:p w14:paraId="363D53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4800</w:t>
            </w:r>
          </w:p>
        </w:tc>
      </w:tr>
      <w:bookmarkEnd w:id="181"/>
      <w:tr w14:paraId="547C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C9693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10</w:t>
            </w:r>
          </w:p>
        </w:tc>
        <w:tc>
          <w:tcPr>
            <w:tcW w:w="888" w:type="dxa"/>
            <w:vAlign w:val="center"/>
          </w:tcPr>
          <w:p w14:paraId="3CBA65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视频会议摄像头</w:t>
            </w:r>
          </w:p>
        </w:tc>
        <w:tc>
          <w:tcPr>
            <w:tcW w:w="9271" w:type="dxa"/>
            <w:vAlign w:val="center"/>
          </w:tcPr>
          <w:p w14:paraId="4D028DE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（1）传感器类型: 1/2.8"2MP CMOS;最高分辨率: 1920(水平)x1080(垂直)。</w:t>
            </w:r>
          </w:p>
          <w:p w14:paraId="61B2167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（2）最低照度: 0.2Lux @(F1.8-2.8，AGC ON)；镜头: 变焦:3mm-15mm。</w:t>
            </w:r>
          </w:p>
          <w:p w14:paraId="5085548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（3）三轴或两轴调节角度，支持自动/手动白平衡、背光补偿、左右翻转/上下翻转/中心镜像。</w:t>
            </w:r>
          </w:p>
        </w:tc>
        <w:tc>
          <w:tcPr>
            <w:tcW w:w="813" w:type="dxa"/>
            <w:shd w:val="clear" w:color="auto" w:fill="auto"/>
            <w:vAlign w:val="center"/>
          </w:tcPr>
          <w:p w14:paraId="32F815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0E017F9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28EE0B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3600</w:t>
            </w:r>
          </w:p>
        </w:tc>
        <w:tc>
          <w:tcPr>
            <w:tcW w:w="1406" w:type="dxa"/>
            <w:vAlign w:val="center"/>
          </w:tcPr>
          <w:p w14:paraId="08E8BC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3600</w:t>
            </w:r>
          </w:p>
        </w:tc>
      </w:tr>
      <w:tr w14:paraId="6B9F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4F2794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11</w:t>
            </w:r>
          </w:p>
        </w:tc>
        <w:tc>
          <w:tcPr>
            <w:tcW w:w="888" w:type="dxa"/>
            <w:vAlign w:val="center"/>
          </w:tcPr>
          <w:p w14:paraId="6C4848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视频会议麦克风</w:t>
            </w:r>
          </w:p>
        </w:tc>
        <w:tc>
          <w:tcPr>
            <w:tcW w:w="9271" w:type="dxa"/>
            <w:vAlign w:val="center"/>
          </w:tcPr>
          <w:p w14:paraId="3B88252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（1）主机接口：2.4G 无线数据传输，3.5mm音频输出接口1个，USB充电接口1个。</w:t>
            </w:r>
          </w:p>
          <w:p w14:paraId="363DD14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（2）内置锂电池：1800mAh电池容量，连续使用时间8小时左右(视工作环境条件会有变化);</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（3）USB 无线适配器：2.4G无线数据传输，USB20接口(电脑端)。</w:t>
            </w:r>
          </w:p>
        </w:tc>
        <w:tc>
          <w:tcPr>
            <w:tcW w:w="813" w:type="dxa"/>
            <w:shd w:val="clear" w:color="auto" w:fill="auto"/>
            <w:vAlign w:val="center"/>
          </w:tcPr>
          <w:p w14:paraId="05471E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6CC99AA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4B6231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2200</w:t>
            </w:r>
          </w:p>
        </w:tc>
        <w:tc>
          <w:tcPr>
            <w:tcW w:w="1406" w:type="dxa"/>
            <w:vAlign w:val="center"/>
          </w:tcPr>
          <w:p w14:paraId="64AC79F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2200</w:t>
            </w:r>
          </w:p>
        </w:tc>
      </w:tr>
      <w:tr w14:paraId="52B4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184AD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12</w:t>
            </w:r>
          </w:p>
        </w:tc>
        <w:tc>
          <w:tcPr>
            <w:tcW w:w="888" w:type="dxa"/>
            <w:vAlign w:val="center"/>
          </w:tcPr>
          <w:p w14:paraId="1477B12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无线同屏</w:t>
            </w:r>
          </w:p>
        </w:tc>
        <w:tc>
          <w:tcPr>
            <w:tcW w:w="9271" w:type="dxa"/>
            <w:vAlign w:val="center"/>
          </w:tcPr>
          <w:p w14:paraId="7F8D978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（1）嵌入式硬件架构，A7 1.4GHz四核CPU，支持1路4K或2路1080P解码，支持1路1080P编码，内置LINUX操作系统。</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（2）支持操作系统：支持主流计算机操作系统，和连接主流手机、平板。 </w:t>
            </w:r>
          </w:p>
          <w:p w14:paraId="637E70F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（3）硬件规格：1 x HDMI 2.0接口相当及以上，1 x网络接口（百兆网口）相当及以上，1 x 3.5mm音频接口相当及以上，2 x TYPEA USB2.0接口相当及以上，1 x TYPEC USB2.0接口相当及以上，1 x 12V/1A电源接口HDMI相当及以上，输出分辨率：4K60Hz相当及以上，解码格式：H.265、H.264， 解码能力：最大4K30帧数：可达30帧/每秒，HDMI分辨率：3840x2160P60、3840x2160P30、1920x1080P60、1280x720P60、1024x768P60，支持三种发射器：USB发射器（1080P编码）、HDMI发射器（支持4K编码）和TYPEC发射器（支持4K编码），支持WIN 纯软件投屏，通过WIN Sender应用软件，支持miracast投屏，不需要切换主机WiFi配置。</w:t>
            </w:r>
          </w:p>
        </w:tc>
        <w:tc>
          <w:tcPr>
            <w:tcW w:w="813" w:type="dxa"/>
            <w:shd w:val="clear" w:color="auto" w:fill="auto"/>
            <w:vAlign w:val="center"/>
          </w:tcPr>
          <w:p w14:paraId="2B29BB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674D0C7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1D19AA4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1400</w:t>
            </w:r>
          </w:p>
        </w:tc>
        <w:tc>
          <w:tcPr>
            <w:tcW w:w="1406" w:type="dxa"/>
            <w:vAlign w:val="center"/>
          </w:tcPr>
          <w:p w14:paraId="198E50D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1400</w:t>
            </w:r>
          </w:p>
        </w:tc>
      </w:tr>
      <w:tr w14:paraId="5C3F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16475F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13</w:t>
            </w:r>
          </w:p>
        </w:tc>
        <w:tc>
          <w:tcPr>
            <w:tcW w:w="888" w:type="dxa"/>
            <w:vAlign w:val="center"/>
          </w:tcPr>
          <w:p w14:paraId="7684BBC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主扩全频扬声器</w:t>
            </w:r>
          </w:p>
        </w:tc>
        <w:tc>
          <w:tcPr>
            <w:tcW w:w="9271" w:type="dxa"/>
            <w:vAlign w:val="center"/>
          </w:tcPr>
          <w:p w14:paraId="6D5E2AD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（1）10英寸大功率低音驱动单元，1.35英寸钛膜压缩高音单元；90°×60°号角覆盖。</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（2）额定功率≥250W，峰值功率≥1000W，额定阻抗≥8Ω，灵敏度≥97dB/W/m，连续声压级≥121dB/W/m，最大声压级≥127dB/W/m，频率范围：55-20000Hz，覆盖角度（H×V）≥ 90º×60º可旋转高音号角，扬声器单元：LF约10″×1  HF约1.35″×1。</w:t>
            </w:r>
          </w:p>
          <w:p w14:paraId="0B31CF0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●（3）中纤板音箱材质，表面黑色点漆处理，多孔铁网罩；单元配置：不小于10寸50芯170磁低音单元；不小于1.3寸34芯高音单元；连接方式：2xNL4 Speakon，</w:t>
            </w:r>
            <w:r>
              <w:rPr>
                <w:rFonts w:hint="eastAsia" w:ascii="宋体" w:hAnsi="宋体" w:eastAsia="宋体" w:cs="宋体"/>
                <w:b/>
                <w:color w:val="auto"/>
                <w:kern w:val="0"/>
                <w:sz w:val="21"/>
                <w:szCs w:val="21"/>
              </w:rPr>
              <w:t>投标时提供第三方检测机构出具的检测报告复印件加盖单位公章</w:t>
            </w:r>
            <w:r>
              <w:rPr>
                <w:rFonts w:hint="eastAsia" w:ascii="宋体" w:hAnsi="宋体" w:eastAsia="宋体" w:cs="宋体"/>
                <w:bCs/>
                <w:color w:val="auto"/>
                <w:kern w:val="0"/>
                <w:sz w:val="21"/>
                <w:szCs w:val="21"/>
              </w:rPr>
              <w:t>。</w:t>
            </w:r>
          </w:p>
        </w:tc>
        <w:tc>
          <w:tcPr>
            <w:tcW w:w="813" w:type="dxa"/>
            <w:shd w:val="clear" w:color="auto" w:fill="auto"/>
            <w:vAlign w:val="center"/>
          </w:tcPr>
          <w:p w14:paraId="41DF272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4 </w:t>
            </w:r>
          </w:p>
        </w:tc>
        <w:tc>
          <w:tcPr>
            <w:tcW w:w="700" w:type="dxa"/>
            <w:vAlign w:val="center"/>
          </w:tcPr>
          <w:p w14:paraId="2214D64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只</w:t>
            </w:r>
          </w:p>
        </w:tc>
        <w:tc>
          <w:tcPr>
            <w:tcW w:w="1128" w:type="dxa"/>
            <w:vAlign w:val="center"/>
          </w:tcPr>
          <w:p w14:paraId="6F258F3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2500</w:t>
            </w:r>
          </w:p>
        </w:tc>
        <w:tc>
          <w:tcPr>
            <w:tcW w:w="1406" w:type="dxa"/>
            <w:vAlign w:val="center"/>
          </w:tcPr>
          <w:p w14:paraId="68A859C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10000</w:t>
            </w:r>
          </w:p>
        </w:tc>
      </w:tr>
      <w:tr w14:paraId="4BB8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7BB4059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14</w:t>
            </w:r>
          </w:p>
        </w:tc>
        <w:tc>
          <w:tcPr>
            <w:tcW w:w="888" w:type="dxa"/>
            <w:vAlign w:val="center"/>
          </w:tcPr>
          <w:p w14:paraId="4B6005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主扩功率放大器</w:t>
            </w:r>
          </w:p>
        </w:tc>
        <w:tc>
          <w:tcPr>
            <w:tcW w:w="9271" w:type="dxa"/>
            <w:vAlign w:val="center"/>
          </w:tcPr>
          <w:p w14:paraId="5E4D3B2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（1）采用全分立元件的移相控制自激振荡电路；无冲击声的开关机控制、平衡差分音频信号输入（也可以接成非平衡）；输出功率（RMS）：≥ 2×400W/8Ω2×680W/4Ω2×1150W/2Ω输出功率（桥接）：≥1×800W/16Ω1×1360W/8Ω1×2300W/4Ω。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■（2）多种保护和警告功能：温度保护、过载保护、短路保护，</w:t>
            </w:r>
            <w:r>
              <w:rPr>
                <w:rFonts w:hint="eastAsia" w:ascii="宋体" w:hAnsi="宋体" w:eastAsia="宋体" w:cs="宋体"/>
                <w:b/>
                <w:color w:val="auto"/>
                <w:kern w:val="0"/>
                <w:sz w:val="21"/>
                <w:szCs w:val="21"/>
              </w:rPr>
              <w:t>投标时提供第三方检测机构出具的检测报告复印件加盖单位公章</w:t>
            </w:r>
            <w:r>
              <w:rPr>
                <w:rFonts w:hint="eastAsia" w:ascii="宋体" w:hAnsi="宋体" w:eastAsia="宋体" w:cs="宋体"/>
                <w:bCs/>
                <w:color w:val="auto"/>
                <w:kern w:val="0"/>
                <w:sz w:val="21"/>
                <w:szCs w:val="21"/>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（3）频率响应：20Hz-20kHz±0.5dB；总谐波失真（THD+N)：≤0.03%（10%输出功率，1KHZ,A计权）；输入灵敏度：35dB/32dB /29dB/26dB（±0.5dB）；过载电动势：≥12dB；信噪比：≥105dB；输入阻抗：平衡20KΩ，非平衡10KΩ；串扰抑制：≥85dB（A计权，1KHZ,8Ω,输入衰减1dB）；声道增益差：≤0.5dB（输入衰减10dB，8Ω）。</w:t>
            </w:r>
          </w:p>
        </w:tc>
        <w:tc>
          <w:tcPr>
            <w:tcW w:w="813" w:type="dxa"/>
            <w:shd w:val="clear" w:color="auto" w:fill="auto"/>
            <w:vAlign w:val="center"/>
          </w:tcPr>
          <w:p w14:paraId="751105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 </w:t>
            </w:r>
          </w:p>
        </w:tc>
        <w:tc>
          <w:tcPr>
            <w:tcW w:w="700" w:type="dxa"/>
            <w:vAlign w:val="center"/>
          </w:tcPr>
          <w:p w14:paraId="3C1DDB9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57C968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3950</w:t>
            </w:r>
          </w:p>
        </w:tc>
        <w:tc>
          <w:tcPr>
            <w:tcW w:w="1406" w:type="dxa"/>
            <w:vAlign w:val="center"/>
          </w:tcPr>
          <w:p w14:paraId="47C5043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7900</w:t>
            </w:r>
          </w:p>
        </w:tc>
      </w:tr>
      <w:tr w14:paraId="34CD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5EA54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15</w:t>
            </w:r>
          </w:p>
        </w:tc>
        <w:tc>
          <w:tcPr>
            <w:tcW w:w="888" w:type="dxa"/>
            <w:vAlign w:val="center"/>
          </w:tcPr>
          <w:p w14:paraId="3486D1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调音台</w:t>
            </w:r>
          </w:p>
        </w:tc>
        <w:tc>
          <w:tcPr>
            <w:tcW w:w="9271" w:type="dxa"/>
            <w:vAlign w:val="center"/>
          </w:tcPr>
          <w:p w14:paraId="6B74CC5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（1）机架式调音台，上≥19英寸标准机柜；≥12路独立平衡线路输入，≥1组立体声输入，≥1组立体声输出；≥2路主输出加2编组输出，≥一路辅助输出；带USB接口和操作界面，可直接播放WMA、MP3双格式音乐。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（2）频率响应：≥20Hz-20KHz；总谐波失真：20Hz-20KHz时为+14dbu；输入GAIN控制旋钮至最小值；幻象电源：48V；输入均衡：HIGH:12KHz，MID:2.5KHz,LOW:80Hz。</w:t>
            </w:r>
          </w:p>
          <w:p w14:paraId="7B49D27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●（3）两个辅助输出，一个AUX发送，一个FX发送，AUX发送为推子前信号，FX发送为推子后信号，信号发送量都由旋钮控制，</w:t>
            </w:r>
            <w:r>
              <w:rPr>
                <w:rFonts w:hint="eastAsia" w:ascii="宋体" w:hAnsi="宋体" w:eastAsia="宋体" w:cs="宋体"/>
                <w:b/>
                <w:color w:val="auto"/>
                <w:kern w:val="0"/>
                <w:sz w:val="21"/>
                <w:szCs w:val="21"/>
              </w:rPr>
              <w:t>投标时提供第三方检测机构出具的检测报告复印件加盖单位公章</w:t>
            </w:r>
            <w:r>
              <w:rPr>
                <w:rFonts w:hint="eastAsia" w:ascii="宋体" w:hAnsi="宋体" w:eastAsia="宋体" w:cs="宋体"/>
                <w:bCs/>
                <w:color w:val="auto"/>
                <w:kern w:val="0"/>
                <w:sz w:val="21"/>
                <w:szCs w:val="21"/>
              </w:rPr>
              <w:t>。</w:t>
            </w:r>
          </w:p>
          <w:p w14:paraId="56A7B18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●（4）左右主输出，60mm推子控制；两编组输出，两个推子独立控制，60mm推子，</w:t>
            </w:r>
            <w:r>
              <w:rPr>
                <w:rFonts w:hint="eastAsia" w:ascii="宋体" w:hAnsi="宋体" w:eastAsia="宋体" w:cs="宋体"/>
                <w:b/>
                <w:color w:val="auto"/>
                <w:kern w:val="0"/>
                <w:sz w:val="21"/>
                <w:szCs w:val="21"/>
              </w:rPr>
              <w:t>投标时提供第三方检测机构出具的检测报告复印件加盖单位公章</w:t>
            </w:r>
            <w:r>
              <w:rPr>
                <w:rFonts w:hint="eastAsia" w:ascii="宋体" w:hAnsi="宋体" w:eastAsia="宋体" w:cs="宋体"/>
                <w:bCs/>
                <w:color w:val="auto"/>
                <w:kern w:val="0"/>
                <w:sz w:val="21"/>
                <w:szCs w:val="21"/>
              </w:rPr>
              <w:t>。</w:t>
            </w:r>
          </w:p>
        </w:tc>
        <w:tc>
          <w:tcPr>
            <w:tcW w:w="813" w:type="dxa"/>
            <w:shd w:val="clear" w:color="auto" w:fill="auto"/>
            <w:vAlign w:val="center"/>
          </w:tcPr>
          <w:p w14:paraId="70ADB59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3D720D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2EAF9A3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3500</w:t>
            </w:r>
          </w:p>
        </w:tc>
        <w:tc>
          <w:tcPr>
            <w:tcW w:w="1406" w:type="dxa"/>
            <w:vAlign w:val="center"/>
          </w:tcPr>
          <w:p w14:paraId="62331BF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3500</w:t>
            </w:r>
          </w:p>
        </w:tc>
      </w:tr>
      <w:tr w14:paraId="6800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62BBF0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16</w:t>
            </w:r>
          </w:p>
        </w:tc>
        <w:tc>
          <w:tcPr>
            <w:tcW w:w="888" w:type="dxa"/>
            <w:vAlign w:val="center"/>
          </w:tcPr>
          <w:p w14:paraId="5E8FD22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数字音频矩阵</w:t>
            </w:r>
          </w:p>
        </w:tc>
        <w:tc>
          <w:tcPr>
            <w:tcW w:w="9271" w:type="dxa"/>
            <w:vAlign w:val="center"/>
          </w:tcPr>
          <w:p w14:paraId="3C6A5D1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（1）24-bit DSP技术，高性能AD /DA；多种分频模式；输入输出音量调节，范围从-40dB到+12dB，最小步进0.1dB。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（2）频率响应：10Hz-22KHz；总谐波失真：≤0.01%。</w:t>
            </w:r>
          </w:p>
          <w:p w14:paraId="49C87C1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8路模拟平衡输入，8路模拟平衡输出，最大输入输出17dBu（5.48Vrms）不失真；输入每通道带48V幻像电源；输入每通道带麦克风放大器，0~40dB增益可调，步进1dB。立体声USB声卡功能，支持播放和录音；标配USB（TYPE-B）口：支持免驱自动连接软件调试；内置U盘功能，存放软件和说明书；内置1路RS232接口，1路RS485接口、1路网络接口，8路GPIO接口，用于电脑软件控制和中控功能，</w:t>
            </w:r>
            <w:r>
              <w:rPr>
                <w:rFonts w:hint="eastAsia" w:ascii="宋体" w:hAnsi="宋体" w:eastAsia="宋体" w:cs="宋体"/>
                <w:b/>
                <w:color w:val="auto"/>
                <w:kern w:val="0"/>
                <w:sz w:val="21"/>
                <w:szCs w:val="21"/>
              </w:rPr>
              <w:t>投标时提供第三方检测机构出具的检测报告复印件加盖单位公章</w:t>
            </w:r>
            <w:r>
              <w:rPr>
                <w:rFonts w:hint="eastAsia" w:ascii="宋体" w:hAnsi="宋体" w:eastAsia="宋体" w:cs="宋体"/>
                <w:bCs/>
                <w:color w:val="auto"/>
                <w:kern w:val="0"/>
                <w:sz w:val="21"/>
                <w:szCs w:val="21"/>
              </w:rPr>
              <w:t>。</w:t>
            </w:r>
          </w:p>
        </w:tc>
        <w:tc>
          <w:tcPr>
            <w:tcW w:w="813" w:type="dxa"/>
            <w:shd w:val="clear" w:color="auto" w:fill="auto"/>
            <w:vAlign w:val="center"/>
          </w:tcPr>
          <w:p w14:paraId="572816F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0E9806D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15CE31A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3500</w:t>
            </w:r>
          </w:p>
        </w:tc>
        <w:tc>
          <w:tcPr>
            <w:tcW w:w="1406" w:type="dxa"/>
            <w:vAlign w:val="center"/>
          </w:tcPr>
          <w:p w14:paraId="07B2DDF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3500</w:t>
            </w:r>
          </w:p>
        </w:tc>
      </w:tr>
      <w:tr w14:paraId="68A3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16F48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17</w:t>
            </w:r>
          </w:p>
        </w:tc>
        <w:tc>
          <w:tcPr>
            <w:tcW w:w="888" w:type="dxa"/>
            <w:vAlign w:val="center"/>
          </w:tcPr>
          <w:p w14:paraId="2F6AC4C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反馈抑制器</w:t>
            </w:r>
          </w:p>
        </w:tc>
        <w:tc>
          <w:tcPr>
            <w:tcW w:w="9271" w:type="dxa"/>
            <w:vAlign w:val="center"/>
          </w:tcPr>
          <w:p w14:paraId="3BD9FAC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（1）每通道具有≥24个可编程的滤波器；可调整立体每通道具有≥24个可编程的滤波器；可调整立体声或独立的双通道处理不少于48个可编程的滤波器。</w:t>
            </w:r>
          </w:p>
          <w:p w14:paraId="3231E3C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输入接口：≥2个；输出接口：≥2个；最大输入电平：18dBu±1；频率响应：20Hz-20kHz±0.5dB；总谐波失真：≤0.05%，信噪比：≥100dB；过载源电动势：≥4500mV，最大输出电平：18dBu±1采样率：≥48KHz；电力消耗：≥9W；声或独立的双通道处理不少于48个可编程的滤波器。</w:t>
            </w:r>
          </w:p>
          <w:p w14:paraId="2C71665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■（3）子带（Sub-Band) 回声消除（Echo cancellation)技术，自适应动态噪声滤波器；AGC自动增益控制；数字压限器:可提高拾音的距离；10段图示均衡器</w:t>
            </w:r>
            <w:r>
              <w:rPr>
                <w:rFonts w:hint="eastAsia" w:ascii="宋体" w:hAnsi="宋体" w:eastAsia="宋体" w:cs="宋体"/>
                <w:color w:val="auto"/>
                <w:sz w:val="21"/>
                <w:szCs w:val="21"/>
              </w:rPr>
              <w:t>，</w:t>
            </w:r>
            <w:r>
              <w:rPr>
                <w:rFonts w:hint="eastAsia" w:ascii="宋体" w:hAnsi="宋体" w:eastAsia="宋体" w:cs="宋体"/>
                <w:b/>
                <w:color w:val="auto"/>
                <w:kern w:val="0"/>
                <w:sz w:val="21"/>
                <w:szCs w:val="21"/>
              </w:rPr>
              <w:t>投标时提供第三方检测机构出具的检测报告复印件加盖单位公章</w:t>
            </w:r>
            <w:r>
              <w:rPr>
                <w:rFonts w:hint="eastAsia" w:ascii="宋体" w:hAnsi="宋体" w:eastAsia="宋体" w:cs="宋体"/>
                <w:bCs/>
                <w:color w:val="auto"/>
                <w:kern w:val="0"/>
                <w:sz w:val="21"/>
                <w:szCs w:val="21"/>
              </w:rPr>
              <w:t>。</w:t>
            </w:r>
          </w:p>
          <w:p w14:paraId="5E4FDAF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●（4）可与运维平台对接，实时显示工作电压、工作状态信息并对以上设置进行实时预警报警，</w:t>
            </w:r>
            <w:r>
              <w:rPr>
                <w:rFonts w:hint="eastAsia" w:ascii="宋体" w:hAnsi="宋体" w:eastAsia="宋体" w:cs="宋体"/>
                <w:b/>
                <w:bCs/>
                <w:color w:val="auto"/>
                <w:kern w:val="0"/>
                <w:sz w:val="21"/>
                <w:szCs w:val="21"/>
              </w:rPr>
              <w:t>投标文件中提供能体现此功能的功能截图或其他技术资料等证明材料。</w:t>
            </w:r>
          </w:p>
        </w:tc>
        <w:tc>
          <w:tcPr>
            <w:tcW w:w="813" w:type="dxa"/>
            <w:shd w:val="clear" w:color="auto" w:fill="auto"/>
            <w:vAlign w:val="center"/>
          </w:tcPr>
          <w:p w14:paraId="5EFEB8F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097EE6E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798A63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3500</w:t>
            </w:r>
          </w:p>
        </w:tc>
        <w:tc>
          <w:tcPr>
            <w:tcW w:w="1406" w:type="dxa"/>
            <w:vAlign w:val="center"/>
          </w:tcPr>
          <w:p w14:paraId="7C70B11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3500</w:t>
            </w:r>
          </w:p>
        </w:tc>
      </w:tr>
      <w:tr w14:paraId="77B1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B04C5D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18</w:t>
            </w:r>
          </w:p>
        </w:tc>
        <w:tc>
          <w:tcPr>
            <w:tcW w:w="888" w:type="dxa"/>
            <w:vAlign w:val="center"/>
          </w:tcPr>
          <w:p w14:paraId="63D2B3B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无线一拖二手持话筒</w:t>
            </w:r>
          </w:p>
        </w:tc>
        <w:tc>
          <w:tcPr>
            <w:tcW w:w="9271" w:type="dxa"/>
            <w:vAlign w:val="center"/>
          </w:tcPr>
          <w:p w14:paraId="48619BB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（1）双通道分集式接；LED 灯柱显示 RF/AF 强度；载波频段: UHF530～690.000MHZ； 单机频道数量：2000 个；频率间隔：≥25KHz；音频灵敏度: -48±3dB；综合 S/N 比 : &gt;100dB(A)； 频率响应 : 70Hz～15kHz；最大声压级：109dBA1KHz，THD1%。                                                                                                                                                                                                                         （2）指向性频响曲线 : 300～2000Hz≤-8dB；报告中需包含声性能“频率响应曲线图”和“指向性频率响应曲线图”。</w:t>
            </w:r>
          </w:p>
          <w:p w14:paraId="0296606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■（3）AI智能语言功能，通过语言控制电源时序器等受控设备；≥4种可调声音模式选择，</w:t>
            </w:r>
            <w:r>
              <w:rPr>
                <w:rFonts w:hint="eastAsia" w:ascii="宋体" w:hAnsi="宋体" w:eastAsia="宋体" w:cs="宋体"/>
                <w:b/>
                <w:color w:val="auto"/>
                <w:kern w:val="0"/>
                <w:sz w:val="21"/>
                <w:szCs w:val="21"/>
              </w:rPr>
              <w:t>投标时提供第三方检测机构出具的检测报告复印件加盖单位公章</w:t>
            </w:r>
            <w:r>
              <w:rPr>
                <w:rFonts w:hint="eastAsia" w:ascii="宋体" w:hAnsi="宋体" w:eastAsia="宋体" w:cs="宋体"/>
                <w:bCs/>
                <w:color w:val="auto"/>
                <w:kern w:val="0"/>
                <w:sz w:val="21"/>
                <w:szCs w:val="21"/>
              </w:rPr>
              <w:t>。</w:t>
            </w:r>
          </w:p>
        </w:tc>
        <w:tc>
          <w:tcPr>
            <w:tcW w:w="813" w:type="dxa"/>
            <w:shd w:val="clear" w:color="auto" w:fill="auto"/>
            <w:vAlign w:val="center"/>
          </w:tcPr>
          <w:p w14:paraId="3714CA5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 </w:t>
            </w:r>
          </w:p>
        </w:tc>
        <w:tc>
          <w:tcPr>
            <w:tcW w:w="700" w:type="dxa"/>
            <w:vAlign w:val="center"/>
          </w:tcPr>
          <w:p w14:paraId="1D70E60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套</w:t>
            </w:r>
          </w:p>
        </w:tc>
        <w:tc>
          <w:tcPr>
            <w:tcW w:w="1128" w:type="dxa"/>
            <w:vAlign w:val="center"/>
          </w:tcPr>
          <w:p w14:paraId="5D2CDF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3600</w:t>
            </w:r>
          </w:p>
        </w:tc>
        <w:tc>
          <w:tcPr>
            <w:tcW w:w="1406" w:type="dxa"/>
            <w:vAlign w:val="center"/>
          </w:tcPr>
          <w:p w14:paraId="60FE28E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7200</w:t>
            </w:r>
          </w:p>
        </w:tc>
      </w:tr>
      <w:tr w14:paraId="791C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388C24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19</w:t>
            </w:r>
          </w:p>
        </w:tc>
        <w:tc>
          <w:tcPr>
            <w:tcW w:w="888" w:type="dxa"/>
            <w:vAlign w:val="center"/>
          </w:tcPr>
          <w:p w14:paraId="4CE5CFA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数字会议系统主机</w:t>
            </w:r>
          </w:p>
        </w:tc>
        <w:tc>
          <w:tcPr>
            <w:tcW w:w="9271" w:type="dxa"/>
            <w:vAlign w:val="center"/>
          </w:tcPr>
          <w:p w14:paraId="4F31355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（1）支持多种会议模式。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四组8P-DIN输出线，与单元手拉手连接；系统单路可控制≥35只列席单元，单台可连接≥60只列席单元；面板具有数码显示和多种工作模式调节及指示灯；高、中、低音均衡调节电路，独立调整系统音质；平衡线路输出接口及不平衡输出接口以适应各种设备连接方式。</w:t>
            </w:r>
          </w:p>
          <w:p w14:paraId="0132EA7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（3）双重锁扣式“T”型；标配≥10米延长线；工作电压：AC 220V/50Hz。频率响应：100Hz-13KHz；功率消耗:115W；总谐波失真：≤0.1%。</w:t>
            </w:r>
          </w:p>
          <w:p w14:paraId="69C56DD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■（4）带USB录音接口，</w:t>
            </w:r>
            <w:r>
              <w:rPr>
                <w:rFonts w:hint="eastAsia" w:ascii="宋体" w:hAnsi="宋体" w:eastAsia="宋体" w:cs="宋体"/>
                <w:b/>
                <w:color w:val="auto"/>
                <w:kern w:val="0"/>
                <w:sz w:val="21"/>
                <w:szCs w:val="21"/>
              </w:rPr>
              <w:t>投标时提供第三方检测机构出具的检测报告复印件加盖单位公章</w:t>
            </w:r>
            <w:r>
              <w:rPr>
                <w:rFonts w:hint="eastAsia" w:ascii="宋体" w:hAnsi="宋体" w:eastAsia="宋体" w:cs="宋体"/>
                <w:bCs/>
                <w:color w:val="auto"/>
                <w:kern w:val="0"/>
                <w:sz w:val="21"/>
                <w:szCs w:val="21"/>
              </w:rPr>
              <w:t>。</w:t>
            </w:r>
          </w:p>
          <w:p w14:paraId="3784502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（5）≥高清彩色3.5英寸显示屏。</w:t>
            </w:r>
          </w:p>
        </w:tc>
        <w:tc>
          <w:tcPr>
            <w:tcW w:w="813" w:type="dxa"/>
            <w:shd w:val="clear" w:color="auto" w:fill="auto"/>
            <w:vAlign w:val="center"/>
          </w:tcPr>
          <w:p w14:paraId="6F714A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130E897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4C4539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8900</w:t>
            </w:r>
          </w:p>
        </w:tc>
        <w:tc>
          <w:tcPr>
            <w:tcW w:w="1406" w:type="dxa"/>
            <w:vAlign w:val="center"/>
          </w:tcPr>
          <w:p w14:paraId="61EB90E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8900</w:t>
            </w:r>
          </w:p>
        </w:tc>
      </w:tr>
      <w:tr w14:paraId="4258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4FAADF3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20</w:t>
            </w:r>
          </w:p>
        </w:tc>
        <w:tc>
          <w:tcPr>
            <w:tcW w:w="888" w:type="dxa"/>
            <w:vAlign w:val="center"/>
          </w:tcPr>
          <w:p w14:paraId="68DE52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数字会议系统主席单元</w:t>
            </w:r>
          </w:p>
        </w:tc>
        <w:tc>
          <w:tcPr>
            <w:tcW w:w="9271" w:type="dxa"/>
            <w:vAlign w:val="center"/>
          </w:tcPr>
          <w:p w14:paraId="3B91184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（1）抗电磁及RF射频干扰，高灵敏度电容咪，长距离拾音；麦克风单元环形红色光环指示。</w:t>
            </w:r>
          </w:p>
          <w:p w14:paraId="3B448F9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（2）全数控化设计，单元由系统主机供电，工作电压为DC18V；稳定可靠的纸质桌牌功能144（±20）×（61±15mm），指示发言者姓名；单元输出连接线角度及方向可调角度，适用于不同类型的会议桌安装。</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（3）配备一条1.5m 8p连接线，同分线盒连接；技术参数：工作电压： DC18V（由主机提供）；频率响应：100Hz—13KHz；灵敏度： -44dB±2dB；参考讲话距离： 20—60cm；连接方法： “T”型连接盒及8芯专用连接线缆。</w:t>
            </w:r>
          </w:p>
          <w:p w14:paraId="5D36FBC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●（4）话筒单元使用2.4寸彩色显示屏，可实时显示当前会议模式、话筒ID号、话筒发言状态、发言计时、发言倒计时,方便与会者掌握时间,提高会议效率，</w:t>
            </w:r>
            <w:r>
              <w:rPr>
                <w:rFonts w:hint="eastAsia" w:ascii="宋体" w:hAnsi="宋体" w:eastAsia="宋体" w:cs="宋体"/>
                <w:b/>
                <w:bCs/>
                <w:color w:val="auto"/>
                <w:kern w:val="0"/>
                <w:sz w:val="21"/>
                <w:szCs w:val="21"/>
              </w:rPr>
              <w:t>投标文件中提供能体现此功能的功能截图或其他技术资料等证明材料。</w:t>
            </w:r>
          </w:p>
        </w:tc>
        <w:tc>
          <w:tcPr>
            <w:tcW w:w="813" w:type="dxa"/>
            <w:shd w:val="clear" w:color="auto" w:fill="auto"/>
            <w:vAlign w:val="center"/>
          </w:tcPr>
          <w:p w14:paraId="35CE694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1CF4D63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060FB9F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1860</w:t>
            </w:r>
          </w:p>
        </w:tc>
        <w:tc>
          <w:tcPr>
            <w:tcW w:w="1406" w:type="dxa"/>
            <w:vAlign w:val="center"/>
          </w:tcPr>
          <w:p w14:paraId="4FA0D76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1860</w:t>
            </w:r>
          </w:p>
        </w:tc>
      </w:tr>
      <w:tr w14:paraId="44B4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79DA98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21</w:t>
            </w:r>
          </w:p>
        </w:tc>
        <w:tc>
          <w:tcPr>
            <w:tcW w:w="888" w:type="dxa"/>
            <w:vAlign w:val="center"/>
          </w:tcPr>
          <w:p w14:paraId="455C69B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数字会议系统主代表单元</w:t>
            </w:r>
          </w:p>
        </w:tc>
        <w:tc>
          <w:tcPr>
            <w:tcW w:w="9271" w:type="dxa"/>
            <w:vAlign w:val="center"/>
          </w:tcPr>
          <w:p w14:paraId="2B896CA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（1）抗电磁及RF射频干扰，高灵敏度电容咪，长距离拾音；麦克风单元环形红色光环指示。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（2）全数控化设计，单元由系统主机供电，工作电压为DC18V；稳定可靠的纸质桌牌功能（144±20×61±15mm），指示发言者姓名；单元输出连接线角度及方向可调角度，适用于不同类型的会议桌安装。</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（3）配备一条1.5m 8p连接线，同分线盒连接；技术参数：工作电压： DC18V（由主机提供）；频率响应：100Hz—13KHz；灵敏度： -44dB±2dB；参考讲话距离： 20—60cm；连接方法： “T”型连接盒及8芯专用连接线缆。</w:t>
            </w:r>
          </w:p>
          <w:p w14:paraId="5D8C2DD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●（4）话筒单元具备3.5MM监听耳机插孔，可随时调节音量大小，可连接录音设备或监听耳机，</w:t>
            </w:r>
            <w:r>
              <w:rPr>
                <w:rFonts w:hint="eastAsia" w:ascii="宋体" w:hAnsi="宋体" w:eastAsia="宋体" w:cs="宋体"/>
                <w:b/>
                <w:bCs/>
                <w:color w:val="auto"/>
                <w:kern w:val="0"/>
                <w:sz w:val="21"/>
                <w:szCs w:val="21"/>
              </w:rPr>
              <w:t>投标文件中提供能体现此功能的功能截图或其他技术资料等证明材料。</w:t>
            </w:r>
          </w:p>
          <w:p w14:paraId="1E8BB3D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（5）话筒单元使用2.4寸彩色显示屏，可实时显示包括但不限于当前会议模式、话筒ID号、话筒发言状态、发言计时、发言倒计时。</w:t>
            </w:r>
          </w:p>
        </w:tc>
        <w:tc>
          <w:tcPr>
            <w:tcW w:w="813" w:type="dxa"/>
            <w:shd w:val="clear" w:color="auto" w:fill="auto"/>
            <w:vAlign w:val="center"/>
          </w:tcPr>
          <w:p w14:paraId="2C7428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5 </w:t>
            </w:r>
          </w:p>
        </w:tc>
        <w:tc>
          <w:tcPr>
            <w:tcW w:w="700" w:type="dxa"/>
            <w:vAlign w:val="center"/>
          </w:tcPr>
          <w:p w14:paraId="692E498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6B568D1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1840</w:t>
            </w:r>
          </w:p>
        </w:tc>
        <w:tc>
          <w:tcPr>
            <w:tcW w:w="1406" w:type="dxa"/>
            <w:vAlign w:val="center"/>
          </w:tcPr>
          <w:p w14:paraId="39FAE45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9200</w:t>
            </w:r>
          </w:p>
        </w:tc>
      </w:tr>
      <w:tr w14:paraId="3B39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C00188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22</w:t>
            </w:r>
          </w:p>
        </w:tc>
        <w:tc>
          <w:tcPr>
            <w:tcW w:w="888" w:type="dxa"/>
            <w:vAlign w:val="center"/>
          </w:tcPr>
          <w:p w14:paraId="5C933B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数字会议系统天线分配器</w:t>
            </w:r>
          </w:p>
        </w:tc>
        <w:tc>
          <w:tcPr>
            <w:tcW w:w="9271" w:type="dxa"/>
            <w:vAlign w:val="center"/>
          </w:tcPr>
          <w:p w14:paraId="7122AD5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（1）采用最新超高动态低杂讯元件与超宽频微带线路设计，具有超低内调失真及损耗的特性，提供多频道接收系统同时使用时能排除混频干扰。</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（2）载波范围为500MHZ─850MHZ。</w:t>
            </w:r>
          </w:p>
          <w:p w14:paraId="3217666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（3）分路器可提供≥4路12V DC电源输出，为≥4台无线接收机提供电源，简化机柜安装。</w:t>
            </w:r>
          </w:p>
        </w:tc>
        <w:tc>
          <w:tcPr>
            <w:tcW w:w="813" w:type="dxa"/>
            <w:shd w:val="clear" w:color="auto" w:fill="auto"/>
            <w:vAlign w:val="center"/>
          </w:tcPr>
          <w:p w14:paraId="03260FA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26842BF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4BDC0B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3200</w:t>
            </w:r>
          </w:p>
        </w:tc>
        <w:tc>
          <w:tcPr>
            <w:tcW w:w="1406" w:type="dxa"/>
            <w:vAlign w:val="center"/>
          </w:tcPr>
          <w:p w14:paraId="64D273C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3200</w:t>
            </w:r>
          </w:p>
        </w:tc>
      </w:tr>
      <w:tr w14:paraId="39FA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A99B7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23</w:t>
            </w:r>
          </w:p>
        </w:tc>
        <w:tc>
          <w:tcPr>
            <w:tcW w:w="888" w:type="dxa"/>
            <w:vAlign w:val="center"/>
          </w:tcPr>
          <w:p w14:paraId="38D2AB0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数字会议系统有源对数周期天线</w:t>
            </w:r>
          </w:p>
        </w:tc>
        <w:tc>
          <w:tcPr>
            <w:tcW w:w="9271" w:type="dxa"/>
            <w:vAlign w:val="center"/>
          </w:tcPr>
          <w:p w14:paraId="5BB5E78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（1）UHF频段外接延长对数天线，适用的频宽涵盖500MHz ─850MHz范围，内建可调增益放大器以及衰减器，用户可根据实际使用环境调整增益，步进增益 总增益量：0 ─ 18dB ±2dB 步进量：±1dB。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（2）步进衰减，总衰减量：0 ─ 9dB ±2dB 步进量：±1dB ，天线阻抗 :50Ω，天线增益：3-5dB，驻波比：≤2.5:1，接收模式(3 dB 波束宽度)：65°（垂直角）,120°(水平面）。</w:t>
            </w:r>
          </w:p>
        </w:tc>
        <w:tc>
          <w:tcPr>
            <w:tcW w:w="813" w:type="dxa"/>
            <w:shd w:val="clear" w:color="auto" w:fill="auto"/>
            <w:vAlign w:val="center"/>
          </w:tcPr>
          <w:p w14:paraId="126C01E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 </w:t>
            </w:r>
          </w:p>
        </w:tc>
        <w:tc>
          <w:tcPr>
            <w:tcW w:w="700" w:type="dxa"/>
            <w:vAlign w:val="center"/>
          </w:tcPr>
          <w:p w14:paraId="277B521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个</w:t>
            </w:r>
          </w:p>
        </w:tc>
        <w:tc>
          <w:tcPr>
            <w:tcW w:w="1128" w:type="dxa"/>
            <w:vAlign w:val="center"/>
          </w:tcPr>
          <w:p w14:paraId="19E334D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870</w:t>
            </w:r>
          </w:p>
        </w:tc>
        <w:tc>
          <w:tcPr>
            <w:tcW w:w="1406" w:type="dxa"/>
            <w:vAlign w:val="center"/>
          </w:tcPr>
          <w:p w14:paraId="324D534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1740</w:t>
            </w:r>
          </w:p>
        </w:tc>
      </w:tr>
      <w:tr w14:paraId="1387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417E71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24</w:t>
            </w:r>
          </w:p>
        </w:tc>
        <w:tc>
          <w:tcPr>
            <w:tcW w:w="888" w:type="dxa"/>
            <w:vAlign w:val="center"/>
          </w:tcPr>
          <w:p w14:paraId="40672D4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电源时序器</w:t>
            </w:r>
          </w:p>
        </w:tc>
        <w:tc>
          <w:tcPr>
            <w:tcW w:w="9271" w:type="dxa"/>
            <w:vAlign w:val="center"/>
          </w:tcPr>
          <w:p w14:paraId="264A0B2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（1）2寸彩色液晶智能显示窗，实时显示当前电压、日期时间，通道开关状态；10组设备开关场景数据保存/调用，场景管理应用简单便捷。</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单路额定输出电流13A，总输出达30A，总功率6000W，单路最大功率2000W，支持多台设备级联控制，级联状态可自动检测及设置；配置RS232串口，支持外部中央控制设备控制；可实现远程集中控制，每台设备自带设备编码ID检测和设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（3）额定输出电压: 交流220V.50Hz可控制电源: 8路外加2路输出辅助通道,10chs，每路动作延时时间: 0-999秒。</w:t>
            </w:r>
          </w:p>
          <w:p w14:paraId="791F670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■（4）≥1路USB，≥1路网口，≥2路直通电源口，</w:t>
            </w:r>
            <w:r>
              <w:rPr>
                <w:rFonts w:hint="eastAsia" w:ascii="宋体" w:hAnsi="宋体" w:eastAsia="宋体" w:cs="宋体"/>
                <w:b/>
                <w:bCs/>
                <w:color w:val="auto"/>
                <w:kern w:val="0"/>
                <w:sz w:val="21"/>
                <w:szCs w:val="21"/>
              </w:rPr>
              <w:t>投标文件中提供能体现此功能的功能截图或其他技术资料等证明材料。</w:t>
            </w:r>
          </w:p>
          <w:p w14:paraId="7D8E4FC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■（5）可与运维平台对接，实时显示工作电压、工作状态信息并对以上设置进行实时预警报警，</w:t>
            </w:r>
            <w:r>
              <w:rPr>
                <w:rFonts w:hint="eastAsia" w:ascii="宋体" w:hAnsi="宋体" w:eastAsia="宋体" w:cs="宋体"/>
                <w:b/>
                <w:bCs/>
                <w:color w:val="auto"/>
                <w:kern w:val="0"/>
                <w:sz w:val="21"/>
                <w:szCs w:val="21"/>
              </w:rPr>
              <w:t>投标文件中提供能体现此功能的功能截图或其他技术资料等证明材料。</w:t>
            </w:r>
          </w:p>
        </w:tc>
        <w:tc>
          <w:tcPr>
            <w:tcW w:w="813" w:type="dxa"/>
            <w:shd w:val="clear" w:color="auto" w:fill="auto"/>
            <w:vAlign w:val="center"/>
          </w:tcPr>
          <w:p w14:paraId="5040E2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3CD3B1A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0B297A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1900</w:t>
            </w:r>
          </w:p>
        </w:tc>
        <w:tc>
          <w:tcPr>
            <w:tcW w:w="1406" w:type="dxa"/>
            <w:vAlign w:val="center"/>
          </w:tcPr>
          <w:p w14:paraId="5DEFC25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1900</w:t>
            </w:r>
          </w:p>
        </w:tc>
      </w:tr>
      <w:tr w14:paraId="18E2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FC9B71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25</w:t>
            </w:r>
          </w:p>
        </w:tc>
        <w:tc>
          <w:tcPr>
            <w:tcW w:w="888" w:type="dxa"/>
            <w:vAlign w:val="center"/>
          </w:tcPr>
          <w:p w14:paraId="582DBF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直播灯光</w:t>
            </w:r>
          </w:p>
        </w:tc>
        <w:tc>
          <w:tcPr>
            <w:tcW w:w="9271" w:type="dxa"/>
            <w:vAlign w:val="center"/>
          </w:tcPr>
          <w:p w14:paraId="02DC920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（1）供电：100V-240V~50/60Hz1.6A；功率：最大160W。</w:t>
            </w:r>
          </w:p>
          <w:p w14:paraId="6D140C7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（2）色温：5600+200K。</w:t>
            </w:r>
          </w:p>
          <w:p w14:paraId="14A08F8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（3）TLCI：≈97；CRI：≈96；调光范围：0%-100%。</w:t>
            </w:r>
          </w:p>
        </w:tc>
        <w:tc>
          <w:tcPr>
            <w:tcW w:w="813" w:type="dxa"/>
            <w:shd w:val="clear" w:color="auto" w:fill="auto"/>
            <w:vAlign w:val="center"/>
          </w:tcPr>
          <w:p w14:paraId="79C5C5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12 </w:t>
            </w:r>
          </w:p>
        </w:tc>
        <w:tc>
          <w:tcPr>
            <w:tcW w:w="700" w:type="dxa"/>
            <w:vAlign w:val="center"/>
          </w:tcPr>
          <w:p w14:paraId="0881568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44E6D43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1800</w:t>
            </w:r>
          </w:p>
        </w:tc>
        <w:tc>
          <w:tcPr>
            <w:tcW w:w="1406" w:type="dxa"/>
            <w:vAlign w:val="center"/>
          </w:tcPr>
          <w:p w14:paraId="452BFF7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21600</w:t>
            </w:r>
          </w:p>
        </w:tc>
      </w:tr>
      <w:tr w14:paraId="2D92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0C453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26</w:t>
            </w:r>
          </w:p>
        </w:tc>
        <w:tc>
          <w:tcPr>
            <w:tcW w:w="888" w:type="dxa"/>
            <w:vAlign w:val="center"/>
          </w:tcPr>
          <w:p w14:paraId="3F8CF6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电视</w:t>
            </w:r>
          </w:p>
        </w:tc>
        <w:tc>
          <w:tcPr>
            <w:tcW w:w="9271" w:type="dxa"/>
            <w:vAlign w:val="center"/>
          </w:tcPr>
          <w:p w14:paraId="56C10BE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（1）CPU架构：≥四核A55，WIFI频段：2.4G&amp;5G，存储内存：≥16GB。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（2）系统：Android，背光方式：直下式/DLED，运行内存/RAM：≥2GB，音响功率：≥20W。</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（3）屏幕尺寸：≥55英寸，屏幕分辨率：高清4K。</w:t>
            </w:r>
          </w:p>
        </w:tc>
        <w:tc>
          <w:tcPr>
            <w:tcW w:w="813" w:type="dxa"/>
            <w:shd w:val="clear" w:color="auto" w:fill="auto"/>
            <w:vAlign w:val="center"/>
          </w:tcPr>
          <w:p w14:paraId="6C0766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 </w:t>
            </w:r>
          </w:p>
        </w:tc>
        <w:tc>
          <w:tcPr>
            <w:tcW w:w="700" w:type="dxa"/>
            <w:vAlign w:val="center"/>
          </w:tcPr>
          <w:p w14:paraId="233F21B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4C92C30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2600</w:t>
            </w:r>
          </w:p>
        </w:tc>
        <w:tc>
          <w:tcPr>
            <w:tcW w:w="1406" w:type="dxa"/>
            <w:vAlign w:val="center"/>
          </w:tcPr>
          <w:p w14:paraId="4045C07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5200</w:t>
            </w:r>
          </w:p>
        </w:tc>
      </w:tr>
      <w:tr w14:paraId="0805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452496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27</w:t>
            </w:r>
          </w:p>
        </w:tc>
        <w:tc>
          <w:tcPr>
            <w:tcW w:w="888" w:type="dxa"/>
            <w:vAlign w:val="center"/>
          </w:tcPr>
          <w:p w14:paraId="596EA5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施工布线</w:t>
            </w:r>
          </w:p>
        </w:tc>
        <w:tc>
          <w:tcPr>
            <w:tcW w:w="9271" w:type="dxa"/>
            <w:vAlign w:val="center"/>
          </w:tcPr>
          <w:p w14:paraId="680138D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（1）电脑及音响等设备的安装；设备调试及扎带、膨胀螺丝、线槽、标签（盒）。选用标准 ≥16mm 及 ≥20mmpvc 穿线管，接头使用弯头，插座使用线盒，灯具使用四通。</w:t>
            </w:r>
          </w:p>
          <w:p w14:paraId="03DF556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（2）线路使用国标塑铜线， 所有电路施工均考虑接地线，所有工艺均标准化处理。</w:t>
            </w:r>
          </w:p>
        </w:tc>
        <w:tc>
          <w:tcPr>
            <w:tcW w:w="813" w:type="dxa"/>
            <w:shd w:val="clear" w:color="auto" w:fill="auto"/>
            <w:vAlign w:val="center"/>
          </w:tcPr>
          <w:p w14:paraId="782589A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7AFF40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项</w:t>
            </w:r>
          </w:p>
        </w:tc>
        <w:tc>
          <w:tcPr>
            <w:tcW w:w="1128" w:type="dxa"/>
            <w:vAlign w:val="center"/>
          </w:tcPr>
          <w:p w14:paraId="3BD88E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10000</w:t>
            </w:r>
          </w:p>
        </w:tc>
        <w:tc>
          <w:tcPr>
            <w:tcW w:w="1406" w:type="dxa"/>
            <w:vAlign w:val="center"/>
          </w:tcPr>
          <w:p w14:paraId="25478C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10000</w:t>
            </w:r>
          </w:p>
        </w:tc>
      </w:tr>
      <w:tr w14:paraId="1D25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40E46DD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28</w:t>
            </w:r>
          </w:p>
        </w:tc>
        <w:tc>
          <w:tcPr>
            <w:tcW w:w="888" w:type="dxa"/>
            <w:vAlign w:val="center"/>
          </w:tcPr>
          <w:p w14:paraId="5ECCB80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音箱</w:t>
            </w:r>
          </w:p>
        </w:tc>
        <w:tc>
          <w:tcPr>
            <w:tcW w:w="9271" w:type="dxa"/>
            <w:vAlign w:val="center"/>
          </w:tcPr>
          <w:p w14:paraId="72D48FA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 英寸轻量化大功率、长冲程 Ferrite 低音驱动单元；顺性好，中低频饱满。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（2）1 英寸丝膜高音单元，加装压缩式号角。</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（3）90°x 60°覆盖角设计，具有均匀且平滑的轴向和偏轴向的响应。</w:t>
            </w:r>
          </w:p>
          <w:p w14:paraId="5B34205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（4）额定/峰值功率： 80W～320 W ；额定阻抗：≥8 Ω；特性灵敏度：≥90dB/W/m；输出声压级：≥109 dB/W/m(Continues)； 115 dB/W/m(Peak)；额定频率范围: ≥55 ~ 20000Hz；覆盖角度 HxV：≥90ºx60º；扬声器单元：LF: ≥1*8 英寸 HF: ≥1* 1.英寸；箱体尺寸(mm)：≥490(H) ×310(W)×265(D)。</w:t>
            </w:r>
          </w:p>
        </w:tc>
        <w:tc>
          <w:tcPr>
            <w:tcW w:w="813" w:type="dxa"/>
            <w:shd w:val="clear" w:color="auto" w:fill="auto"/>
            <w:vAlign w:val="center"/>
          </w:tcPr>
          <w:p w14:paraId="0451D7D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20 </w:t>
            </w:r>
          </w:p>
        </w:tc>
        <w:tc>
          <w:tcPr>
            <w:tcW w:w="700" w:type="dxa"/>
            <w:vAlign w:val="center"/>
          </w:tcPr>
          <w:p w14:paraId="5D985E5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7C196B7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960</w:t>
            </w:r>
          </w:p>
        </w:tc>
        <w:tc>
          <w:tcPr>
            <w:tcW w:w="1406" w:type="dxa"/>
            <w:vAlign w:val="center"/>
          </w:tcPr>
          <w:p w14:paraId="48DCD0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19200</w:t>
            </w:r>
          </w:p>
        </w:tc>
      </w:tr>
      <w:tr w14:paraId="6D00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E80D5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29</w:t>
            </w:r>
          </w:p>
        </w:tc>
        <w:tc>
          <w:tcPr>
            <w:tcW w:w="888" w:type="dxa"/>
            <w:vAlign w:val="center"/>
          </w:tcPr>
          <w:p w14:paraId="05E966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有线话筒</w:t>
            </w:r>
          </w:p>
        </w:tc>
        <w:tc>
          <w:tcPr>
            <w:tcW w:w="9271" w:type="dxa"/>
            <w:vAlign w:val="center"/>
          </w:tcPr>
          <w:p w14:paraId="50B34B6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（1）抗 RF 射频干扰能力强，减少手机等信号影响。</w:t>
            </w:r>
          </w:p>
          <w:p w14:paraId="74C3BB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（2）换能方式: ECM 电容式；指 向 性: 心形单指向；频率响应: 65Hz-20KHz；灵 敏 度:-44dB±3dB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；输出阻抗:2KΩ±15%。</w:t>
            </w:r>
          </w:p>
        </w:tc>
        <w:tc>
          <w:tcPr>
            <w:tcW w:w="813" w:type="dxa"/>
            <w:shd w:val="clear" w:color="auto" w:fill="auto"/>
            <w:vAlign w:val="center"/>
          </w:tcPr>
          <w:p w14:paraId="6AEFF0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5 </w:t>
            </w:r>
          </w:p>
        </w:tc>
        <w:tc>
          <w:tcPr>
            <w:tcW w:w="700" w:type="dxa"/>
            <w:vAlign w:val="center"/>
          </w:tcPr>
          <w:p w14:paraId="482098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584759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370</w:t>
            </w:r>
          </w:p>
        </w:tc>
        <w:tc>
          <w:tcPr>
            <w:tcW w:w="1406" w:type="dxa"/>
            <w:vAlign w:val="center"/>
          </w:tcPr>
          <w:p w14:paraId="050F704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1850</w:t>
            </w:r>
          </w:p>
        </w:tc>
      </w:tr>
      <w:tr w14:paraId="3753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4465F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30</w:t>
            </w:r>
          </w:p>
        </w:tc>
        <w:tc>
          <w:tcPr>
            <w:tcW w:w="888" w:type="dxa"/>
            <w:vAlign w:val="center"/>
          </w:tcPr>
          <w:p w14:paraId="313BCC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功放</w:t>
            </w:r>
          </w:p>
        </w:tc>
        <w:tc>
          <w:tcPr>
            <w:tcW w:w="9271" w:type="dxa"/>
            <w:vAlign w:val="center"/>
          </w:tcPr>
          <w:p w14:paraId="0533B9B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（1）多功能功率放大器是针对各类现代教育培训和简易型多功能扩声并依据现代建筑声学原理和电声技术开发的专业多功能功放。</w:t>
            </w:r>
          </w:p>
          <w:p w14:paraId="0CFBCBC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（2）集成了专业前级放大系统、音频信号处理系统、高保真低耗能功放系统等功能的专业一体式多功能功率放大器；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（3）额定输出功率： 2×220W/8Ω；2×320W/4Ω， 频率响应： 线路 20Hz～20KHz ±1.5dB；信噪比（线路 A 计权）：≥100dB，耐压测试 在高压 1.5KV（10mA）冲击 60 秒无损坏。</w:t>
            </w:r>
          </w:p>
          <w:p w14:paraId="39A9DD7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（4）输入灵敏度：线路 500mV±20mV ；话筒 20mV±2mV，线路音调提衰量：10dB ±2db，话筒均衡提衰量：10dB ±2db，保护功能：过流、过载、超温、DC 保护等。</w:t>
            </w:r>
          </w:p>
          <w:p w14:paraId="6563A98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5）产品具有反馈、混响调节功能，VFD显示，自带FM/AM收音功能；配套SD卡和MP3播放USB接口，自由选择播放上一曲/下一曲/暂停等功能轻触键，具有5路话筒输入，2路话筒优先功能，4路话筒幻象供电/移频效果独立切换开关选择，</w:t>
            </w:r>
            <w:r>
              <w:rPr>
                <w:rFonts w:hint="eastAsia" w:ascii="宋体" w:hAnsi="宋体" w:eastAsia="宋体" w:cs="宋体"/>
                <w:b/>
                <w:color w:val="auto"/>
                <w:kern w:val="0"/>
                <w:sz w:val="21"/>
                <w:szCs w:val="21"/>
              </w:rPr>
              <w:t>投标时提供第三方检测机构出具的检测报告复印件加盖单位公章</w:t>
            </w:r>
            <w:r>
              <w:rPr>
                <w:rFonts w:hint="eastAsia" w:ascii="宋体" w:hAnsi="宋体" w:eastAsia="宋体" w:cs="宋体"/>
                <w:bCs/>
                <w:color w:val="auto"/>
                <w:kern w:val="0"/>
                <w:sz w:val="21"/>
                <w:szCs w:val="21"/>
              </w:rPr>
              <w:t>。</w:t>
            </w:r>
          </w:p>
        </w:tc>
        <w:tc>
          <w:tcPr>
            <w:tcW w:w="813" w:type="dxa"/>
            <w:shd w:val="clear" w:color="auto" w:fill="auto"/>
            <w:vAlign w:val="center"/>
          </w:tcPr>
          <w:p w14:paraId="234391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5 </w:t>
            </w:r>
          </w:p>
        </w:tc>
        <w:tc>
          <w:tcPr>
            <w:tcW w:w="700" w:type="dxa"/>
            <w:vAlign w:val="center"/>
          </w:tcPr>
          <w:p w14:paraId="67E89F1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355F9B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3650</w:t>
            </w:r>
          </w:p>
        </w:tc>
        <w:tc>
          <w:tcPr>
            <w:tcW w:w="1406" w:type="dxa"/>
            <w:vAlign w:val="center"/>
          </w:tcPr>
          <w:p w14:paraId="469A5A2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18250</w:t>
            </w:r>
          </w:p>
        </w:tc>
      </w:tr>
      <w:tr w14:paraId="7B1B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E2A47C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FF0000"/>
                <w:sz w:val="21"/>
                <w:szCs w:val="21"/>
              </w:rPr>
            </w:pPr>
            <w:r>
              <w:rPr>
                <w:rFonts w:hint="eastAsia" w:ascii="宋体" w:hAnsi="宋体" w:eastAsia="宋体" w:cs="宋体"/>
                <w:color w:val="FF0000"/>
                <w:kern w:val="0"/>
                <w:sz w:val="21"/>
                <w:szCs w:val="21"/>
              </w:rPr>
              <w:t>31</w:t>
            </w:r>
          </w:p>
        </w:tc>
        <w:tc>
          <w:tcPr>
            <w:tcW w:w="888" w:type="dxa"/>
            <w:vAlign w:val="center"/>
          </w:tcPr>
          <w:p w14:paraId="34E3734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FF0000"/>
                <w:kern w:val="0"/>
                <w:sz w:val="21"/>
                <w:szCs w:val="21"/>
                <w:lang w:bidi="ar"/>
              </w:rPr>
            </w:pPr>
            <w:r>
              <w:rPr>
                <w:rFonts w:hint="eastAsia" w:ascii="宋体" w:hAnsi="宋体" w:eastAsia="宋体" w:cs="宋体"/>
                <w:color w:val="FF0000"/>
                <w:kern w:val="0"/>
                <w:sz w:val="21"/>
                <w:szCs w:val="21"/>
              </w:rPr>
              <w:t>触控一体机</w:t>
            </w:r>
          </w:p>
        </w:tc>
        <w:tc>
          <w:tcPr>
            <w:tcW w:w="9271" w:type="dxa"/>
            <w:vAlign w:val="center"/>
          </w:tcPr>
          <w:p w14:paraId="0018C82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（1）液晶屏：尺寸≥86英寸，显示比例(16：9) ，A级液晶LED显示屏。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（2）分辨率：≥3840*2160； 亮度≥400cd/m，对比度≥8000:1，色彩覆盖率≥NTSC 95%。</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（3）前置接口：HDMI*1（非转接）、USB 3.0*2、Type-C*1；USB支持同时在Windows及Android系统下被读取。</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（4）Android 主板不低于四核CPU，ROM 不低于16GB，RAM 不低于2G，嵌入式操作系统。</w:t>
            </w:r>
          </w:p>
          <w:p w14:paraId="33A0950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FF0000"/>
                <w:sz w:val="21"/>
                <w:szCs w:val="21"/>
              </w:rPr>
            </w:pPr>
            <w:r>
              <w:rPr>
                <w:rFonts w:hint="eastAsia" w:ascii="宋体" w:hAnsi="宋体" w:eastAsia="宋体" w:cs="宋体"/>
                <w:color w:val="FF0000"/>
                <w:kern w:val="0"/>
                <w:sz w:val="21"/>
                <w:szCs w:val="21"/>
              </w:rPr>
              <w:t>（5）</w:t>
            </w:r>
            <w:r>
              <w:rPr>
                <w:rFonts w:hint="eastAsia"/>
                <w:color w:val="FF0000"/>
              </w:rPr>
              <w:t>内置电脑：侧位插拔式OPS微型PC设计，配置≥1颗，单颗CPU核数≥10核，主频≥2.0GHz、16GB内存、512G固态硬盘；采用开放式可插接INTEL规范接口（OPS接口），双面合计80针；持WIFI无线网络，带双天线，带RJ45接口100M/1000Mbs ；具备电源（POWER）开关/（RESET）重置按键。</w:t>
            </w:r>
          </w:p>
        </w:tc>
        <w:tc>
          <w:tcPr>
            <w:tcW w:w="813" w:type="dxa"/>
            <w:shd w:val="clear" w:color="auto" w:fill="auto"/>
            <w:vAlign w:val="center"/>
          </w:tcPr>
          <w:p w14:paraId="260AB3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p>
        </w:tc>
        <w:tc>
          <w:tcPr>
            <w:tcW w:w="700" w:type="dxa"/>
            <w:vAlign w:val="center"/>
          </w:tcPr>
          <w:p w14:paraId="346CAE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台</w:t>
            </w:r>
          </w:p>
        </w:tc>
        <w:tc>
          <w:tcPr>
            <w:tcW w:w="1128" w:type="dxa"/>
            <w:vAlign w:val="center"/>
          </w:tcPr>
          <w:p w14:paraId="7607E4B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12140</w:t>
            </w:r>
          </w:p>
        </w:tc>
        <w:tc>
          <w:tcPr>
            <w:tcW w:w="1406" w:type="dxa"/>
            <w:vAlign w:val="center"/>
          </w:tcPr>
          <w:p w14:paraId="4245C9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12140</w:t>
            </w:r>
          </w:p>
        </w:tc>
      </w:tr>
      <w:tr w14:paraId="55F0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43BC039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32</w:t>
            </w:r>
          </w:p>
        </w:tc>
        <w:tc>
          <w:tcPr>
            <w:tcW w:w="888" w:type="dxa"/>
            <w:vAlign w:val="center"/>
          </w:tcPr>
          <w:p w14:paraId="02AC2D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网线</w:t>
            </w:r>
          </w:p>
        </w:tc>
        <w:tc>
          <w:tcPr>
            <w:tcW w:w="9271" w:type="dxa"/>
            <w:vAlign w:val="center"/>
          </w:tcPr>
          <w:p w14:paraId="0315195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（1）六类0.53：DS-ZC6US-B/PVC，6类室内网线,Cat6非屏蔽双绞线,24AWG,工作温度为-20-60℃。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（2）标准：符合GB 50311、 GB 50312、GB/T 18015.5-2007要求。</w:t>
            </w:r>
          </w:p>
        </w:tc>
        <w:tc>
          <w:tcPr>
            <w:tcW w:w="813" w:type="dxa"/>
            <w:shd w:val="clear" w:color="auto" w:fill="auto"/>
            <w:vAlign w:val="center"/>
          </w:tcPr>
          <w:p w14:paraId="0C5D23D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30 </w:t>
            </w:r>
          </w:p>
        </w:tc>
        <w:tc>
          <w:tcPr>
            <w:tcW w:w="700" w:type="dxa"/>
            <w:vAlign w:val="center"/>
          </w:tcPr>
          <w:p w14:paraId="012DD2B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箱</w:t>
            </w:r>
          </w:p>
        </w:tc>
        <w:tc>
          <w:tcPr>
            <w:tcW w:w="1128" w:type="dxa"/>
            <w:vAlign w:val="center"/>
          </w:tcPr>
          <w:p w14:paraId="1D8A84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646</w:t>
            </w:r>
          </w:p>
        </w:tc>
        <w:tc>
          <w:tcPr>
            <w:tcW w:w="1406" w:type="dxa"/>
            <w:vAlign w:val="center"/>
          </w:tcPr>
          <w:p w14:paraId="014A56F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19380</w:t>
            </w:r>
          </w:p>
        </w:tc>
      </w:tr>
      <w:tr w14:paraId="3C92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384503D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33</w:t>
            </w:r>
          </w:p>
        </w:tc>
        <w:tc>
          <w:tcPr>
            <w:tcW w:w="888" w:type="dxa"/>
            <w:vAlign w:val="center"/>
          </w:tcPr>
          <w:p w14:paraId="52EA76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电源线</w:t>
            </w:r>
          </w:p>
        </w:tc>
        <w:tc>
          <w:tcPr>
            <w:tcW w:w="9271" w:type="dxa"/>
            <w:vAlign w:val="center"/>
          </w:tcPr>
          <w:p w14:paraId="2D730F5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（1）标称截面：≥2.5mm²；每卷100米，执行标准：JB/T8734.2-2016。</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（2）导体材质：99.99%无氧纯铜；绝缘材质：环保聚氯乙烯(PVC)；绝缘厚度：≥0.8mm；平均外径上/下限：3.9mm/3.6mm。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（3）额定电压：450/750V。</w:t>
            </w:r>
          </w:p>
        </w:tc>
        <w:tc>
          <w:tcPr>
            <w:tcW w:w="813" w:type="dxa"/>
            <w:shd w:val="clear" w:color="auto" w:fill="auto"/>
            <w:vAlign w:val="center"/>
          </w:tcPr>
          <w:p w14:paraId="514B8E2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20 </w:t>
            </w:r>
          </w:p>
        </w:tc>
        <w:tc>
          <w:tcPr>
            <w:tcW w:w="700" w:type="dxa"/>
            <w:vAlign w:val="center"/>
          </w:tcPr>
          <w:p w14:paraId="524D22F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卷</w:t>
            </w:r>
          </w:p>
        </w:tc>
        <w:tc>
          <w:tcPr>
            <w:tcW w:w="1128" w:type="dxa"/>
            <w:vAlign w:val="center"/>
          </w:tcPr>
          <w:p w14:paraId="16DD651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280</w:t>
            </w:r>
          </w:p>
        </w:tc>
        <w:tc>
          <w:tcPr>
            <w:tcW w:w="1406" w:type="dxa"/>
            <w:vAlign w:val="center"/>
          </w:tcPr>
          <w:p w14:paraId="5EC9605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5600</w:t>
            </w:r>
          </w:p>
        </w:tc>
      </w:tr>
      <w:tr w14:paraId="1F74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3A591F2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34</w:t>
            </w:r>
          </w:p>
        </w:tc>
        <w:tc>
          <w:tcPr>
            <w:tcW w:w="888" w:type="dxa"/>
            <w:vAlign w:val="center"/>
          </w:tcPr>
          <w:p w14:paraId="2C2E8DB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电源线</w:t>
            </w:r>
          </w:p>
        </w:tc>
        <w:tc>
          <w:tcPr>
            <w:tcW w:w="9271" w:type="dxa"/>
            <w:vAlign w:val="center"/>
          </w:tcPr>
          <w:p w14:paraId="769E845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（1）标称截面：≥4mm²；每卷100米，执行标准：JB/T8734.2-2016。</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（2）导体材质：99.99%无氧纯铜；绝缘材质：环保聚氯乙烯(PVC)；绝缘厚度：≥0.8mm；额定功率：5800W(220V)/13000W(380V)；平均外径上/下限：4.5mm/4.1mm。</w:t>
            </w:r>
          </w:p>
          <w:p w14:paraId="487D6F9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（3）额定电压：450/750V。</w:t>
            </w:r>
          </w:p>
        </w:tc>
        <w:tc>
          <w:tcPr>
            <w:tcW w:w="813" w:type="dxa"/>
            <w:shd w:val="clear" w:color="auto" w:fill="auto"/>
            <w:vAlign w:val="center"/>
          </w:tcPr>
          <w:p w14:paraId="14DD869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10 </w:t>
            </w:r>
          </w:p>
        </w:tc>
        <w:tc>
          <w:tcPr>
            <w:tcW w:w="700" w:type="dxa"/>
            <w:vAlign w:val="center"/>
          </w:tcPr>
          <w:p w14:paraId="2C972E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卷</w:t>
            </w:r>
          </w:p>
        </w:tc>
        <w:tc>
          <w:tcPr>
            <w:tcW w:w="1128" w:type="dxa"/>
            <w:vAlign w:val="center"/>
          </w:tcPr>
          <w:p w14:paraId="179B69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400</w:t>
            </w:r>
          </w:p>
        </w:tc>
        <w:tc>
          <w:tcPr>
            <w:tcW w:w="1406" w:type="dxa"/>
            <w:vAlign w:val="center"/>
          </w:tcPr>
          <w:p w14:paraId="3DBBC8A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4000</w:t>
            </w:r>
          </w:p>
        </w:tc>
      </w:tr>
      <w:tr w14:paraId="66DB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969F21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35</w:t>
            </w:r>
          </w:p>
        </w:tc>
        <w:tc>
          <w:tcPr>
            <w:tcW w:w="888" w:type="dxa"/>
            <w:vAlign w:val="center"/>
          </w:tcPr>
          <w:p w14:paraId="355C2B8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插排</w:t>
            </w:r>
          </w:p>
        </w:tc>
        <w:tc>
          <w:tcPr>
            <w:tcW w:w="9271" w:type="dxa"/>
            <w:vAlign w:val="center"/>
          </w:tcPr>
          <w:p w14:paraId="703B9E5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（1）开关类型：总控开关；控制方式：一控六相当及以上；插座数量：6插位相当及以上；线长：≥1.8米。</w:t>
            </w:r>
          </w:p>
          <w:p w14:paraId="4CBE2C4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（2）额定电压：250V；额定电流：10A；额定功率：2500W。</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（3）阻燃标准：内芯750℃高温不燃烧；国家标准：CCC认证。</w:t>
            </w:r>
          </w:p>
        </w:tc>
        <w:tc>
          <w:tcPr>
            <w:tcW w:w="813" w:type="dxa"/>
            <w:shd w:val="clear" w:color="auto" w:fill="auto"/>
            <w:vAlign w:val="center"/>
          </w:tcPr>
          <w:p w14:paraId="0838A1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60 </w:t>
            </w:r>
          </w:p>
        </w:tc>
        <w:tc>
          <w:tcPr>
            <w:tcW w:w="700" w:type="dxa"/>
            <w:vAlign w:val="center"/>
          </w:tcPr>
          <w:p w14:paraId="7A75948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个</w:t>
            </w:r>
          </w:p>
        </w:tc>
        <w:tc>
          <w:tcPr>
            <w:tcW w:w="1128" w:type="dxa"/>
            <w:vAlign w:val="center"/>
          </w:tcPr>
          <w:p w14:paraId="58C534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68</w:t>
            </w:r>
          </w:p>
        </w:tc>
        <w:tc>
          <w:tcPr>
            <w:tcW w:w="1406" w:type="dxa"/>
            <w:vAlign w:val="center"/>
          </w:tcPr>
          <w:p w14:paraId="280814E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4080</w:t>
            </w:r>
          </w:p>
        </w:tc>
      </w:tr>
      <w:tr w14:paraId="42FD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908" w:type="dxa"/>
            <w:gridSpan w:val="7"/>
            <w:vAlign w:val="center"/>
          </w:tcPr>
          <w:p w14:paraId="4C9FF17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最高限价：285000.00元</w:t>
            </w:r>
          </w:p>
        </w:tc>
      </w:tr>
    </w:tbl>
    <w:p w14:paraId="46C5E497">
      <w:pPr>
        <w:keepNext/>
        <w:tabs>
          <w:tab w:val="left" w:pos="420"/>
        </w:tabs>
        <w:spacing w:line="440" w:lineRule="exact"/>
        <w:jc w:val="left"/>
        <w:outlineLvl w:val="2"/>
        <w:rPr>
          <w:rFonts w:ascii="宋体"/>
          <w:b/>
          <w:color w:val="auto"/>
          <w:sz w:val="24"/>
          <w:highlight w:val="none"/>
        </w:rPr>
        <w:sectPr>
          <w:pgSz w:w="16838" w:h="11906" w:orient="landscape"/>
          <w:pgMar w:top="1417" w:right="1134" w:bottom="1417" w:left="1134" w:header="850" w:footer="992" w:gutter="0"/>
          <w:cols w:space="0" w:num="1"/>
          <w:docGrid w:type="lines" w:linePitch="324" w:charSpace="0"/>
        </w:sectPr>
      </w:pPr>
    </w:p>
    <w:bookmarkEnd w:id="138"/>
    <w:p w14:paraId="40471D45">
      <w:pPr>
        <w:pageBreakBefore/>
        <w:spacing w:before="162" w:beforeLines="50" w:after="162" w:afterLines="50" w:line="440" w:lineRule="exact"/>
        <w:jc w:val="center"/>
        <w:outlineLvl w:val="1"/>
        <w:rPr>
          <w:b/>
          <w:color w:val="auto"/>
          <w:sz w:val="30"/>
          <w:szCs w:val="30"/>
          <w:highlight w:val="none"/>
        </w:rPr>
      </w:pPr>
      <w:bookmarkStart w:id="139" w:name="_Toc30219"/>
      <w:r>
        <w:rPr>
          <w:rFonts w:hint="eastAsia" w:ascii="宋体" w:hAnsi="宋体" w:cs="宋体"/>
          <w:b/>
          <w:bCs/>
          <w:color w:val="auto"/>
          <w:sz w:val="32"/>
          <w:szCs w:val="32"/>
          <w:highlight w:val="none"/>
        </w:rPr>
        <w:t>第四章  合同条款及格式</w:t>
      </w:r>
      <w:bookmarkEnd w:id="139"/>
      <w:bookmarkStart w:id="140" w:name="_Toc58430330"/>
    </w:p>
    <w:bookmarkEnd w:id="140"/>
    <w:p w14:paraId="033AB8DC">
      <w:pPr>
        <w:widowControl/>
        <w:spacing w:line="440" w:lineRule="exact"/>
        <w:jc w:val="center"/>
        <w:textAlignment w:val="baseline"/>
        <w:outlineLvl w:val="2"/>
        <w:rPr>
          <w:rFonts w:ascii="黑体" w:eastAsia="黑体"/>
          <w:b/>
          <w:color w:val="auto"/>
          <w:szCs w:val="21"/>
          <w:highlight w:val="none"/>
        </w:rPr>
      </w:pPr>
      <w:bookmarkStart w:id="141" w:name="_Toc15626"/>
      <w:bookmarkStart w:id="142" w:name="_Toc23143"/>
      <w:r>
        <w:rPr>
          <w:rFonts w:hint="eastAsia" w:ascii="宋体"/>
          <w:b/>
          <w:color w:val="auto"/>
          <w:szCs w:val="21"/>
          <w:highlight w:val="none"/>
        </w:rPr>
        <w:t>一、合同协议书（格式）</w:t>
      </w:r>
      <w:bookmarkEnd w:id="141"/>
      <w:bookmarkEnd w:id="142"/>
    </w:p>
    <w:p w14:paraId="7ED28CC3">
      <w:pPr>
        <w:spacing w:line="440" w:lineRule="exact"/>
        <w:ind w:firstLine="420" w:firstLineChars="200"/>
        <w:rPr>
          <w:rFonts w:ascii="宋体"/>
          <w:bCs/>
          <w:color w:val="auto"/>
          <w:szCs w:val="21"/>
          <w:highlight w:val="none"/>
        </w:rPr>
      </w:pPr>
      <w:r>
        <w:rPr>
          <w:rFonts w:hint="eastAsia" w:ascii="宋体"/>
          <w:bCs/>
          <w:color w:val="auto"/>
          <w:szCs w:val="21"/>
          <w:highlight w:val="none"/>
        </w:rPr>
        <w:t>合同名称             编号</w:t>
      </w:r>
    </w:p>
    <w:p w14:paraId="6E6F01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14:paraId="339BD1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7BB91E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07CCA4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50CBC5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1.本合同文件</w:t>
      </w:r>
    </w:p>
    <w:p w14:paraId="3473270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40ABF1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（1）采购文件（2）投标文件（3）中标通知书（4）经双方确认进入合同的其他文件、补充条款或说明</w:t>
      </w:r>
    </w:p>
    <w:p w14:paraId="1F685EA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2.采购标的、数量、质量要求</w:t>
      </w:r>
    </w:p>
    <w:p w14:paraId="020304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3.合同总价：合同总价为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8CEB84C">
      <w:pPr>
        <w:spacing w:line="440" w:lineRule="exact"/>
        <w:ind w:firstLine="422" w:firstLineChars="200"/>
        <w:jc w:val="left"/>
        <w:rPr>
          <w:b/>
          <w:bCs/>
          <w:color w:val="auto"/>
          <w:highlight w:val="none"/>
        </w:rPr>
      </w:pPr>
      <w:r>
        <w:rPr>
          <w:rFonts w:hint="eastAsia" w:ascii="宋体" w:hAnsi="宋体" w:cs="宋体"/>
          <w:b/>
          <w:bCs/>
          <w:color w:val="auto"/>
          <w:szCs w:val="21"/>
          <w:highlight w:val="none"/>
        </w:rPr>
        <w:t>4.付款方式：供货（服务）完成，经验收合格后付全款</w:t>
      </w:r>
      <w:r>
        <w:rPr>
          <w:rFonts w:hint="eastAsia"/>
          <w:b/>
          <w:bCs/>
          <w:color w:val="auto"/>
          <w:highlight w:val="none"/>
        </w:rPr>
        <w:t>。</w:t>
      </w:r>
    </w:p>
    <w:p w14:paraId="3D81138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5.合同供货（服务）期限：合同生效后，待采购人通知供货起30个日历天完成供货，待搬迁结束后进行安装调试，具体以学院安排时间为准。</w:t>
      </w:r>
    </w:p>
    <w:p w14:paraId="1BD608D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6.售后服务响应要求：</w:t>
      </w:r>
    </w:p>
    <w:p w14:paraId="7D1D024E">
      <w:pPr>
        <w:spacing w:line="44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项目验收合格后提供三年免费售后服务（最终根据承诺的质保期为准）。</w:t>
      </w:r>
    </w:p>
    <w:p w14:paraId="5CEE5602">
      <w:pPr>
        <w:numPr>
          <w:ilvl w:val="0"/>
          <w:numId w:val="1"/>
        </w:num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合同的生效</w:t>
      </w:r>
    </w:p>
    <w:p w14:paraId="3E666551">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合同经双方授权代表签署，买卖双方加盖印章之后生效。</w:t>
      </w:r>
    </w:p>
    <w:p w14:paraId="79499F0D">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本合同一式     份，双方各执     份。</w:t>
      </w:r>
    </w:p>
    <w:p w14:paraId="1867B2A2">
      <w:pPr>
        <w:pStyle w:val="9"/>
        <w:spacing w:line="440" w:lineRule="exact"/>
        <w:ind w:firstLine="420" w:firstLineChars="200"/>
        <w:rPr>
          <w:rFonts w:ascii="宋体" w:hAnsi="宋体" w:cs="宋体"/>
          <w:color w:val="auto"/>
          <w:kern w:val="0"/>
          <w:sz w:val="21"/>
          <w:szCs w:val="21"/>
          <w:highlight w:val="none"/>
          <w:u w:color="000000"/>
        </w:rPr>
      </w:pPr>
      <w:bookmarkStart w:id="143" w:name="_Toc152045610"/>
      <w:bookmarkStart w:id="144" w:name="_Toc247085768"/>
      <w:bookmarkStart w:id="145" w:name="_Toc179632628"/>
      <w:bookmarkStart w:id="146" w:name="_Toc449028947"/>
      <w:bookmarkStart w:id="147" w:name="_Toc144974578"/>
      <w:bookmarkStart w:id="148" w:name="_Toc246996253"/>
      <w:bookmarkStart w:id="149" w:name="_Toc246996996"/>
      <w:bookmarkStart w:id="150" w:name="_Toc296602498"/>
      <w:bookmarkStart w:id="151" w:name="_Toc152042388"/>
      <w:r>
        <w:rPr>
          <w:rFonts w:hint="eastAsia" w:ascii="宋体" w:hAnsi="宋体" w:cs="宋体"/>
          <w:color w:val="auto"/>
          <w:kern w:val="0"/>
          <w:sz w:val="21"/>
          <w:szCs w:val="21"/>
          <w:highlight w:val="none"/>
          <w:u w:color="000000"/>
        </w:rPr>
        <w:t>买  方：                               卖  方：</w:t>
      </w:r>
    </w:p>
    <w:p w14:paraId="5D3C9C89">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名  称：（盖章）                       名  称：（盖章）</w:t>
      </w:r>
    </w:p>
    <w:p w14:paraId="794E09A2">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法定代表人（或委托代理人）：（签字）  法定代表人（或委托代理人）：（签字）</w:t>
      </w:r>
    </w:p>
    <w:p w14:paraId="41D49233">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地    址：                            地    址：</w:t>
      </w:r>
    </w:p>
    <w:p w14:paraId="12F97C3B">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邮政编码：                            邮政编码：</w:t>
      </w:r>
    </w:p>
    <w:p w14:paraId="081FA4C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电    话：                            电    话：</w:t>
      </w:r>
    </w:p>
    <w:p w14:paraId="41010264">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开户银行：                            开户银行：</w:t>
      </w:r>
    </w:p>
    <w:p w14:paraId="5EC5949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帐    号：                            帐    号：</w:t>
      </w:r>
    </w:p>
    <w:p w14:paraId="5CE22BA9">
      <w:pPr>
        <w:widowControl/>
        <w:spacing w:line="400" w:lineRule="exact"/>
        <w:jc w:val="center"/>
        <w:textAlignment w:val="baseline"/>
        <w:outlineLvl w:val="2"/>
        <w:rPr>
          <w:rFonts w:ascii="黑体" w:eastAsia="黑体"/>
          <w:b/>
          <w:color w:val="auto"/>
          <w:sz w:val="30"/>
          <w:szCs w:val="30"/>
          <w:highlight w:val="none"/>
        </w:rPr>
      </w:pPr>
      <w:r>
        <w:rPr>
          <w:rFonts w:ascii="黑体" w:eastAsia="黑体"/>
          <w:b/>
          <w:color w:val="auto"/>
          <w:sz w:val="30"/>
          <w:szCs w:val="30"/>
          <w:highlight w:val="none"/>
        </w:rPr>
        <w:br w:type="page"/>
      </w:r>
      <w:bookmarkStart w:id="152" w:name="_Toc5798"/>
      <w:bookmarkStart w:id="153" w:name="_Toc6951"/>
      <w:bookmarkStart w:id="154" w:name="_Toc58430331"/>
      <w:r>
        <w:rPr>
          <w:rFonts w:hint="eastAsia" w:ascii="宋体"/>
          <w:b/>
          <w:color w:val="auto"/>
          <w:sz w:val="30"/>
          <w:szCs w:val="30"/>
          <w:highlight w:val="none"/>
        </w:rPr>
        <w:t>二、合同条款</w:t>
      </w:r>
      <w:bookmarkEnd w:id="143"/>
      <w:bookmarkEnd w:id="144"/>
      <w:bookmarkEnd w:id="145"/>
      <w:bookmarkEnd w:id="146"/>
      <w:bookmarkEnd w:id="147"/>
      <w:bookmarkEnd w:id="148"/>
      <w:bookmarkEnd w:id="149"/>
      <w:bookmarkEnd w:id="150"/>
      <w:bookmarkEnd w:id="151"/>
      <w:bookmarkEnd w:id="152"/>
      <w:bookmarkEnd w:id="153"/>
      <w:bookmarkEnd w:id="154"/>
    </w:p>
    <w:p w14:paraId="6BB1E52F">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  合同文件</w:t>
      </w:r>
    </w:p>
    <w:p w14:paraId="22B2206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1.合同文件适用法律</w:t>
      </w:r>
    </w:p>
    <w:p w14:paraId="2691F1A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适用于合同文件的法律是中华人民共和国现行法律法规及采购人所在地的地方性法规。</w:t>
      </w:r>
    </w:p>
    <w:p w14:paraId="47F04C2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68A6BF72">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600B709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&lt;1〉合同的主要条款；</w:t>
      </w:r>
    </w:p>
    <w:p w14:paraId="31EB84E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&lt;2〉合同的一般性条款；</w:t>
      </w:r>
    </w:p>
    <w:p w14:paraId="3356A4A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&lt;3〉洽商、变更等明确双方权利义务的纪要、协议；</w:t>
      </w:r>
    </w:p>
    <w:p w14:paraId="1DF680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&lt;4〉中标通知书、投标文件和采购文件；</w:t>
      </w:r>
    </w:p>
    <w:p w14:paraId="14BF553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&lt;5〉有关图纸、标准、规范和其他有关技术资料、技术要求。</w:t>
      </w:r>
    </w:p>
    <w:p w14:paraId="0B34B0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&lt;6〉合同的主要条款的效力优于合同的一般性条款的效力。</w:t>
      </w:r>
    </w:p>
    <w:p w14:paraId="7F5BDF2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3.合同文件使用文字</w:t>
      </w:r>
    </w:p>
    <w:p w14:paraId="028C8D99">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6520E37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39C472D4">
      <w:pPr>
        <w:spacing w:line="440" w:lineRule="exact"/>
        <w:ind w:firstLine="422" w:firstLineChars="200"/>
        <w:jc w:val="left"/>
        <w:outlineLvl w:val="2"/>
        <w:rPr>
          <w:rFonts w:ascii="宋体" w:hAnsi="宋体" w:cs="宋体"/>
          <w:b/>
          <w:color w:val="auto"/>
          <w:szCs w:val="21"/>
          <w:highlight w:val="none"/>
        </w:rPr>
      </w:pPr>
      <w:bookmarkStart w:id="155" w:name="_Toc24159"/>
      <w:r>
        <w:rPr>
          <w:rFonts w:hint="eastAsia" w:ascii="宋体" w:hAnsi="宋体" w:cs="宋体"/>
          <w:b/>
          <w:color w:val="auto"/>
          <w:szCs w:val="21"/>
          <w:highlight w:val="none"/>
        </w:rPr>
        <w:t>二.  标的物的一般条款</w:t>
      </w:r>
      <w:bookmarkEnd w:id="155"/>
    </w:p>
    <w:p w14:paraId="40760AE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4.完整物权</w:t>
      </w:r>
    </w:p>
    <w:p w14:paraId="0B8C27BE">
      <w:pPr>
        <w:tabs>
          <w:tab w:val="left" w:pos="66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1ADD5AE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5.质量保证</w:t>
      </w:r>
    </w:p>
    <w:p w14:paraId="38F3F55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85D7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BC60A39">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778319C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6.包装</w:t>
      </w:r>
    </w:p>
    <w:p w14:paraId="7B81D05E">
      <w:pPr>
        <w:pStyle w:val="6"/>
        <w:tabs>
          <w:tab w:val="left" w:pos="900"/>
        </w:tabs>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23B2F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7.伴随服务</w:t>
      </w:r>
    </w:p>
    <w:p w14:paraId="7A9486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2F00F9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&lt;1〉标的物的现场安装或指导安装、启动、调试、监督（如果必须安装、调试的话）；</w:t>
      </w:r>
    </w:p>
    <w:p w14:paraId="535ED77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&lt;2〉提供标的物组装和一般维修所必需的工具；</w:t>
      </w:r>
    </w:p>
    <w:p w14:paraId="787CBA1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&lt;3〉在合同规定的期限内对所提供标的物实行运行监督、维修服务的前提条件是该服务并不能免除卖方在质量保证期内所承担的义务；</w:t>
      </w:r>
    </w:p>
    <w:p w14:paraId="63FCA1C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&lt;4〉对买方技术人员的技术指导或培训。</w:t>
      </w:r>
    </w:p>
    <w:p w14:paraId="6DD6645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（2）除合同另有规定之外，伴随服务的费用均包含在合同价款中，买方不再另行进行支付。</w:t>
      </w:r>
    </w:p>
    <w:p w14:paraId="54D562A2">
      <w:pPr>
        <w:spacing w:line="440" w:lineRule="exact"/>
        <w:ind w:firstLine="422" w:firstLineChars="200"/>
        <w:jc w:val="left"/>
        <w:outlineLvl w:val="2"/>
        <w:rPr>
          <w:rFonts w:ascii="宋体" w:hAnsi="宋体" w:cs="宋体"/>
          <w:b/>
          <w:color w:val="auto"/>
          <w:szCs w:val="21"/>
          <w:highlight w:val="none"/>
        </w:rPr>
      </w:pPr>
      <w:bookmarkStart w:id="156" w:name="_Toc10370"/>
      <w:r>
        <w:rPr>
          <w:rFonts w:hint="eastAsia" w:ascii="宋体" w:hAnsi="宋体" w:cs="宋体"/>
          <w:b/>
          <w:color w:val="auto"/>
          <w:szCs w:val="21"/>
          <w:highlight w:val="none"/>
        </w:rPr>
        <w:t>三.  标的物的交付、检验和验收</w:t>
      </w:r>
      <w:bookmarkEnd w:id="156"/>
    </w:p>
    <w:p w14:paraId="1935BDB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8.标的物的交付</w:t>
      </w:r>
    </w:p>
    <w:p w14:paraId="3DBAE4CD">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45E85A7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（2）卖方应当按照约定的期限和约定的地点交付符合采购文件要求的标的物。</w:t>
      </w:r>
    </w:p>
    <w:p w14:paraId="7DE3B12A">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（3）卖方应当按照约定或者交易习惯向采购人交付提取标的物单证以外的有关单证和资料。</w:t>
      </w:r>
    </w:p>
    <w:p w14:paraId="231096F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9.检验和验收</w:t>
      </w:r>
    </w:p>
    <w:p w14:paraId="4E7C3B3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EF7F9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5A2E8BBD">
      <w:pPr>
        <w:pStyle w:val="6"/>
        <w:overflowPunct w:val="0"/>
        <w:spacing w:line="440" w:lineRule="exact"/>
        <w:ind w:firstLine="420" w:firstLineChars="20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w:t>
      </w:r>
      <w:r>
        <w:rPr>
          <w:rFonts w:hint="eastAsia" w:ascii="宋体" w:hAnsi="宋体" w:cs="宋体"/>
          <w:color w:val="auto"/>
          <w:sz w:val="21"/>
          <w:szCs w:val="21"/>
          <w:highlight w:val="none"/>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highlight w:val="none"/>
          <w:u w:color="000000"/>
        </w:rPr>
        <w:t>。</w:t>
      </w:r>
    </w:p>
    <w:p w14:paraId="46B3BDDB">
      <w:pPr>
        <w:spacing w:line="440" w:lineRule="exact"/>
        <w:ind w:firstLine="422" w:firstLineChars="200"/>
        <w:jc w:val="left"/>
        <w:outlineLvl w:val="2"/>
        <w:rPr>
          <w:rFonts w:ascii="宋体" w:hAnsi="宋体" w:cs="宋体"/>
          <w:b/>
          <w:color w:val="auto"/>
          <w:szCs w:val="21"/>
          <w:highlight w:val="none"/>
        </w:rPr>
      </w:pPr>
      <w:bookmarkStart w:id="157" w:name="_Toc25119"/>
      <w:r>
        <w:rPr>
          <w:rFonts w:hint="eastAsia" w:ascii="宋体" w:hAnsi="宋体" w:cs="宋体"/>
          <w:b/>
          <w:color w:val="auto"/>
          <w:szCs w:val="21"/>
          <w:highlight w:val="none"/>
        </w:rPr>
        <w:t>四. 对标的物提出异议的时间和办法</w:t>
      </w:r>
      <w:bookmarkEnd w:id="157"/>
    </w:p>
    <w:p w14:paraId="78875F7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7C670B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183456E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2AF7AF6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7B11763B">
      <w:pPr>
        <w:spacing w:line="440" w:lineRule="exact"/>
        <w:ind w:firstLine="422" w:firstLineChars="200"/>
        <w:jc w:val="left"/>
        <w:outlineLvl w:val="2"/>
        <w:rPr>
          <w:rFonts w:ascii="宋体" w:hAnsi="宋体" w:cs="宋体"/>
          <w:b/>
          <w:color w:val="auto"/>
          <w:szCs w:val="21"/>
          <w:highlight w:val="none"/>
        </w:rPr>
      </w:pPr>
      <w:bookmarkStart w:id="158" w:name="_Toc14696"/>
      <w:r>
        <w:rPr>
          <w:rFonts w:hint="eastAsia" w:ascii="宋体" w:hAnsi="宋体" w:cs="宋体"/>
          <w:b/>
          <w:color w:val="auto"/>
          <w:szCs w:val="21"/>
          <w:highlight w:val="none"/>
        </w:rPr>
        <w:t>五. 合同价款和支付</w:t>
      </w:r>
      <w:bookmarkEnd w:id="158"/>
    </w:p>
    <w:p w14:paraId="67F1B7E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11.合同价款和支付</w:t>
      </w:r>
    </w:p>
    <w:p w14:paraId="3F283C15">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0595C97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5E5DEFC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&lt;1〉合格的销售发票；</w:t>
      </w:r>
    </w:p>
    <w:p w14:paraId="54C3BB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&lt;2〉买方盖章签收后的送货回单和验收合格证明。</w:t>
      </w:r>
    </w:p>
    <w:p w14:paraId="73EB7F77">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2C85FCB5">
      <w:pPr>
        <w:pStyle w:val="6"/>
        <w:tabs>
          <w:tab w:val="left" w:pos="54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2B3C64A0">
      <w:pPr>
        <w:spacing w:line="440" w:lineRule="exact"/>
        <w:ind w:firstLine="422" w:firstLineChars="200"/>
        <w:jc w:val="left"/>
        <w:outlineLvl w:val="2"/>
        <w:rPr>
          <w:rFonts w:ascii="宋体" w:hAnsi="宋体" w:cs="宋体"/>
          <w:b/>
          <w:color w:val="auto"/>
          <w:szCs w:val="21"/>
          <w:highlight w:val="none"/>
        </w:rPr>
      </w:pPr>
      <w:bookmarkStart w:id="159" w:name="_Toc668"/>
      <w:r>
        <w:rPr>
          <w:rFonts w:hint="eastAsia" w:ascii="宋体" w:hAnsi="宋体" w:cs="宋体"/>
          <w:b/>
          <w:color w:val="auto"/>
          <w:szCs w:val="21"/>
          <w:highlight w:val="none"/>
        </w:rPr>
        <w:t>六. 违约责任</w:t>
      </w:r>
      <w:bookmarkEnd w:id="159"/>
    </w:p>
    <w:p w14:paraId="46ED22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12.违约责任</w:t>
      </w:r>
    </w:p>
    <w:p w14:paraId="125CA954">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07D8BE5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13.买方违约责任</w:t>
      </w:r>
    </w:p>
    <w:p w14:paraId="210B5D70">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4C0C43E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0D95502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（3）买方违反合同规定，拒绝接收卖方交付的符合采购文件要求的合格标的物，应当承担卖方由此造成的损失。</w:t>
      </w:r>
    </w:p>
    <w:p w14:paraId="342FD4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14.卖方违约责任</w:t>
      </w:r>
    </w:p>
    <w:p w14:paraId="2A0011F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5FBE5E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254463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15.不可抗力</w:t>
      </w:r>
    </w:p>
    <w:p w14:paraId="4BA926B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333F542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1F8C7147">
      <w:pPr>
        <w:spacing w:line="440" w:lineRule="exact"/>
        <w:ind w:firstLine="422" w:firstLineChars="200"/>
        <w:jc w:val="left"/>
        <w:outlineLvl w:val="2"/>
        <w:rPr>
          <w:rFonts w:ascii="宋体" w:hAnsi="宋体" w:cs="宋体"/>
          <w:b/>
          <w:color w:val="auto"/>
          <w:szCs w:val="21"/>
          <w:highlight w:val="none"/>
        </w:rPr>
      </w:pPr>
      <w:bookmarkStart w:id="160" w:name="_Toc26498"/>
      <w:r>
        <w:rPr>
          <w:rFonts w:hint="eastAsia" w:ascii="宋体" w:hAnsi="宋体" w:cs="宋体"/>
          <w:b/>
          <w:color w:val="auto"/>
          <w:szCs w:val="21"/>
          <w:highlight w:val="none"/>
        </w:rPr>
        <w:t>七. 索赔</w:t>
      </w:r>
      <w:bookmarkEnd w:id="160"/>
    </w:p>
    <w:p w14:paraId="69E2761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16.索赔</w:t>
      </w:r>
    </w:p>
    <w:p w14:paraId="2FD99DF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（1）买方有权根据当地产品质量检验机构或其他权威部门出具的检验证书向卖方提出索赔。</w:t>
      </w:r>
    </w:p>
    <w:p w14:paraId="4A8DAA0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37C0A93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52827D9">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&lt;2〉根据标的物的低劣程度、损坏程度以及甲方遭受损失的数额，经双方协商确定降低标的物的价格；</w:t>
      </w:r>
    </w:p>
    <w:p w14:paraId="208DA89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8A87B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E8675C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（4）买方提出索赔的书面材料应报当地采购管理部门备案。卖方同意的索赔方案应报当地采购管理部门审核。</w:t>
      </w:r>
    </w:p>
    <w:p w14:paraId="6760AFDA">
      <w:pPr>
        <w:spacing w:line="440" w:lineRule="exact"/>
        <w:ind w:firstLine="422" w:firstLineChars="200"/>
        <w:jc w:val="left"/>
        <w:outlineLvl w:val="2"/>
        <w:rPr>
          <w:rFonts w:ascii="宋体" w:hAnsi="宋体" w:cs="宋体"/>
          <w:b/>
          <w:color w:val="auto"/>
          <w:szCs w:val="21"/>
          <w:highlight w:val="none"/>
        </w:rPr>
      </w:pPr>
      <w:bookmarkStart w:id="161" w:name="_Toc5362"/>
      <w:r>
        <w:rPr>
          <w:rFonts w:hint="eastAsia" w:ascii="宋体" w:hAnsi="宋体" w:cs="宋体"/>
          <w:b/>
          <w:color w:val="auto"/>
          <w:szCs w:val="21"/>
          <w:highlight w:val="none"/>
        </w:rPr>
        <w:t>八. 履约保证金</w:t>
      </w:r>
      <w:bookmarkEnd w:id="161"/>
    </w:p>
    <w:p w14:paraId="03471B4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17.履约保证金</w:t>
      </w:r>
    </w:p>
    <w:p w14:paraId="59ED7D6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（1）卖方应在本合同签订时，按采购文件的约定提供相应的履约保证金，保证金的有效期应不低于合同有效期。</w:t>
      </w:r>
    </w:p>
    <w:p w14:paraId="06EFDA3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3A944B80">
      <w:pPr>
        <w:pStyle w:val="6"/>
        <w:overflowPunct w:val="0"/>
        <w:spacing w:line="440" w:lineRule="exact"/>
        <w:ind w:firstLine="422" w:firstLineChars="200"/>
        <w:jc w:val="left"/>
        <w:outlineLvl w:val="2"/>
        <w:rPr>
          <w:rFonts w:ascii="宋体" w:hAnsi="宋体" w:cs="宋体"/>
          <w:b/>
          <w:color w:val="auto"/>
          <w:sz w:val="21"/>
          <w:szCs w:val="21"/>
          <w:highlight w:val="none"/>
        </w:rPr>
      </w:pPr>
      <w:bookmarkStart w:id="162" w:name="_Toc7821"/>
      <w:r>
        <w:rPr>
          <w:rFonts w:hint="eastAsia" w:ascii="宋体" w:hAnsi="宋体" w:cs="宋体"/>
          <w:b/>
          <w:color w:val="auto"/>
          <w:sz w:val="21"/>
          <w:szCs w:val="21"/>
          <w:highlight w:val="none"/>
        </w:rPr>
        <w:t>九.  合同的解除和转让</w:t>
      </w:r>
      <w:bookmarkEnd w:id="162"/>
    </w:p>
    <w:p w14:paraId="6621323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18.合同的解除</w:t>
      </w:r>
    </w:p>
    <w:p w14:paraId="22900AC0">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0AF92605">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13343F1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&lt;1〉因不可抗力致使不能实现合同目的，未受不可抗力影响的一方有权解除合同；</w:t>
      </w:r>
    </w:p>
    <w:p w14:paraId="56664FAB">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&lt;2〉因合同一方违约导致合同不能履行，另一方有权解除合同。</w:t>
      </w:r>
    </w:p>
    <w:p w14:paraId="2E0B30E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7E61042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19.合同的转让</w:t>
      </w:r>
    </w:p>
    <w:p w14:paraId="6AEA643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合同的部分和全部都不得转让。</w:t>
      </w:r>
    </w:p>
    <w:p w14:paraId="3D13E74D">
      <w:pPr>
        <w:spacing w:line="440" w:lineRule="exact"/>
        <w:ind w:firstLine="422" w:firstLineChars="200"/>
        <w:jc w:val="left"/>
        <w:outlineLvl w:val="2"/>
        <w:rPr>
          <w:rFonts w:ascii="宋体" w:hAnsi="宋体" w:cs="宋体"/>
          <w:b/>
          <w:color w:val="auto"/>
          <w:szCs w:val="21"/>
          <w:highlight w:val="none"/>
        </w:rPr>
      </w:pPr>
      <w:bookmarkStart w:id="163" w:name="_Toc15690"/>
      <w:r>
        <w:rPr>
          <w:rFonts w:hint="eastAsia" w:ascii="宋体" w:hAnsi="宋体" w:cs="宋体"/>
          <w:b/>
          <w:color w:val="auto"/>
          <w:szCs w:val="21"/>
          <w:highlight w:val="none"/>
        </w:rPr>
        <w:t>十. 合同的生效</w:t>
      </w:r>
      <w:bookmarkEnd w:id="163"/>
    </w:p>
    <w:p w14:paraId="3F9D53E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20.合同的生效</w:t>
      </w:r>
    </w:p>
    <w:p w14:paraId="11A8CA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14:paraId="136B1EC1">
      <w:pPr>
        <w:spacing w:line="440" w:lineRule="exact"/>
        <w:ind w:firstLine="422" w:firstLineChars="200"/>
        <w:jc w:val="left"/>
        <w:outlineLvl w:val="2"/>
        <w:rPr>
          <w:rFonts w:ascii="宋体" w:hAnsi="宋体" w:cs="宋体"/>
          <w:b/>
          <w:color w:val="auto"/>
          <w:szCs w:val="21"/>
          <w:highlight w:val="none"/>
        </w:rPr>
      </w:pPr>
      <w:bookmarkStart w:id="164" w:name="_Toc4181"/>
      <w:r>
        <w:rPr>
          <w:rFonts w:hint="eastAsia" w:ascii="宋体" w:hAnsi="宋体" w:cs="宋体"/>
          <w:b/>
          <w:color w:val="auto"/>
          <w:szCs w:val="21"/>
          <w:highlight w:val="none"/>
        </w:rPr>
        <w:t>十一. 争议解决</w:t>
      </w:r>
      <w:bookmarkEnd w:id="164"/>
    </w:p>
    <w:p w14:paraId="0F87937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21.争议解决</w:t>
      </w:r>
    </w:p>
    <w:p w14:paraId="5F308B9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买卖双方因合同发生争议，进行调解，协商不成，可选择：</w:t>
      </w:r>
    </w:p>
    <w:p w14:paraId="6468713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w:t>
      </w:r>
      <w:r>
        <w:rPr>
          <w:rFonts w:hint="eastAsia" w:ascii="宋体" w:hAnsi="宋体" w:cs="宋体"/>
          <w:color w:val="auto"/>
          <w:sz w:val="21"/>
          <w:szCs w:val="21"/>
          <w:highlight w:val="none"/>
        </w:rPr>
        <w:t>将争议提交滁州仲裁委员会</w:t>
      </w:r>
      <w:r>
        <w:rPr>
          <w:rFonts w:hint="eastAsia" w:ascii="宋体" w:hAnsi="宋体" w:cs="宋体"/>
          <w:color w:val="auto"/>
          <w:sz w:val="21"/>
          <w:szCs w:val="21"/>
          <w:highlight w:val="none"/>
          <w:u w:color="000000"/>
        </w:rPr>
        <w:t>进行仲裁；</w:t>
      </w:r>
    </w:p>
    <w:p w14:paraId="15CBC510">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4553C33D">
      <w:pPr>
        <w:spacing w:line="440" w:lineRule="exact"/>
        <w:ind w:firstLine="422" w:firstLineChars="200"/>
        <w:jc w:val="left"/>
        <w:outlineLvl w:val="2"/>
        <w:rPr>
          <w:rFonts w:ascii="宋体" w:hAnsi="宋体" w:cs="宋体"/>
          <w:b/>
          <w:color w:val="auto"/>
          <w:szCs w:val="21"/>
          <w:highlight w:val="none"/>
        </w:rPr>
      </w:pPr>
      <w:bookmarkStart w:id="165" w:name="_Toc9120"/>
      <w:r>
        <w:rPr>
          <w:rFonts w:hint="eastAsia" w:ascii="宋体" w:hAnsi="宋体" w:cs="宋体"/>
          <w:b/>
          <w:color w:val="auto"/>
          <w:szCs w:val="21"/>
          <w:highlight w:val="none"/>
        </w:rPr>
        <w:t>十二 .附则</w:t>
      </w:r>
      <w:bookmarkEnd w:id="165"/>
    </w:p>
    <w:p w14:paraId="3975DF7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22.合同份数。</w:t>
      </w:r>
    </w:p>
    <w:p w14:paraId="7A0BA0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 。</w:t>
      </w:r>
    </w:p>
    <w:p w14:paraId="2B1BB29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23.未尽事宜</w:t>
      </w:r>
    </w:p>
    <w:p w14:paraId="609E411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本合同未尽事宜应按《中华人民共和国民法典》《中华人民共和国产品质量法》之规定解释。</w:t>
      </w:r>
    </w:p>
    <w:p w14:paraId="3232DB3B">
      <w:pPr>
        <w:pStyle w:val="2"/>
        <w:spacing w:before="162" w:beforeLines="50" w:after="162" w:afterLines="50" w:line="440" w:lineRule="exact"/>
        <w:rPr>
          <w:rFonts w:ascii="宋体" w:hAnsi="宋体" w:cs="宋体"/>
          <w:color w:val="auto"/>
          <w:sz w:val="32"/>
          <w:szCs w:val="32"/>
          <w:highlight w:val="none"/>
        </w:rPr>
      </w:pPr>
    </w:p>
    <w:p w14:paraId="641126CC">
      <w:pPr>
        <w:rPr>
          <w:rFonts w:ascii="宋体" w:hAnsi="宋体" w:cs="宋体"/>
          <w:b/>
          <w:color w:val="auto"/>
          <w:sz w:val="32"/>
          <w:szCs w:val="32"/>
          <w:highlight w:val="none"/>
        </w:rPr>
      </w:pPr>
    </w:p>
    <w:p w14:paraId="010A3B14">
      <w:pPr>
        <w:pStyle w:val="25"/>
        <w:ind w:firstLine="643"/>
        <w:rPr>
          <w:rFonts w:cs="宋体"/>
          <w:b/>
          <w:color w:val="auto"/>
          <w:sz w:val="32"/>
          <w:szCs w:val="32"/>
          <w:highlight w:val="none"/>
        </w:rPr>
      </w:pPr>
    </w:p>
    <w:p w14:paraId="00890F03">
      <w:pPr>
        <w:pStyle w:val="25"/>
        <w:ind w:firstLine="0" w:firstLineChars="0"/>
        <w:rPr>
          <w:color w:val="auto"/>
          <w:highlight w:val="none"/>
        </w:rPr>
      </w:pPr>
    </w:p>
    <w:p w14:paraId="2511A808">
      <w:pPr>
        <w:rPr>
          <w:color w:val="auto"/>
          <w:highlight w:val="none"/>
        </w:rPr>
      </w:pPr>
    </w:p>
    <w:p w14:paraId="3167F3E3">
      <w:pPr>
        <w:pStyle w:val="25"/>
        <w:ind w:firstLine="560"/>
        <w:rPr>
          <w:color w:val="auto"/>
          <w:highlight w:val="none"/>
        </w:rPr>
      </w:pPr>
    </w:p>
    <w:p w14:paraId="7C0426C3">
      <w:pPr>
        <w:rPr>
          <w:color w:val="auto"/>
          <w:highlight w:val="none"/>
        </w:rPr>
      </w:pPr>
    </w:p>
    <w:p w14:paraId="4650007C">
      <w:pPr>
        <w:pStyle w:val="25"/>
        <w:ind w:firstLine="560"/>
        <w:rPr>
          <w:color w:val="auto"/>
          <w:highlight w:val="none"/>
        </w:rPr>
      </w:pPr>
    </w:p>
    <w:p w14:paraId="062F7E06">
      <w:pPr>
        <w:rPr>
          <w:color w:val="auto"/>
          <w:highlight w:val="none"/>
        </w:rPr>
      </w:pPr>
    </w:p>
    <w:p w14:paraId="67027203">
      <w:pPr>
        <w:pStyle w:val="25"/>
        <w:ind w:firstLine="560"/>
        <w:rPr>
          <w:color w:val="auto"/>
          <w:highlight w:val="none"/>
        </w:rPr>
      </w:pPr>
    </w:p>
    <w:p w14:paraId="63DCC204">
      <w:pPr>
        <w:pStyle w:val="25"/>
        <w:ind w:firstLine="560"/>
        <w:rPr>
          <w:color w:val="auto"/>
          <w:highlight w:val="none"/>
        </w:rPr>
      </w:pPr>
    </w:p>
    <w:p w14:paraId="270C06FF">
      <w:pPr>
        <w:pStyle w:val="25"/>
        <w:ind w:firstLine="560"/>
        <w:rPr>
          <w:color w:val="auto"/>
          <w:highlight w:val="none"/>
        </w:rPr>
      </w:pPr>
    </w:p>
    <w:p w14:paraId="13751B90">
      <w:pPr>
        <w:pStyle w:val="25"/>
        <w:ind w:firstLine="560"/>
        <w:rPr>
          <w:color w:val="auto"/>
          <w:highlight w:val="none"/>
        </w:rPr>
      </w:pPr>
    </w:p>
    <w:p w14:paraId="0EAF1C43">
      <w:pPr>
        <w:pStyle w:val="25"/>
        <w:ind w:firstLine="560"/>
        <w:rPr>
          <w:color w:val="auto"/>
          <w:highlight w:val="none"/>
        </w:rPr>
      </w:pPr>
    </w:p>
    <w:p w14:paraId="6EDBEB9D">
      <w:pPr>
        <w:pStyle w:val="25"/>
        <w:ind w:firstLine="560"/>
        <w:rPr>
          <w:color w:val="auto"/>
          <w:highlight w:val="none"/>
        </w:rPr>
      </w:pPr>
    </w:p>
    <w:p w14:paraId="05EAC57F">
      <w:pPr>
        <w:pageBreakBefore/>
        <w:snapToGrid w:val="0"/>
        <w:spacing w:line="440" w:lineRule="exact"/>
        <w:jc w:val="center"/>
        <w:outlineLvl w:val="1"/>
        <w:rPr>
          <w:rFonts w:ascii="宋体" w:hAnsi="宋体" w:cs="宋体"/>
          <w:bCs/>
          <w:color w:val="auto"/>
          <w:sz w:val="24"/>
          <w:highlight w:val="none"/>
        </w:rPr>
      </w:pPr>
      <w:bookmarkStart w:id="166" w:name="_Toc13799"/>
      <w:r>
        <w:rPr>
          <w:rFonts w:hint="eastAsia" w:ascii="宋体" w:hAnsi="宋体" w:cs="宋体"/>
          <w:b/>
          <w:color w:val="auto"/>
          <w:sz w:val="32"/>
          <w:szCs w:val="32"/>
          <w:highlight w:val="none"/>
        </w:rPr>
        <w:t>第五章  投标文件标格式</w:t>
      </w:r>
      <w:bookmarkEnd w:id="166"/>
    </w:p>
    <w:p w14:paraId="1AA75C80">
      <w:pPr>
        <w:rPr>
          <w:rFonts w:eastAsia="黑体"/>
          <w:color w:val="auto"/>
          <w:sz w:val="20"/>
          <w:highlight w:val="none"/>
        </w:rPr>
      </w:pPr>
    </w:p>
    <w:p w14:paraId="2194594B">
      <w:pPr>
        <w:jc w:val="center"/>
        <w:rPr>
          <w:rFonts w:ascii="宋体"/>
          <w:b/>
          <w:color w:val="auto"/>
          <w:sz w:val="44"/>
          <w:szCs w:val="44"/>
          <w:highlight w:val="none"/>
        </w:rPr>
      </w:pPr>
      <w:bookmarkStart w:id="167" w:name="_Toc350698753"/>
      <w:bookmarkStart w:id="168" w:name="_Toc469495744"/>
      <w:r>
        <w:rPr>
          <w:rFonts w:hint="eastAsia" w:ascii="宋体"/>
          <w:b/>
          <w:color w:val="auto"/>
          <w:sz w:val="44"/>
          <w:szCs w:val="44"/>
          <w:highlight w:val="none"/>
        </w:rPr>
        <w:t xml:space="preserve">                               </w:t>
      </w:r>
      <w:r>
        <w:rPr>
          <w:rFonts w:hint="eastAsia" w:ascii="宋体"/>
          <w:b/>
          <w:color w:val="auto"/>
          <w:sz w:val="96"/>
          <w:szCs w:val="96"/>
          <w:highlight w:val="none"/>
        </w:rPr>
        <w:t xml:space="preserve"> </w:t>
      </w:r>
      <w:r>
        <w:rPr>
          <w:rFonts w:hint="eastAsia"/>
          <w:color w:val="auto"/>
          <w:sz w:val="36"/>
          <w:szCs w:val="44"/>
          <w:highlight w:val="none"/>
        </w:rPr>
        <w:t>正本/副本</w:t>
      </w:r>
    </w:p>
    <w:p w14:paraId="53324DF7">
      <w:pPr>
        <w:pStyle w:val="25"/>
        <w:ind w:firstLine="560"/>
        <w:rPr>
          <w:color w:val="auto"/>
          <w:highlight w:val="none"/>
        </w:rPr>
      </w:pPr>
    </w:p>
    <w:p w14:paraId="4BE5CDA7">
      <w:pPr>
        <w:jc w:val="center"/>
        <w:outlineLvl w:val="2"/>
        <w:rPr>
          <w:rFonts w:ascii="宋体"/>
          <w:b/>
          <w:color w:val="auto"/>
          <w:sz w:val="44"/>
          <w:szCs w:val="44"/>
          <w:highlight w:val="none"/>
        </w:rPr>
      </w:pPr>
      <w:bookmarkStart w:id="169" w:name="_Toc1612"/>
      <w:r>
        <w:rPr>
          <w:rFonts w:hint="eastAsia" w:ascii="宋体"/>
          <w:b/>
          <w:color w:val="auto"/>
          <w:sz w:val="44"/>
          <w:szCs w:val="44"/>
          <w:highlight w:val="none"/>
        </w:rPr>
        <w:t>资信证明文件</w:t>
      </w:r>
      <w:bookmarkEnd w:id="167"/>
      <w:bookmarkEnd w:id="168"/>
      <w:bookmarkEnd w:id="169"/>
    </w:p>
    <w:p w14:paraId="4A0F601A">
      <w:pPr>
        <w:jc w:val="center"/>
        <w:rPr>
          <w:rFonts w:ascii="宋体"/>
          <w:color w:val="auto"/>
          <w:sz w:val="32"/>
          <w:szCs w:val="32"/>
          <w:highlight w:val="none"/>
        </w:rPr>
      </w:pPr>
      <w:r>
        <w:rPr>
          <w:rFonts w:hint="eastAsia" w:ascii="宋体"/>
          <w:color w:val="auto"/>
          <w:sz w:val="32"/>
          <w:szCs w:val="32"/>
          <w:highlight w:val="none"/>
        </w:rPr>
        <w:t>（投标文件一）</w:t>
      </w:r>
    </w:p>
    <w:p w14:paraId="4AE69684">
      <w:pPr>
        <w:jc w:val="center"/>
        <w:rPr>
          <w:rFonts w:eastAsia="黑体"/>
          <w:color w:val="auto"/>
          <w:sz w:val="44"/>
          <w:szCs w:val="44"/>
          <w:highlight w:val="none"/>
        </w:rPr>
      </w:pPr>
    </w:p>
    <w:p w14:paraId="0B293453">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46C91CFC">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C69B84E">
      <w:pPr>
        <w:rPr>
          <w:rFonts w:ascii="宋体"/>
          <w:color w:val="auto"/>
          <w:sz w:val="28"/>
          <w:szCs w:val="28"/>
          <w:highlight w:val="none"/>
        </w:rPr>
      </w:pPr>
    </w:p>
    <w:p w14:paraId="6ED04A1F">
      <w:pPr>
        <w:rPr>
          <w:rFonts w:ascii="宋体"/>
          <w:color w:val="auto"/>
          <w:sz w:val="28"/>
          <w:szCs w:val="28"/>
          <w:highlight w:val="none"/>
        </w:rPr>
      </w:pPr>
    </w:p>
    <w:p w14:paraId="47B87388">
      <w:pPr>
        <w:rPr>
          <w:rFonts w:ascii="宋体"/>
          <w:color w:val="auto"/>
          <w:sz w:val="28"/>
          <w:szCs w:val="28"/>
          <w:highlight w:val="none"/>
        </w:rPr>
      </w:pPr>
    </w:p>
    <w:p w14:paraId="0A351462">
      <w:pPr>
        <w:rPr>
          <w:rFonts w:ascii="宋体"/>
          <w:color w:val="auto"/>
          <w:sz w:val="28"/>
          <w:szCs w:val="28"/>
          <w:highlight w:val="none"/>
        </w:rPr>
      </w:pPr>
    </w:p>
    <w:p w14:paraId="315B9D43">
      <w:pPr>
        <w:pStyle w:val="25"/>
        <w:ind w:firstLine="0" w:firstLineChars="0"/>
        <w:rPr>
          <w:color w:val="auto"/>
          <w:highlight w:val="none"/>
        </w:rPr>
      </w:pPr>
    </w:p>
    <w:p w14:paraId="22ACECE2">
      <w:pPr>
        <w:rPr>
          <w:rFonts w:ascii="宋体"/>
          <w:color w:val="auto"/>
          <w:sz w:val="28"/>
          <w:szCs w:val="28"/>
          <w:highlight w:val="none"/>
        </w:rPr>
      </w:pPr>
    </w:p>
    <w:p w14:paraId="5F084FE6">
      <w:pPr>
        <w:rPr>
          <w:rFonts w:ascii="宋体"/>
          <w:color w:val="auto"/>
          <w:sz w:val="28"/>
          <w:szCs w:val="28"/>
          <w:highlight w:val="none"/>
        </w:rPr>
      </w:pPr>
    </w:p>
    <w:p w14:paraId="5CEE146D">
      <w:pPr>
        <w:pStyle w:val="19"/>
        <w:rPr>
          <w:color w:val="auto"/>
          <w:highlight w:val="none"/>
        </w:rPr>
      </w:pPr>
    </w:p>
    <w:p w14:paraId="34928CB0">
      <w:pPr>
        <w:rPr>
          <w:rFonts w:ascii="宋体"/>
          <w:color w:val="auto"/>
          <w:sz w:val="28"/>
          <w:szCs w:val="28"/>
          <w:highlight w:val="none"/>
        </w:rPr>
      </w:pPr>
    </w:p>
    <w:p w14:paraId="752C15C6">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374C44F7">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3FE9146">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817E03A">
      <w:pPr>
        <w:pStyle w:val="25"/>
        <w:ind w:firstLine="560"/>
        <w:rPr>
          <w:color w:val="auto"/>
          <w:szCs w:val="28"/>
          <w:highlight w:val="none"/>
        </w:rPr>
      </w:pPr>
    </w:p>
    <w:p w14:paraId="2701FAF2">
      <w:pPr>
        <w:rPr>
          <w:rFonts w:ascii="宋体"/>
          <w:color w:val="auto"/>
          <w:sz w:val="28"/>
          <w:szCs w:val="28"/>
          <w:highlight w:val="none"/>
        </w:rPr>
      </w:pPr>
    </w:p>
    <w:p w14:paraId="1204E2A5">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6077876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6492E58B">
      <w:pPr>
        <w:spacing w:line="440" w:lineRule="exact"/>
        <w:ind w:firstLine="420" w:firstLineChars="200"/>
        <w:outlineLvl w:val="2"/>
        <w:rPr>
          <w:rFonts w:ascii="宋体" w:hAnsi="宋体" w:cs="宋体"/>
          <w:color w:val="auto"/>
          <w:szCs w:val="21"/>
          <w:highlight w:val="none"/>
        </w:rPr>
      </w:pPr>
      <w:bookmarkStart w:id="170" w:name="_Toc31838"/>
      <w:r>
        <w:rPr>
          <w:rFonts w:hint="eastAsia" w:ascii="宋体" w:hAnsi="宋体" w:cs="宋体"/>
          <w:color w:val="auto"/>
          <w:szCs w:val="21"/>
          <w:highlight w:val="none"/>
        </w:rPr>
        <w:t>（2）投标供应商有效的营业执照（或三证合一的有效证件）；</w:t>
      </w:r>
      <w:bookmarkEnd w:id="170"/>
    </w:p>
    <w:p w14:paraId="727CDEE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3B7F78B1">
      <w:pPr>
        <w:spacing w:line="440" w:lineRule="exact"/>
        <w:ind w:firstLine="420" w:firstLineChars="200"/>
        <w:outlineLvl w:val="2"/>
        <w:rPr>
          <w:rFonts w:ascii="宋体" w:hAnsi="宋体" w:cs="宋体"/>
          <w:color w:val="auto"/>
          <w:szCs w:val="21"/>
          <w:highlight w:val="none"/>
        </w:rPr>
      </w:pPr>
      <w:bookmarkStart w:id="171" w:name="_Toc11671"/>
      <w:r>
        <w:rPr>
          <w:rFonts w:hint="eastAsia" w:ascii="宋体" w:hAnsi="宋体" w:cs="宋体"/>
          <w:color w:val="auto"/>
          <w:szCs w:val="21"/>
          <w:highlight w:val="none"/>
        </w:rPr>
        <w:t>（4）诚信投标承诺书（格式见附件）；</w:t>
      </w:r>
      <w:bookmarkEnd w:id="171"/>
    </w:p>
    <w:p w14:paraId="2445EA0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2930E711">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541D31B2">
      <w:pPr>
        <w:spacing w:line="440" w:lineRule="exact"/>
        <w:ind w:firstLine="422" w:firstLineChars="200"/>
        <w:rPr>
          <w:rFonts w:ascii="宋体" w:hAnsi="宋体" w:cs="宋体"/>
          <w:b/>
          <w:bCs/>
          <w:color w:val="auto"/>
          <w:szCs w:val="21"/>
          <w:highlight w:val="none"/>
        </w:rPr>
      </w:pPr>
    </w:p>
    <w:p w14:paraId="7F084E2E">
      <w:pPr>
        <w:pStyle w:val="25"/>
        <w:ind w:firstLine="560"/>
        <w:rPr>
          <w:color w:val="auto"/>
          <w:highlight w:val="none"/>
        </w:rPr>
      </w:pPr>
    </w:p>
    <w:p w14:paraId="7CAC36B7">
      <w:pPr>
        <w:rPr>
          <w:color w:val="auto"/>
          <w:highlight w:val="none"/>
        </w:rPr>
      </w:pPr>
    </w:p>
    <w:p w14:paraId="75BBFBFE">
      <w:pPr>
        <w:pStyle w:val="25"/>
        <w:ind w:firstLine="560"/>
        <w:rPr>
          <w:color w:val="auto"/>
          <w:highlight w:val="none"/>
        </w:rPr>
      </w:pPr>
    </w:p>
    <w:p w14:paraId="47BF46AB">
      <w:pPr>
        <w:rPr>
          <w:color w:val="auto"/>
          <w:highlight w:val="none"/>
        </w:rPr>
      </w:pPr>
    </w:p>
    <w:p w14:paraId="1006F0A8">
      <w:pPr>
        <w:pStyle w:val="25"/>
        <w:ind w:firstLine="560"/>
        <w:rPr>
          <w:color w:val="auto"/>
          <w:highlight w:val="none"/>
        </w:rPr>
      </w:pPr>
    </w:p>
    <w:p w14:paraId="754B0B09">
      <w:pPr>
        <w:rPr>
          <w:color w:val="auto"/>
          <w:highlight w:val="none"/>
        </w:rPr>
      </w:pPr>
    </w:p>
    <w:p w14:paraId="5AF34656">
      <w:pPr>
        <w:pStyle w:val="25"/>
        <w:ind w:firstLine="560"/>
        <w:rPr>
          <w:color w:val="auto"/>
          <w:highlight w:val="none"/>
        </w:rPr>
      </w:pPr>
    </w:p>
    <w:p w14:paraId="41DE4B00">
      <w:pPr>
        <w:rPr>
          <w:color w:val="auto"/>
          <w:highlight w:val="none"/>
        </w:rPr>
      </w:pPr>
    </w:p>
    <w:p w14:paraId="07F01F36">
      <w:pPr>
        <w:pStyle w:val="25"/>
        <w:ind w:firstLine="560"/>
        <w:rPr>
          <w:color w:val="auto"/>
          <w:highlight w:val="none"/>
        </w:rPr>
      </w:pPr>
    </w:p>
    <w:p w14:paraId="21EA16C9">
      <w:pPr>
        <w:rPr>
          <w:color w:val="auto"/>
          <w:highlight w:val="none"/>
        </w:rPr>
      </w:pPr>
    </w:p>
    <w:p w14:paraId="2C78F164">
      <w:pPr>
        <w:pStyle w:val="25"/>
        <w:ind w:firstLine="560"/>
        <w:rPr>
          <w:color w:val="auto"/>
          <w:highlight w:val="none"/>
        </w:rPr>
      </w:pPr>
    </w:p>
    <w:p w14:paraId="36D15109">
      <w:pPr>
        <w:rPr>
          <w:color w:val="auto"/>
          <w:highlight w:val="none"/>
        </w:rPr>
      </w:pPr>
    </w:p>
    <w:p w14:paraId="171E9998">
      <w:pPr>
        <w:pStyle w:val="25"/>
        <w:ind w:firstLine="560"/>
        <w:rPr>
          <w:color w:val="auto"/>
          <w:highlight w:val="none"/>
        </w:rPr>
      </w:pPr>
    </w:p>
    <w:p w14:paraId="0BF70F19">
      <w:pPr>
        <w:rPr>
          <w:color w:val="auto"/>
          <w:highlight w:val="none"/>
        </w:rPr>
      </w:pPr>
    </w:p>
    <w:p w14:paraId="200AF25F">
      <w:pPr>
        <w:pStyle w:val="25"/>
        <w:ind w:firstLine="560"/>
        <w:rPr>
          <w:color w:val="auto"/>
          <w:highlight w:val="none"/>
        </w:rPr>
      </w:pPr>
    </w:p>
    <w:p w14:paraId="5F00FA81">
      <w:pPr>
        <w:rPr>
          <w:color w:val="auto"/>
          <w:highlight w:val="none"/>
        </w:rPr>
      </w:pPr>
    </w:p>
    <w:p w14:paraId="43971874">
      <w:pPr>
        <w:pStyle w:val="25"/>
        <w:ind w:firstLine="560"/>
        <w:rPr>
          <w:color w:val="auto"/>
          <w:highlight w:val="none"/>
        </w:rPr>
      </w:pPr>
    </w:p>
    <w:p w14:paraId="16920212">
      <w:pPr>
        <w:rPr>
          <w:color w:val="auto"/>
          <w:highlight w:val="none"/>
        </w:rPr>
      </w:pPr>
    </w:p>
    <w:p w14:paraId="7A661D8A">
      <w:pPr>
        <w:pStyle w:val="25"/>
        <w:ind w:firstLine="0" w:firstLineChars="0"/>
        <w:rPr>
          <w:color w:val="auto"/>
          <w:highlight w:val="none"/>
        </w:rPr>
      </w:pPr>
    </w:p>
    <w:p w14:paraId="3A882F65">
      <w:pPr>
        <w:pStyle w:val="4"/>
        <w:jc w:val="center"/>
        <w:rPr>
          <w:rFonts w:ascii="宋体" w:hAnsi="宋体" w:cs="宋体"/>
          <w:color w:val="auto"/>
          <w:sz w:val="28"/>
          <w:szCs w:val="28"/>
          <w:highlight w:val="none"/>
        </w:rPr>
      </w:pPr>
      <w:bookmarkStart w:id="172" w:name="_Toc17426"/>
      <w:r>
        <w:rPr>
          <w:rFonts w:hint="eastAsia" w:ascii="宋体" w:hAnsi="宋体" w:cs="宋体"/>
          <w:color w:val="auto"/>
          <w:sz w:val="28"/>
          <w:szCs w:val="28"/>
          <w:highlight w:val="none"/>
        </w:rPr>
        <w:t>（1）法定代表人身份证明</w:t>
      </w:r>
      <w:bookmarkEnd w:id="172"/>
    </w:p>
    <w:p w14:paraId="158EFDB3">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A784DC">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A0B4AE">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2403900">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4D77AE9">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2993022E">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7C767C5">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07E4A7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A08A512">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68B190EF">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2022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0E9907F">
      <w:pPr>
        <w:spacing w:line="540" w:lineRule="exact"/>
        <w:rPr>
          <w:rFonts w:ascii="宋体" w:hAnsi="宋体" w:cs="宋体"/>
          <w:color w:val="auto"/>
          <w:highlight w:val="none"/>
        </w:rPr>
      </w:pPr>
    </w:p>
    <w:p w14:paraId="4B593B91">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394F050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27802E0A">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7B730953">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0739B13D">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B511CD8">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01CC6057">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1898A33A">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32BAB5B3">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3FD96566">
      <w:pPr>
        <w:rPr>
          <w:rFonts w:ascii="宋体" w:hAnsi="宋体" w:cs="宋体"/>
          <w:b/>
          <w:color w:val="auto"/>
          <w:sz w:val="24"/>
          <w:highlight w:val="none"/>
        </w:rPr>
      </w:pPr>
    </w:p>
    <w:p w14:paraId="1213DDF0">
      <w:pPr>
        <w:pStyle w:val="25"/>
        <w:ind w:firstLine="560"/>
        <w:rPr>
          <w:color w:val="auto"/>
          <w:highlight w:val="none"/>
        </w:rPr>
      </w:pPr>
    </w:p>
    <w:p w14:paraId="1F35F889">
      <w:pPr>
        <w:rPr>
          <w:rFonts w:ascii="宋体" w:hAnsi="宋体" w:cs="宋体"/>
          <w:b/>
          <w:bCs/>
          <w:color w:val="auto"/>
          <w:sz w:val="28"/>
          <w:szCs w:val="28"/>
          <w:highlight w:val="none"/>
        </w:rPr>
      </w:pPr>
    </w:p>
    <w:p w14:paraId="748C6A05">
      <w:pPr>
        <w:jc w:val="center"/>
        <w:outlineLvl w:val="2"/>
        <w:rPr>
          <w:rFonts w:ascii="宋体" w:hAnsi="宋体" w:cs="宋体"/>
          <w:b/>
          <w:bCs/>
          <w:color w:val="auto"/>
          <w:sz w:val="28"/>
          <w:szCs w:val="28"/>
          <w:highlight w:val="none"/>
        </w:rPr>
      </w:pPr>
      <w:bookmarkStart w:id="173" w:name="_Toc5345"/>
      <w:r>
        <w:rPr>
          <w:rFonts w:hint="eastAsia" w:ascii="宋体" w:hAnsi="宋体" w:cs="宋体"/>
          <w:b/>
          <w:bCs/>
          <w:color w:val="auto"/>
          <w:sz w:val="28"/>
          <w:szCs w:val="28"/>
          <w:highlight w:val="none"/>
        </w:rPr>
        <w:t>（2）诚信投标承诺书</w:t>
      </w:r>
      <w:bookmarkEnd w:id="173"/>
    </w:p>
    <w:p w14:paraId="49CC423E">
      <w:pPr>
        <w:spacing w:line="440" w:lineRule="exact"/>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3C162B4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3986113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674F321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64415E4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3ACB371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210D510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16E9A9E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1D278CD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1151BA2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075EC1D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593FD3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08FF05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2D04EF6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3162526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                          基本账户：</w:t>
      </w:r>
    </w:p>
    <w:p w14:paraId="23FF75D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1A59BC4D">
      <w:pPr>
        <w:spacing w:line="44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998E5A">
      <w:pPr>
        <w:jc w:val="center"/>
        <w:rPr>
          <w:rFonts w:ascii="宋体" w:hAnsi="宋体" w:cs="宋体"/>
          <w:b/>
          <w:color w:val="auto"/>
          <w:sz w:val="24"/>
          <w:highlight w:val="none"/>
        </w:rPr>
      </w:pPr>
    </w:p>
    <w:p w14:paraId="40F719FB">
      <w:pPr>
        <w:spacing w:line="560" w:lineRule="exact"/>
        <w:ind w:right="-313" w:rightChars="-149" w:firstLine="640" w:firstLineChars="200"/>
        <w:rPr>
          <w:color w:val="auto"/>
          <w:sz w:val="32"/>
          <w:szCs w:val="21"/>
          <w:highlight w:val="none"/>
        </w:rPr>
      </w:pPr>
      <w:bookmarkStart w:id="174" w:name="_Toc21013"/>
      <w:r>
        <w:rPr>
          <w:rFonts w:hint="eastAsia"/>
          <w:color w:val="auto"/>
          <w:sz w:val="32"/>
          <w:szCs w:val="21"/>
          <w:highlight w:val="none"/>
        </w:rPr>
        <w:t xml:space="preserve">                    </w:t>
      </w:r>
    </w:p>
    <w:p w14:paraId="62AC770A">
      <w:pPr>
        <w:pStyle w:val="2"/>
        <w:pageBreakBefore/>
        <w:spacing w:line="579" w:lineRule="auto"/>
        <w:jc w:val="right"/>
        <w:rPr>
          <w:rFonts w:ascii="宋体"/>
          <w:b w:val="0"/>
          <w:color w:val="auto"/>
          <w:highlight w:val="none"/>
        </w:rPr>
      </w:pPr>
      <w:bookmarkStart w:id="175" w:name="_Toc28063"/>
      <w:r>
        <w:rPr>
          <w:rFonts w:hint="eastAsia"/>
          <w:color w:val="auto"/>
          <w:sz w:val="32"/>
          <w:szCs w:val="21"/>
          <w:highlight w:val="none"/>
        </w:rPr>
        <w:t>正本/副本</w:t>
      </w:r>
      <w:bookmarkEnd w:id="175"/>
    </w:p>
    <w:p w14:paraId="0D5FB811">
      <w:pPr>
        <w:pStyle w:val="2"/>
        <w:jc w:val="center"/>
        <w:rPr>
          <w:rFonts w:ascii="宋体"/>
          <w:b w:val="0"/>
          <w:color w:val="auto"/>
          <w:highlight w:val="none"/>
        </w:rPr>
      </w:pPr>
      <w:bookmarkStart w:id="176" w:name="_Toc10768"/>
      <w:bookmarkStart w:id="177" w:name="_Toc28957"/>
      <w:r>
        <w:rPr>
          <w:rFonts w:hint="eastAsia" w:ascii="宋体"/>
          <w:b w:val="0"/>
          <w:color w:val="auto"/>
          <w:highlight w:val="none"/>
        </w:rPr>
        <w:t>技术标文件</w:t>
      </w:r>
      <w:bookmarkEnd w:id="174"/>
      <w:bookmarkEnd w:id="176"/>
      <w:bookmarkEnd w:id="177"/>
    </w:p>
    <w:p w14:paraId="2C251A33">
      <w:pPr>
        <w:jc w:val="center"/>
        <w:rPr>
          <w:rFonts w:ascii="宋体"/>
          <w:color w:val="auto"/>
          <w:sz w:val="32"/>
          <w:szCs w:val="32"/>
          <w:highlight w:val="none"/>
        </w:rPr>
      </w:pPr>
      <w:r>
        <w:rPr>
          <w:rFonts w:hint="eastAsia" w:ascii="宋体"/>
          <w:color w:val="auto"/>
          <w:sz w:val="32"/>
          <w:szCs w:val="32"/>
          <w:highlight w:val="none"/>
        </w:rPr>
        <w:t>（投标文件二）</w:t>
      </w:r>
    </w:p>
    <w:p w14:paraId="266AEEF2">
      <w:pPr>
        <w:jc w:val="center"/>
        <w:rPr>
          <w:rFonts w:eastAsia="黑体"/>
          <w:color w:val="auto"/>
          <w:sz w:val="44"/>
          <w:szCs w:val="44"/>
          <w:highlight w:val="none"/>
        </w:rPr>
      </w:pPr>
    </w:p>
    <w:p w14:paraId="6F5D7A46">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7028D0C1">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8DD69BB">
      <w:pPr>
        <w:rPr>
          <w:rFonts w:ascii="宋体"/>
          <w:color w:val="auto"/>
          <w:sz w:val="28"/>
          <w:szCs w:val="28"/>
          <w:highlight w:val="none"/>
        </w:rPr>
      </w:pPr>
    </w:p>
    <w:p w14:paraId="112E2140">
      <w:pPr>
        <w:rPr>
          <w:rFonts w:ascii="宋体"/>
          <w:color w:val="auto"/>
          <w:sz w:val="28"/>
          <w:szCs w:val="28"/>
          <w:highlight w:val="none"/>
        </w:rPr>
      </w:pPr>
    </w:p>
    <w:p w14:paraId="31BE4075">
      <w:pPr>
        <w:rPr>
          <w:rFonts w:ascii="宋体"/>
          <w:color w:val="auto"/>
          <w:sz w:val="28"/>
          <w:szCs w:val="28"/>
          <w:highlight w:val="none"/>
        </w:rPr>
      </w:pPr>
    </w:p>
    <w:p w14:paraId="6ABBA8C9">
      <w:pPr>
        <w:rPr>
          <w:rFonts w:ascii="宋体"/>
          <w:color w:val="auto"/>
          <w:sz w:val="28"/>
          <w:szCs w:val="28"/>
          <w:highlight w:val="none"/>
        </w:rPr>
      </w:pPr>
    </w:p>
    <w:p w14:paraId="3C471085">
      <w:pPr>
        <w:pStyle w:val="25"/>
        <w:ind w:left="420" w:firstLine="560"/>
        <w:rPr>
          <w:color w:val="auto"/>
          <w:szCs w:val="28"/>
          <w:highlight w:val="none"/>
        </w:rPr>
      </w:pPr>
    </w:p>
    <w:p w14:paraId="0D518E91">
      <w:pPr>
        <w:rPr>
          <w:rFonts w:ascii="宋体"/>
          <w:color w:val="auto"/>
          <w:sz w:val="28"/>
          <w:szCs w:val="28"/>
          <w:highlight w:val="none"/>
        </w:rPr>
      </w:pPr>
    </w:p>
    <w:p w14:paraId="0CD718C3">
      <w:pPr>
        <w:pStyle w:val="25"/>
        <w:ind w:left="420" w:firstLine="560"/>
        <w:rPr>
          <w:color w:val="auto"/>
          <w:szCs w:val="28"/>
          <w:highlight w:val="none"/>
        </w:rPr>
      </w:pPr>
    </w:p>
    <w:p w14:paraId="32DD9A47">
      <w:pPr>
        <w:rPr>
          <w:rFonts w:ascii="宋体"/>
          <w:color w:val="auto"/>
          <w:sz w:val="28"/>
          <w:szCs w:val="28"/>
          <w:highlight w:val="none"/>
        </w:rPr>
      </w:pPr>
    </w:p>
    <w:p w14:paraId="7A745A6D">
      <w:pPr>
        <w:rPr>
          <w:rFonts w:ascii="宋体"/>
          <w:color w:val="auto"/>
          <w:sz w:val="28"/>
          <w:szCs w:val="28"/>
          <w:highlight w:val="none"/>
        </w:rPr>
      </w:pPr>
    </w:p>
    <w:p w14:paraId="5CBDF01F">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7DB1BE15">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6D63041">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205F493">
      <w:pPr>
        <w:spacing w:line="720" w:lineRule="auto"/>
        <w:jc w:val="center"/>
        <w:rPr>
          <w:rFonts w:ascii="宋体" w:hAnsi="宋体"/>
          <w:b/>
          <w:color w:val="auto"/>
          <w:sz w:val="36"/>
          <w:szCs w:val="36"/>
          <w:highlight w:val="none"/>
        </w:rPr>
      </w:pPr>
    </w:p>
    <w:p w14:paraId="39845F67">
      <w:pPr>
        <w:pStyle w:val="60"/>
        <w:rPr>
          <w:rFonts w:ascii="宋体" w:hAnsi="宋体"/>
          <w:b/>
          <w:color w:val="auto"/>
          <w:sz w:val="36"/>
          <w:szCs w:val="36"/>
          <w:highlight w:val="none"/>
        </w:rPr>
      </w:pPr>
    </w:p>
    <w:p w14:paraId="264CCE82">
      <w:pPr>
        <w:spacing w:line="500" w:lineRule="exact"/>
        <w:jc w:val="center"/>
        <w:rPr>
          <w:b/>
          <w:color w:val="auto"/>
          <w:sz w:val="44"/>
          <w:szCs w:val="44"/>
          <w:highlight w:val="none"/>
        </w:rPr>
      </w:pPr>
      <w:r>
        <w:rPr>
          <w:rFonts w:hint="eastAsia"/>
          <w:b/>
          <w:color w:val="auto"/>
          <w:sz w:val="44"/>
          <w:szCs w:val="44"/>
          <w:highlight w:val="none"/>
        </w:rPr>
        <w:t>目   录</w:t>
      </w:r>
    </w:p>
    <w:p w14:paraId="6B9B24C5">
      <w:pPr>
        <w:spacing w:line="440" w:lineRule="exact"/>
        <w:ind w:left="-9" w:right="-199" w:rightChars="-95" w:firstLine="9"/>
        <w:rPr>
          <w:rFonts w:ascii="宋体" w:hAnsi="宋体" w:cs="宋体"/>
          <w:color w:val="auto"/>
          <w:szCs w:val="21"/>
          <w:highlight w:val="none"/>
        </w:rPr>
      </w:pPr>
    </w:p>
    <w:p w14:paraId="0A891D0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2C55511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3DBA98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（3）质量承诺及保证体系、措施、应急方案；</w:t>
      </w:r>
    </w:p>
    <w:p w14:paraId="2019D08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5415702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068E4B69">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1BEFB5E4">
      <w:pPr>
        <w:spacing w:line="440" w:lineRule="exact"/>
        <w:jc w:val="left"/>
        <w:rPr>
          <w:rFonts w:ascii="宋体" w:hAnsi="宋体" w:cs="宋体"/>
          <w:b/>
          <w:color w:val="auto"/>
          <w:szCs w:val="21"/>
          <w:highlight w:val="none"/>
        </w:rPr>
      </w:pPr>
    </w:p>
    <w:p w14:paraId="5621AEE3">
      <w:pPr>
        <w:spacing w:line="440" w:lineRule="exact"/>
        <w:ind w:firstLine="420" w:firstLineChars="200"/>
        <w:jc w:val="left"/>
        <w:rPr>
          <w:rFonts w:ascii="宋体" w:hAnsi="宋体" w:cs="宋体"/>
          <w:bCs/>
          <w:color w:val="auto"/>
          <w:szCs w:val="21"/>
          <w:highlight w:val="none"/>
        </w:rPr>
      </w:pPr>
    </w:p>
    <w:p w14:paraId="653F2A1B">
      <w:pPr>
        <w:spacing w:line="440" w:lineRule="exact"/>
        <w:ind w:firstLine="420" w:firstLineChars="200"/>
        <w:jc w:val="left"/>
        <w:rPr>
          <w:rFonts w:ascii="宋体" w:hAnsi="宋体" w:cs="宋体"/>
          <w:bCs/>
          <w:color w:val="auto"/>
          <w:szCs w:val="21"/>
          <w:highlight w:val="none"/>
        </w:rPr>
      </w:pPr>
    </w:p>
    <w:p w14:paraId="433F4060">
      <w:pPr>
        <w:spacing w:line="440" w:lineRule="exact"/>
        <w:ind w:firstLine="420" w:firstLineChars="200"/>
        <w:jc w:val="left"/>
        <w:rPr>
          <w:rFonts w:ascii="宋体" w:hAnsi="宋体" w:cs="宋体"/>
          <w:bCs/>
          <w:color w:val="auto"/>
          <w:szCs w:val="21"/>
          <w:highlight w:val="none"/>
        </w:rPr>
      </w:pPr>
    </w:p>
    <w:p w14:paraId="6C95724C">
      <w:pPr>
        <w:rPr>
          <w:rFonts w:ascii="宋体" w:hAnsi="宋体"/>
          <w:b/>
          <w:color w:val="auto"/>
          <w:sz w:val="24"/>
          <w:highlight w:val="none"/>
        </w:rPr>
      </w:pPr>
    </w:p>
    <w:p w14:paraId="3C4EBC21">
      <w:pPr>
        <w:rPr>
          <w:rFonts w:ascii="宋体" w:hAnsi="宋体"/>
          <w:b/>
          <w:color w:val="auto"/>
          <w:sz w:val="24"/>
          <w:highlight w:val="none"/>
        </w:rPr>
      </w:pPr>
    </w:p>
    <w:p w14:paraId="339414D5">
      <w:pPr>
        <w:rPr>
          <w:rFonts w:ascii="宋体" w:hAnsi="宋体"/>
          <w:b/>
          <w:color w:val="auto"/>
          <w:sz w:val="24"/>
          <w:highlight w:val="none"/>
        </w:rPr>
      </w:pPr>
    </w:p>
    <w:p w14:paraId="52EFF6DC">
      <w:pPr>
        <w:pStyle w:val="25"/>
        <w:ind w:firstLine="482"/>
        <w:rPr>
          <w:rFonts w:hAnsi="宋体"/>
          <w:b/>
          <w:color w:val="auto"/>
          <w:sz w:val="24"/>
          <w:highlight w:val="none"/>
        </w:rPr>
      </w:pPr>
    </w:p>
    <w:p w14:paraId="5ADE3AB3">
      <w:pPr>
        <w:rPr>
          <w:rFonts w:ascii="宋体" w:hAnsi="宋体"/>
          <w:b/>
          <w:color w:val="auto"/>
          <w:sz w:val="24"/>
          <w:highlight w:val="none"/>
        </w:rPr>
      </w:pPr>
    </w:p>
    <w:p w14:paraId="1A7ECAA2">
      <w:pPr>
        <w:pStyle w:val="25"/>
        <w:ind w:firstLine="482"/>
        <w:rPr>
          <w:rFonts w:hAnsi="宋体"/>
          <w:b/>
          <w:color w:val="auto"/>
          <w:sz w:val="24"/>
          <w:highlight w:val="none"/>
        </w:rPr>
      </w:pPr>
    </w:p>
    <w:p w14:paraId="0D306805">
      <w:pPr>
        <w:rPr>
          <w:rFonts w:ascii="宋体" w:hAnsi="宋体"/>
          <w:b/>
          <w:color w:val="auto"/>
          <w:sz w:val="24"/>
          <w:highlight w:val="none"/>
        </w:rPr>
      </w:pPr>
    </w:p>
    <w:p w14:paraId="15134004">
      <w:pPr>
        <w:pStyle w:val="25"/>
        <w:ind w:firstLine="482"/>
        <w:rPr>
          <w:rFonts w:hAnsi="宋体"/>
          <w:b/>
          <w:color w:val="auto"/>
          <w:sz w:val="24"/>
          <w:highlight w:val="none"/>
        </w:rPr>
      </w:pPr>
    </w:p>
    <w:p w14:paraId="1E8B95C6">
      <w:pPr>
        <w:rPr>
          <w:rFonts w:ascii="宋体" w:hAnsi="宋体"/>
          <w:b/>
          <w:color w:val="auto"/>
          <w:sz w:val="24"/>
          <w:highlight w:val="none"/>
        </w:rPr>
      </w:pPr>
    </w:p>
    <w:p w14:paraId="6BFD88DF">
      <w:pPr>
        <w:pStyle w:val="25"/>
        <w:ind w:firstLine="482"/>
        <w:rPr>
          <w:rFonts w:hAnsi="宋体"/>
          <w:b/>
          <w:color w:val="auto"/>
          <w:sz w:val="24"/>
          <w:highlight w:val="none"/>
        </w:rPr>
      </w:pPr>
    </w:p>
    <w:p w14:paraId="7878B8D6">
      <w:pPr>
        <w:rPr>
          <w:rFonts w:ascii="宋体" w:hAnsi="宋体"/>
          <w:b/>
          <w:color w:val="auto"/>
          <w:sz w:val="24"/>
          <w:highlight w:val="none"/>
        </w:rPr>
      </w:pPr>
    </w:p>
    <w:p w14:paraId="4A57E440">
      <w:pPr>
        <w:pStyle w:val="25"/>
        <w:ind w:firstLine="482"/>
        <w:rPr>
          <w:rFonts w:hAnsi="宋体"/>
          <w:b/>
          <w:color w:val="auto"/>
          <w:sz w:val="24"/>
          <w:highlight w:val="none"/>
        </w:rPr>
      </w:pPr>
    </w:p>
    <w:p w14:paraId="28DC447E">
      <w:pPr>
        <w:rPr>
          <w:rFonts w:ascii="宋体" w:hAnsi="宋体"/>
          <w:b/>
          <w:color w:val="auto"/>
          <w:sz w:val="24"/>
          <w:highlight w:val="none"/>
        </w:rPr>
      </w:pPr>
    </w:p>
    <w:p w14:paraId="253C5610">
      <w:pPr>
        <w:pStyle w:val="25"/>
        <w:ind w:firstLine="482"/>
        <w:rPr>
          <w:rFonts w:hAnsi="宋体"/>
          <w:b/>
          <w:color w:val="auto"/>
          <w:sz w:val="24"/>
          <w:highlight w:val="none"/>
        </w:rPr>
      </w:pPr>
    </w:p>
    <w:p w14:paraId="16BE77CF">
      <w:pPr>
        <w:rPr>
          <w:rFonts w:ascii="宋体" w:hAnsi="宋体"/>
          <w:b/>
          <w:color w:val="auto"/>
          <w:sz w:val="24"/>
          <w:highlight w:val="none"/>
        </w:rPr>
      </w:pPr>
    </w:p>
    <w:p w14:paraId="24070B6E">
      <w:pPr>
        <w:pStyle w:val="25"/>
        <w:ind w:firstLine="482"/>
        <w:rPr>
          <w:rFonts w:hAnsi="宋体"/>
          <w:b/>
          <w:color w:val="auto"/>
          <w:sz w:val="24"/>
          <w:highlight w:val="none"/>
        </w:rPr>
      </w:pPr>
    </w:p>
    <w:p w14:paraId="3D4E3C86">
      <w:pPr>
        <w:rPr>
          <w:rFonts w:ascii="宋体" w:hAnsi="宋体"/>
          <w:b/>
          <w:color w:val="auto"/>
          <w:sz w:val="24"/>
          <w:highlight w:val="none"/>
        </w:rPr>
      </w:pPr>
    </w:p>
    <w:p w14:paraId="7D74B80B">
      <w:pPr>
        <w:rPr>
          <w:rFonts w:ascii="宋体" w:hAnsi="宋体"/>
          <w:b/>
          <w:color w:val="auto"/>
          <w:sz w:val="24"/>
          <w:highlight w:val="none"/>
        </w:rPr>
      </w:pPr>
    </w:p>
    <w:p w14:paraId="59ACE620">
      <w:pPr>
        <w:rPr>
          <w:rFonts w:ascii="宋体" w:hAnsi="宋体"/>
          <w:b/>
          <w:color w:val="auto"/>
          <w:sz w:val="24"/>
          <w:highlight w:val="none"/>
        </w:rPr>
      </w:pPr>
    </w:p>
    <w:p w14:paraId="1EC058A0">
      <w:pPr>
        <w:rPr>
          <w:rFonts w:ascii="宋体" w:hAnsi="宋体"/>
          <w:b/>
          <w:color w:val="auto"/>
          <w:sz w:val="24"/>
          <w:highlight w:val="none"/>
        </w:rPr>
      </w:pPr>
    </w:p>
    <w:p w14:paraId="01C57643">
      <w:pPr>
        <w:rPr>
          <w:rFonts w:ascii="宋体" w:hAnsi="宋体"/>
          <w:b/>
          <w:color w:val="auto"/>
          <w:sz w:val="24"/>
          <w:highlight w:val="none"/>
        </w:rPr>
      </w:pPr>
    </w:p>
    <w:p w14:paraId="0F5689FC">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05F85162">
      <w:pPr>
        <w:rPr>
          <w:rFonts w:ascii="宋体" w:hAnsi="宋体"/>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1A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2256D60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785C76B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vAlign w:val="center"/>
          </w:tcPr>
          <w:p w14:paraId="0E435DF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vAlign w:val="center"/>
          </w:tcPr>
          <w:p w14:paraId="4977AC0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vAlign w:val="center"/>
          </w:tcPr>
          <w:p w14:paraId="0F0EB12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6195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28E667">
            <w:pPr>
              <w:spacing w:line="240" w:lineRule="atLeast"/>
              <w:ind w:firstLine="105" w:firstLineChars="50"/>
              <w:rPr>
                <w:rFonts w:ascii="宋体" w:hAnsi="宋体" w:cs="宋体"/>
                <w:color w:val="auto"/>
                <w:szCs w:val="21"/>
                <w:highlight w:val="none"/>
              </w:rPr>
            </w:pPr>
          </w:p>
        </w:tc>
        <w:tc>
          <w:tcPr>
            <w:tcW w:w="1421" w:type="dxa"/>
            <w:vMerge w:val="continue"/>
          </w:tcPr>
          <w:p w14:paraId="5D1BC7F8">
            <w:pPr>
              <w:spacing w:line="240" w:lineRule="atLeast"/>
              <w:jc w:val="center"/>
              <w:rPr>
                <w:rFonts w:ascii="宋体" w:hAnsi="宋体" w:cs="宋体"/>
                <w:color w:val="auto"/>
                <w:szCs w:val="21"/>
                <w:highlight w:val="none"/>
              </w:rPr>
            </w:pPr>
          </w:p>
        </w:tc>
        <w:tc>
          <w:tcPr>
            <w:tcW w:w="2085" w:type="dxa"/>
          </w:tcPr>
          <w:p w14:paraId="0DD36B0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tcPr>
          <w:p w14:paraId="02BDE8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tcPr>
          <w:p w14:paraId="4A7A1686">
            <w:pPr>
              <w:spacing w:line="240" w:lineRule="atLeast"/>
              <w:jc w:val="center"/>
              <w:rPr>
                <w:rFonts w:ascii="宋体" w:hAnsi="宋体" w:cs="宋体"/>
                <w:color w:val="auto"/>
                <w:szCs w:val="21"/>
                <w:highlight w:val="none"/>
              </w:rPr>
            </w:pPr>
          </w:p>
        </w:tc>
        <w:tc>
          <w:tcPr>
            <w:tcW w:w="1736" w:type="dxa"/>
            <w:vMerge w:val="continue"/>
          </w:tcPr>
          <w:p w14:paraId="48BEFA4F">
            <w:pPr>
              <w:spacing w:line="240" w:lineRule="atLeast"/>
              <w:jc w:val="center"/>
              <w:rPr>
                <w:rFonts w:ascii="宋体" w:hAnsi="宋体" w:cs="宋体"/>
                <w:color w:val="auto"/>
                <w:szCs w:val="21"/>
                <w:highlight w:val="none"/>
              </w:rPr>
            </w:pPr>
          </w:p>
        </w:tc>
      </w:tr>
      <w:tr w14:paraId="217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EA4067B">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359963F1">
            <w:pPr>
              <w:spacing w:line="360" w:lineRule="auto"/>
              <w:jc w:val="center"/>
              <w:textAlignment w:val="center"/>
              <w:rPr>
                <w:rFonts w:ascii="宋体" w:hAnsi="宋体"/>
                <w:color w:val="auto"/>
                <w:szCs w:val="21"/>
                <w:highlight w:val="none"/>
              </w:rPr>
            </w:pPr>
          </w:p>
        </w:tc>
        <w:tc>
          <w:tcPr>
            <w:tcW w:w="2085" w:type="dxa"/>
            <w:vAlign w:val="center"/>
          </w:tcPr>
          <w:p w14:paraId="589BE46C">
            <w:pPr>
              <w:ind w:firstLine="630" w:firstLineChars="300"/>
              <w:jc w:val="center"/>
              <w:rPr>
                <w:rFonts w:ascii="宋体" w:hAnsi="宋体"/>
                <w:color w:val="auto"/>
                <w:szCs w:val="21"/>
                <w:highlight w:val="none"/>
              </w:rPr>
            </w:pPr>
          </w:p>
        </w:tc>
        <w:tc>
          <w:tcPr>
            <w:tcW w:w="1625" w:type="dxa"/>
            <w:vAlign w:val="center"/>
          </w:tcPr>
          <w:p w14:paraId="6F96F533">
            <w:pPr>
              <w:ind w:firstLine="630" w:firstLineChars="300"/>
              <w:jc w:val="center"/>
              <w:rPr>
                <w:rFonts w:ascii="宋体" w:hAnsi="宋体"/>
                <w:color w:val="auto"/>
                <w:szCs w:val="21"/>
                <w:highlight w:val="none"/>
              </w:rPr>
            </w:pPr>
          </w:p>
        </w:tc>
        <w:tc>
          <w:tcPr>
            <w:tcW w:w="1187" w:type="dxa"/>
            <w:vAlign w:val="center"/>
          </w:tcPr>
          <w:p w14:paraId="0D4989EF">
            <w:pPr>
              <w:jc w:val="center"/>
              <w:rPr>
                <w:rFonts w:ascii="宋体" w:hAnsi="宋体"/>
                <w:color w:val="auto"/>
                <w:szCs w:val="21"/>
                <w:highlight w:val="none"/>
              </w:rPr>
            </w:pPr>
            <w:r>
              <w:rPr>
                <w:rFonts w:hint="eastAsia" w:ascii="宋体" w:hAnsi="宋体" w:cs="宋体"/>
                <w:color w:val="auto"/>
                <w:szCs w:val="21"/>
                <w:highlight w:val="none"/>
              </w:rPr>
              <w:t>是/否</w:t>
            </w:r>
          </w:p>
        </w:tc>
        <w:tc>
          <w:tcPr>
            <w:tcW w:w="1736" w:type="dxa"/>
            <w:vAlign w:val="center"/>
          </w:tcPr>
          <w:p w14:paraId="593D5896">
            <w:pPr>
              <w:jc w:val="center"/>
              <w:rPr>
                <w:rFonts w:ascii="宋体" w:hAnsi="宋体"/>
                <w:color w:val="auto"/>
                <w:szCs w:val="21"/>
                <w:highlight w:val="none"/>
              </w:rPr>
            </w:pPr>
          </w:p>
        </w:tc>
      </w:tr>
      <w:tr w14:paraId="58C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7A05507">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1CEABB79">
            <w:pPr>
              <w:spacing w:line="360" w:lineRule="auto"/>
              <w:jc w:val="center"/>
              <w:textAlignment w:val="center"/>
              <w:rPr>
                <w:rFonts w:ascii="宋体" w:hAnsi="宋体"/>
                <w:color w:val="auto"/>
                <w:sz w:val="24"/>
                <w:highlight w:val="none"/>
              </w:rPr>
            </w:pPr>
          </w:p>
        </w:tc>
        <w:tc>
          <w:tcPr>
            <w:tcW w:w="2085" w:type="dxa"/>
            <w:vAlign w:val="center"/>
          </w:tcPr>
          <w:p w14:paraId="7426C0D5">
            <w:pPr>
              <w:ind w:firstLine="630" w:firstLineChars="300"/>
              <w:jc w:val="center"/>
              <w:rPr>
                <w:rFonts w:ascii="宋体" w:hAnsi="宋体"/>
                <w:color w:val="auto"/>
                <w:szCs w:val="21"/>
                <w:highlight w:val="none"/>
              </w:rPr>
            </w:pPr>
          </w:p>
        </w:tc>
        <w:tc>
          <w:tcPr>
            <w:tcW w:w="1625" w:type="dxa"/>
            <w:vAlign w:val="center"/>
          </w:tcPr>
          <w:p w14:paraId="0DC0AE35">
            <w:pPr>
              <w:ind w:firstLine="630" w:firstLineChars="300"/>
              <w:jc w:val="center"/>
              <w:rPr>
                <w:rFonts w:ascii="宋体" w:hAnsi="宋体"/>
                <w:color w:val="auto"/>
                <w:szCs w:val="21"/>
                <w:highlight w:val="none"/>
              </w:rPr>
            </w:pPr>
          </w:p>
        </w:tc>
        <w:tc>
          <w:tcPr>
            <w:tcW w:w="1187" w:type="dxa"/>
            <w:vAlign w:val="center"/>
          </w:tcPr>
          <w:p w14:paraId="33E7E06D">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61997FC6">
            <w:pPr>
              <w:jc w:val="center"/>
              <w:rPr>
                <w:rFonts w:ascii="宋体" w:hAnsi="宋体"/>
                <w:color w:val="auto"/>
                <w:szCs w:val="21"/>
                <w:highlight w:val="none"/>
              </w:rPr>
            </w:pPr>
          </w:p>
        </w:tc>
      </w:tr>
      <w:tr w14:paraId="715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35F68AB">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7E3F0E68">
            <w:pPr>
              <w:spacing w:line="360" w:lineRule="auto"/>
              <w:jc w:val="center"/>
              <w:textAlignment w:val="center"/>
              <w:rPr>
                <w:rFonts w:ascii="宋体" w:hAnsi="宋体"/>
                <w:color w:val="auto"/>
                <w:sz w:val="24"/>
                <w:highlight w:val="none"/>
              </w:rPr>
            </w:pPr>
          </w:p>
        </w:tc>
        <w:tc>
          <w:tcPr>
            <w:tcW w:w="2085" w:type="dxa"/>
            <w:vAlign w:val="center"/>
          </w:tcPr>
          <w:p w14:paraId="5418A504">
            <w:pPr>
              <w:ind w:firstLine="630" w:firstLineChars="300"/>
              <w:jc w:val="center"/>
              <w:rPr>
                <w:rFonts w:ascii="宋体" w:hAnsi="宋体"/>
                <w:color w:val="auto"/>
                <w:szCs w:val="21"/>
                <w:highlight w:val="none"/>
              </w:rPr>
            </w:pPr>
          </w:p>
        </w:tc>
        <w:tc>
          <w:tcPr>
            <w:tcW w:w="1625" w:type="dxa"/>
            <w:vAlign w:val="center"/>
          </w:tcPr>
          <w:p w14:paraId="507F6065">
            <w:pPr>
              <w:ind w:firstLine="630" w:firstLineChars="300"/>
              <w:jc w:val="center"/>
              <w:rPr>
                <w:rFonts w:ascii="宋体" w:hAnsi="宋体"/>
                <w:color w:val="auto"/>
                <w:szCs w:val="21"/>
                <w:highlight w:val="none"/>
              </w:rPr>
            </w:pPr>
          </w:p>
        </w:tc>
        <w:tc>
          <w:tcPr>
            <w:tcW w:w="1187" w:type="dxa"/>
            <w:vAlign w:val="center"/>
          </w:tcPr>
          <w:p w14:paraId="41A1E9A5">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7B8D2871">
            <w:pPr>
              <w:jc w:val="center"/>
              <w:rPr>
                <w:rFonts w:ascii="宋体" w:hAnsi="宋体"/>
                <w:color w:val="auto"/>
                <w:szCs w:val="21"/>
                <w:highlight w:val="none"/>
              </w:rPr>
            </w:pPr>
          </w:p>
        </w:tc>
      </w:tr>
      <w:tr w14:paraId="528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7E39DBD">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72274B60">
            <w:pPr>
              <w:spacing w:line="360" w:lineRule="auto"/>
              <w:jc w:val="center"/>
              <w:textAlignment w:val="center"/>
              <w:rPr>
                <w:rFonts w:ascii="宋体" w:hAnsi="宋体"/>
                <w:color w:val="auto"/>
                <w:sz w:val="24"/>
                <w:highlight w:val="none"/>
              </w:rPr>
            </w:pPr>
          </w:p>
        </w:tc>
        <w:tc>
          <w:tcPr>
            <w:tcW w:w="2085" w:type="dxa"/>
            <w:vAlign w:val="center"/>
          </w:tcPr>
          <w:p w14:paraId="68839B7B">
            <w:pPr>
              <w:ind w:firstLine="630" w:firstLineChars="300"/>
              <w:jc w:val="center"/>
              <w:rPr>
                <w:rFonts w:ascii="宋体" w:hAnsi="宋体"/>
                <w:color w:val="auto"/>
                <w:szCs w:val="21"/>
                <w:highlight w:val="none"/>
              </w:rPr>
            </w:pPr>
          </w:p>
        </w:tc>
        <w:tc>
          <w:tcPr>
            <w:tcW w:w="1625" w:type="dxa"/>
            <w:vAlign w:val="center"/>
          </w:tcPr>
          <w:p w14:paraId="1BF0B665">
            <w:pPr>
              <w:ind w:firstLine="630" w:firstLineChars="300"/>
              <w:jc w:val="center"/>
              <w:rPr>
                <w:rFonts w:ascii="宋体" w:hAnsi="宋体"/>
                <w:color w:val="auto"/>
                <w:szCs w:val="21"/>
                <w:highlight w:val="none"/>
              </w:rPr>
            </w:pPr>
          </w:p>
        </w:tc>
        <w:tc>
          <w:tcPr>
            <w:tcW w:w="1187" w:type="dxa"/>
            <w:vAlign w:val="center"/>
          </w:tcPr>
          <w:p w14:paraId="7C920C11">
            <w:pPr>
              <w:jc w:val="center"/>
              <w:rPr>
                <w:rFonts w:ascii="宋体" w:hAnsi="宋体" w:cs="宋体"/>
                <w:color w:val="auto"/>
                <w:szCs w:val="21"/>
                <w:highlight w:val="none"/>
              </w:rPr>
            </w:pPr>
            <w:r>
              <w:rPr>
                <w:rFonts w:ascii="宋体" w:hAnsi="宋体" w:cs="宋体"/>
                <w:color w:val="auto"/>
                <w:szCs w:val="21"/>
                <w:highlight w:val="none"/>
              </w:rPr>
              <w:t>…</w:t>
            </w:r>
          </w:p>
        </w:tc>
        <w:tc>
          <w:tcPr>
            <w:tcW w:w="1736" w:type="dxa"/>
            <w:vAlign w:val="center"/>
          </w:tcPr>
          <w:p w14:paraId="09E5DE0B">
            <w:pPr>
              <w:jc w:val="center"/>
              <w:rPr>
                <w:rFonts w:ascii="宋体" w:hAnsi="宋体"/>
                <w:color w:val="auto"/>
                <w:szCs w:val="21"/>
                <w:highlight w:val="none"/>
              </w:rPr>
            </w:pPr>
          </w:p>
        </w:tc>
      </w:tr>
    </w:tbl>
    <w:p w14:paraId="2B5468FF">
      <w:pPr>
        <w:autoSpaceDE w:val="0"/>
        <w:autoSpaceDN w:val="0"/>
        <w:adjustRightInd w:val="0"/>
        <w:ind w:firstLine="632" w:firstLineChars="300"/>
        <w:rPr>
          <w:rFonts w:ascii="宋体" w:hAnsi="宋体"/>
          <w:b/>
          <w:color w:val="auto"/>
          <w:szCs w:val="21"/>
          <w:highlight w:val="none"/>
          <w:lang w:val="zh-CN"/>
        </w:rPr>
      </w:pPr>
    </w:p>
    <w:p w14:paraId="604CBB67">
      <w:pPr>
        <w:spacing w:line="480" w:lineRule="auto"/>
        <w:ind w:firstLine="480" w:firstLineChars="200"/>
        <w:rPr>
          <w:rFonts w:ascii="宋体" w:hAnsi="宋体"/>
          <w:color w:val="auto"/>
          <w:sz w:val="24"/>
          <w:highlight w:val="none"/>
        </w:rPr>
      </w:pPr>
    </w:p>
    <w:p w14:paraId="7ABE442B">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04A1915">
      <w:pPr>
        <w:spacing w:line="48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 年  月  日</w:t>
      </w:r>
    </w:p>
    <w:p w14:paraId="65B1376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686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5AA6951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43B1D803">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18B8CA54">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0436A6D3">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3FAAA9DE">
            <w:pPr>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114392DA">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1C4B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58FDE9B">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4B5BAE9C">
            <w:pPr>
              <w:spacing w:line="360" w:lineRule="auto"/>
              <w:jc w:val="center"/>
              <w:textAlignment w:val="center"/>
              <w:rPr>
                <w:rFonts w:ascii="宋体" w:hAnsi="宋体"/>
                <w:color w:val="auto"/>
                <w:szCs w:val="21"/>
                <w:highlight w:val="none"/>
              </w:rPr>
            </w:pPr>
          </w:p>
        </w:tc>
        <w:tc>
          <w:tcPr>
            <w:tcW w:w="2154" w:type="dxa"/>
          </w:tcPr>
          <w:p w14:paraId="17466965">
            <w:pPr>
              <w:spacing w:line="360" w:lineRule="auto"/>
              <w:rPr>
                <w:rFonts w:ascii="宋体" w:hAnsi="宋体"/>
                <w:color w:val="auto"/>
                <w:szCs w:val="21"/>
                <w:highlight w:val="none"/>
              </w:rPr>
            </w:pPr>
          </w:p>
        </w:tc>
        <w:tc>
          <w:tcPr>
            <w:tcW w:w="1171" w:type="dxa"/>
          </w:tcPr>
          <w:p w14:paraId="03460F8D">
            <w:pPr>
              <w:spacing w:line="360" w:lineRule="auto"/>
              <w:rPr>
                <w:rFonts w:ascii="宋体" w:hAnsi="宋体"/>
                <w:color w:val="auto"/>
                <w:szCs w:val="21"/>
                <w:highlight w:val="none"/>
              </w:rPr>
            </w:pPr>
          </w:p>
        </w:tc>
        <w:tc>
          <w:tcPr>
            <w:tcW w:w="2180" w:type="dxa"/>
          </w:tcPr>
          <w:p w14:paraId="31CF4F1E">
            <w:pPr>
              <w:spacing w:line="360" w:lineRule="auto"/>
              <w:rPr>
                <w:rFonts w:ascii="宋体" w:hAnsi="宋体"/>
                <w:color w:val="auto"/>
                <w:szCs w:val="21"/>
                <w:highlight w:val="none"/>
              </w:rPr>
            </w:pPr>
          </w:p>
        </w:tc>
        <w:tc>
          <w:tcPr>
            <w:tcW w:w="1532" w:type="dxa"/>
          </w:tcPr>
          <w:p w14:paraId="791B02E5">
            <w:pPr>
              <w:spacing w:line="360" w:lineRule="auto"/>
              <w:rPr>
                <w:rFonts w:ascii="宋体" w:hAnsi="宋体"/>
                <w:color w:val="auto"/>
                <w:szCs w:val="21"/>
                <w:highlight w:val="none"/>
              </w:rPr>
            </w:pPr>
          </w:p>
        </w:tc>
      </w:tr>
      <w:tr w14:paraId="25B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5BBF68C">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16EE02AC">
            <w:pPr>
              <w:spacing w:line="360" w:lineRule="auto"/>
              <w:jc w:val="center"/>
              <w:textAlignment w:val="center"/>
              <w:rPr>
                <w:rFonts w:ascii="宋体" w:hAnsi="宋体"/>
                <w:color w:val="auto"/>
                <w:szCs w:val="21"/>
                <w:highlight w:val="none"/>
              </w:rPr>
            </w:pPr>
          </w:p>
        </w:tc>
        <w:tc>
          <w:tcPr>
            <w:tcW w:w="2154" w:type="dxa"/>
          </w:tcPr>
          <w:p w14:paraId="43E94199">
            <w:pPr>
              <w:spacing w:line="360" w:lineRule="auto"/>
              <w:rPr>
                <w:rFonts w:ascii="宋体" w:hAnsi="宋体"/>
                <w:color w:val="auto"/>
                <w:szCs w:val="21"/>
                <w:highlight w:val="none"/>
              </w:rPr>
            </w:pPr>
          </w:p>
        </w:tc>
        <w:tc>
          <w:tcPr>
            <w:tcW w:w="1171" w:type="dxa"/>
          </w:tcPr>
          <w:p w14:paraId="66865E80">
            <w:pPr>
              <w:spacing w:line="360" w:lineRule="auto"/>
              <w:rPr>
                <w:rFonts w:ascii="宋体" w:hAnsi="宋体"/>
                <w:color w:val="auto"/>
                <w:szCs w:val="21"/>
                <w:highlight w:val="none"/>
              </w:rPr>
            </w:pPr>
          </w:p>
        </w:tc>
        <w:tc>
          <w:tcPr>
            <w:tcW w:w="2180" w:type="dxa"/>
          </w:tcPr>
          <w:p w14:paraId="4BE43F1F">
            <w:pPr>
              <w:spacing w:line="360" w:lineRule="auto"/>
              <w:rPr>
                <w:rFonts w:ascii="宋体" w:hAnsi="宋体"/>
                <w:color w:val="auto"/>
                <w:szCs w:val="21"/>
                <w:highlight w:val="none"/>
              </w:rPr>
            </w:pPr>
          </w:p>
        </w:tc>
        <w:tc>
          <w:tcPr>
            <w:tcW w:w="1532" w:type="dxa"/>
          </w:tcPr>
          <w:p w14:paraId="0E567450">
            <w:pPr>
              <w:spacing w:line="360" w:lineRule="auto"/>
              <w:rPr>
                <w:rFonts w:ascii="宋体" w:hAnsi="宋体"/>
                <w:color w:val="auto"/>
                <w:szCs w:val="21"/>
                <w:highlight w:val="none"/>
              </w:rPr>
            </w:pPr>
          </w:p>
        </w:tc>
      </w:tr>
      <w:tr w14:paraId="365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E5148B8">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4F5F9761">
            <w:pPr>
              <w:spacing w:line="360" w:lineRule="auto"/>
              <w:jc w:val="center"/>
              <w:textAlignment w:val="center"/>
              <w:rPr>
                <w:rFonts w:ascii="宋体" w:hAnsi="宋体"/>
                <w:color w:val="auto"/>
                <w:szCs w:val="21"/>
                <w:highlight w:val="none"/>
              </w:rPr>
            </w:pPr>
          </w:p>
        </w:tc>
        <w:tc>
          <w:tcPr>
            <w:tcW w:w="2154" w:type="dxa"/>
          </w:tcPr>
          <w:p w14:paraId="213F4A98">
            <w:pPr>
              <w:spacing w:line="360" w:lineRule="auto"/>
              <w:rPr>
                <w:rFonts w:ascii="宋体" w:hAnsi="宋体"/>
                <w:color w:val="auto"/>
                <w:szCs w:val="21"/>
                <w:highlight w:val="none"/>
              </w:rPr>
            </w:pPr>
          </w:p>
        </w:tc>
        <w:tc>
          <w:tcPr>
            <w:tcW w:w="1171" w:type="dxa"/>
          </w:tcPr>
          <w:p w14:paraId="141D6158">
            <w:pPr>
              <w:spacing w:line="360" w:lineRule="auto"/>
              <w:rPr>
                <w:rFonts w:ascii="宋体" w:hAnsi="宋体"/>
                <w:color w:val="auto"/>
                <w:szCs w:val="21"/>
                <w:highlight w:val="none"/>
              </w:rPr>
            </w:pPr>
          </w:p>
        </w:tc>
        <w:tc>
          <w:tcPr>
            <w:tcW w:w="2180" w:type="dxa"/>
          </w:tcPr>
          <w:p w14:paraId="462C2251">
            <w:pPr>
              <w:spacing w:line="360" w:lineRule="auto"/>
              <w:rPr>
                <w:rFonts w:ascii="宋体" w:hAnsi="宋体"/>
                <w:color w:val="auto"/>
                <w:szCs w:val="21"/>
                <w:highlight w:val="none"/>
              </w:rPr>
            </w:pPr>
          </w:p>
        </w:tc>
        <w:tc>
          <w:tcPr>
            <w:tcW w:w="1532" w:type="dxa"/>
          </w:tcPr>
          <w:p w14:paraId="262D63DB">
            <w:pPr>
              <w:spacing w:line="360" w:lineRule="auto"/>
              <w:rPr>
                <w:rFonts w:ascii="宋体" w:hAnsi="宋体"/>
                <w:color w:val="auto"/>
                <w:szCs w:val="21"/>
                <w:highlight w:val="none"/>
              </w:rPr>
            </w:pPr>
          </w:p>
        </w:tc>
      </w:tr>
      <w:tr w14:paraId="41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CCC2E6">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485DB1FE">
            <w:pPr>
              <w:spacing w:line="360" w:lineRule="auto"/>
              <w:jc w:val="center"/>
              <w:textAlignment w:val="center"/>
              <w:rPr>
                <w:rFonts w:ascii="宋体" w:hAnsi="宋体"/>
                <w:color w:val="auto"/>
                <w:szCs w:val="21"/>
                <w:highlight w:val="none"/>
              </w:rPr>
            </w:pPr>
          </w:p>
        </w:tc>
        <w:tc>
          <w:tcPr>
            <w:tcW w:w="2154" w:type="dxa"/>
          </w:tcPr>
          <w:p w14:paraId="4D823F34">
            <w:pPr>
              <w:spacing w:line="360" w:lineRule="auto"/>
              <w:rPr>
                <w:rFonts w:ascii="宋体" w:hAnsi="宋体"/>
                <w:color w:val="auto"/>
                <w:szCs w:val="21"/>
                <w:highlight w:val="none"/>
              </w:rPr>
            </w:pPr>
          </w:p>
        </w:tc>
        <w:tc>
          <w:tcPr>
            <w:tcW w:w="1171" w:type="dxa"/>
          </w:tcPr>
          <w:p w14:paraId="18BF973E">
            <w:pPr>
              <w:spacing w:line="360" w:lineRule="auto"/>
              <w:rPr>
                <w:rFonts w:ascii="宋体" w:hAnsi="宋体"/>
                <w:color w:val="auto"/>
                <w:szCs w:val="21"/>
                <w:highlight w:val="none"/>
              </w:rPr>
            </w:pPr>
          </w:p>
        </w:tc>
        <w:tc>
          <w:tcPr>
            <w:tcW w:w="2180" w:type="dxa"/>
          </w:tcPr>
          <w:p w14:paraId="0919E7D7">
            <w:pPr>
              <w:spacing w:line="360" w:lineRule="auto"/>
              <w:rPr>
                <w:rFonts w:ascii="宋体" w:hAnsi="宋体"/>
                <w:color w:val="auto"/>
                <w:szCs w:val="21"/>
                <w:highlight w:val="none"/>
              </w:rPr>
            </w:pPr>
          </w:p>
        </w:tc>
        <w:tc>
          <w:tcPr>
            <w:tcW w:w="1532" w:type="dxa"/>
          </w:tcPr>
          <w:p w14:paraId="41DFCD11">
            <w:pPr>
              <w:spacing w:line="360" w:lineRule="auto"/>
              <w:rPr>
                <w:rFonts w:ascii="宋体" w:hAnsi="宋体"/>
                <w:color w:val="auto"/>
                <w:szCs w:val="21"/>
                <w:highlight w:val="none"/>
              </w:rPr>
            </w:pPr>
          </w:p>
        </w:tc>
      </w:tr>
    </w:tbl>
    <w:p w14:paraId="1D3C80C0">
      <w:pPr>
        <w:spacing w:line="480" w:lineRule="auto"/>
        <w:rPr>
          <w:rFonts w:ascii="宋体" w:hAnsi="宋体"/>
          <w:color w:val="auto"/>
          <w:sz w:val="24"/>
          <w:highlight w:val="none"/>
        </w:rPr>
      </w:pPr>
    </w:p>
    <w:p w14:paraId="35240AC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42BD997B">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7EB5D7D3">
      <w:pPr>
        <w:pStyle w:val="25"/>
        <w:ind w:firstLine="0" w:firstLineChars="0"/>
        <w:rPr>
          <w:rFonts w:hAnsi="宋体"/>
          <w:b/>
          <w:color w:val="auto"/>
          <w:sz w:val="24"/>
          <w:highlight w:val="none"/>
        </w:rPr>
      </w:pPr>
    </w:p>
    <w:p w14:paraId="2125B92F">
      <w:pPr>
        <w:pStyle w:val="20"/>
        <w:ind w:left="482" w:hanging="482"/>
        <w:rPr>
          <w:rFonts w:hAnsi="宋体"/>
          <w:b/>
          <w:color w:val="auto"/>
          <w:sz w:val="24"/>
          <w:highlight w:val="none"/>
        </w:rPr>
      </w:pPr>
    </w:p>
    <w:p w14:paraId="3F3DF98B">
      <w:pPr>
        <w:rPr>
          <w:rFonts w:hAnsi="宋体"/>
          <w:b/>
          <w:color w:val="auto"/>
          <w:sz w:val="24"/>
          <w:highlight w:val="none"/>
        </w:rPr>
      </w:pPr>
    </w:p>
    <w:p w14:paraId="479B2F8C">
      <w:pPr>
        <w:pStyle w:val="8"/>
        <w:rPr>
          <w:color w:val="auto"/>
          <w:highlight w:val="none"/>
        </w:rPr>
      </w:pPr>
    </w:p>
    <w:p w14:paraId="277BF6D6">
      <w:pPr>
        <w:widowControl/>
        <w:spacing w:line="357" w:lineRule="atLeast"/>
        <w:jc w:val="center"/>
        <w:textAlignment w:val="baseline"/>
        <w:rPr>
          <w:rFonts w:ascii="宋体" w:hAnsi="宋体" w:cs="宋体"/>
          <w:b/>
          <w:color w:val="auto"/>
          <w:kern w:val="0"/>
          <w:sz w:val="30"/>
          <w:szCs w:val="30"/>
          <w:highlight w:val="none"/>
          <w:u w:color="000000"/>
        </w:rPr>
      </w:pPr>
      <w:r>
        <w:rPr>
          <w:rFonts w:hint="eastAsia" w:ascii="宋体" w:hAnsi="宋体" w:cs="宋体"/>
          <w:b/>
          <w:color w:val="auto"/>
          <w:kern w:val="0"/>
          <w:sz w:val="30"/>
          <w:szCs w:val="30"/>
          <w:highlight w:val="none"/>
          <w:u w:color="000000"/>
        </w:rPr>
        <w:t>服务承诺书</w:t>
      </w:r>
    </w:p>
    <w:p w14:paraId="59B93593">
      <w:pPr>
        <w:rPr>
          <w:rFonts w:hAnsi="宋体"/>
          <w:b/>
          <w:color w:val="auto"/>
          <w:sz w:val="24"/>
          <w:highlight w:val="none"/>
        </w:rPr>
      </w:pPr>
    </w:p>
    <w:p w14:paraId="31492D55">
      <w:pPr>
        <w:rPr>
          <w:rFonts w:hAnsi="宋体"/>
          <w:b/>
          <w:color w:val="auto"/>
          <w:sz w:val="24"/>
          <w:highlight w:val="none"/>
        </w:rPr>
      </w:pPr>
    </w:p>
    <w:p w14:paraId="5F5CE30E">
      <w:pPr>
        <w:widowControl/>
        <w:spacing w:line="357" w:lineRule="atLeast"/>
        <w:ind w:firstLine="480" w:firstLineChars="200"/>
        <w:textAlignment w:val="baseline"/>
        <w:rPr>
          <w:rFonts w:ascii="宋体" w:hAnsi="宋体" w:cs="宋体"/>
          <w:color w:val="auto"/>
          <w:kern w:val="0"/>
          <w:sz w:val="24"/>
          <w:highlight w:val="none"/>
          <w:u w:color="000000"/>
        </w:rPr>
      </w:pPr>
    </w:p>
    <w:p w14:paraId="097F6D60">
      <w:pPr>
        <w:widowControl/>
        <w:spacing w:line="357" w:lineRule="atLeast"/>
        <w:textAlignment w:val="baseline"/>
        <w:rPr>
          <w:rFonts w:ascii="宋体" w:hAnsi="宋体" w:cs="宋体"/>
          <w:b/>
          <w:color w:val="auto"/>
          <w:kern w:val="0"/>
          <w:sz w:val="24"/>
          <w:highlight w:val="none"/>
          <w:u w:color="000000"/>
        </w:rPr>
      </w:pPr>
      <w:r>
        <w:rPr>
          <w:rFonts w:hint="eastAsia" w:ascii="宋体" w:hAnsi="宋体" w:cs="宋体"/>
          <w:color w:val="auto"/>
          <w:kern w:val="0"/>
          <w:sz w:val="24"/>
          <w:highlight w:val="none"/>
          <w:u w:color="000000"/>
        </w:rPr>
        <w:t>致：</w:t>
      </w:r>
      <w:r>
        <w:rPr>
          <w:rFonts w:hint="eastAsia" w:ascii="宋体" w:hAnsi="宋体" w:cs="宋体"/>
          <w:color w:val="auto"/>
          <w:kern w:val="0"/>
          <w:sz w:val="24"/>
          <w:highlight w:val="none"/>
          <w:u w:val="single" w:color="000000"/>
        </w:rPr>
        <w:t xml:space="preserve">          （采购人）     ：</w:t>
      </w:r>
    </w:p>
    <w:p w14:paraId="7893B4D1">
      <w:pPr>
        <w:widowControl/>
        <w:spacing w:line="800" w:lineRule="exact"/>
        <w:ind w:firstLine="480" w:firstLineChars="200"/>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color="000000"/>
        </w:rPr>
        <w:t>（供应商名称）对本招标文件的相关要求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color="000000"/>
        </w:rPr>
        <w:t>。若有幸中标将严格按照承诺进行服务。</w:t>
      </w:r>
    </w:p>
    <w:p w14:paraId="558CB7ED">
      <w:pPr>
        <w:widowControl/>
        <w:spacing w:line="480" w:lineRule="auto"/>
        <w:textAlignment w:val="baseline"/>
        <w:rPr>
          <w:rFonts w:ascii="宋体" w:hAnsi="宋体" w:cs="宋体"/>
          <w:color w:val="auto"/>
          <w:kern w:val="0"/>
          <w:sz w:val="24"/>
          <w:highlight w:val="none"/>
          <w:u w:color="000000"/>
        </w:rPr>
      </w:pPr>
    </w:p>
    <w:p w14:paraId="1278DEA2">
      <w:pPr>
        <w:widowControl/>
        <w:spacing w:line="480" w:lineRule="auto"/>
        <w:textAlignment w:val="baseline"/>
        <w:rPr>
          <w:rFonts w:ascii="宋体" w:hAnsi="宋体" w:cs="宋体"/>
          <w:color w:val="auto"/>
          <w:kern w:val="0"/>
          <w:sz w:val="24"/>
          <w:highlight w:val="none"/>
          <w:u w:color="000000"/>
        </w:rPr>
      </w:pPr>
    </w:p>
    <w:p w14:paraId="4201B708">
      <w:pPr>
        <w:widowControl/>
        <w:spacing w:line="44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特此声明</w:t>
      </w:r>
    </w:p>
    <w:p w14:paraId="56D78100">
      <w:pPr>
        <w:widowControl/>
        <w:spacing w:line="6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w:t>
      </w:r>
    </w:p>
    <w:p w14:paraId="247CC7B3">
      <w:pPr>
        <w:widowControl/>
        <w:spacing w:line="600" w:lineRule="exact"/>
        <w:textAlignment w:val="baseline"/>
        <w:rPr>
          <w:rFonts w:ascii="宋体" w:hAnsi="宋体" w:cs="宋体"/>
          <w:color w:val="auto"/>
          <w:kern w:val="0"/>
          <w:sz w:val="24"/>
          <w:highlight w:val="none"/>
          <w:u w:color="000000"/>
        </w:rPr>
      </w:pPr>
    </w:p>
    <w:p w14:paraId="6205EAAD">
      <w:pPr>
        <w:widowControl/>
        <w:spacing w:line="600" w:lineRule="exact"/>
        <w:textAlignment w:val="baseline"/>
        <w:rPr>
          <w:rFonts w:ascii="宋体" w:hAnsi="宋体" w:cs="宋体"/>
          <w:color w:val="auto"/>
          <w:kern w:val="0"/>
          <w:sz w:val="24"/>
          <w:highlight w:val="none"/>
          <w:u w:color="000000"/>
        </w:rPr>
      </w:pPr>
    </w:p>
    <w:p w14:paraId="1808E816">
      <w:pPr>
        <w:widowControl/>
        <w:spacing w:line="600" w:lineRule="exact"/>
        <w:textAlignment w:val="baseline"/>
        <w:rPr>
          <w:rFonts w:ascii="宋体" w:hAnsi="宋体" w:cs="宋体"/>
          <w:color w:val="auto"/>
          <w:kern w:val="0"/>
          <w:sz w:val="24"/>
          <w:highlight w:val="none"/>
          <w:u w:color="000000"/>
        </w:rPr>
      </w:pPr>
    </w:p>
    <w:p w14:paraId="28BC436C">
      <w:pPr>
        <w:widowControl/>
        <w:spacing w:line="600" w:lineRule="exact"/>
        <w:textAlignment w:val="baseline"/>
        <w:rPr>
          <w:rFonts w:ascii="宋体" w:hAnsi="宋体" w:cs="宋体"/>
          <w:color w:val="auto"/>
          <w:kern w:val="0"/>
          <w:sz w:val="24"/>
          <w:highlight w:val="none"/>
          <w:u w:color="000000"/>
        </w:rPr>
      </w:pPr>
    </w:p>
    <w:p w14:paraId="59735F3F">
      <w:pPr>
        <w:widowControl/>
        <w:spacing w:line="600" w:lineRule="exact"/>
        <w:textAlignment w:val="baseline"/>
        <w:rPr>
          <w:rFonts w:ascii="宋体" w:hAnsi="宋体" w:cs="宋体"/>
          <w:color w:val="auto"/>
          <w:kern w:val="0"/>
          <w:sz w:val="24"/>
          <w:highlight w:val="none"/>
          <w:u w:color="000000"/>
        </w:rPr>
      </w:pPr>
    </w:p>
    <w:p w14:paraId="3A19EBFF">
      <w:pPr>
        <w:widowControl/>
        <w:spacing w:line="300" w:lineRule="exact"/>
        <w:jc w:val="righ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法定代表人：</w:t>
      </w:r>
      <w:r>
        <w:rPr>
          <w:rFonts w:hint="eastAsia" w:ascii="宋体" w:hAnsi="宋体" w:cs="宋体"/>
          <w:color w:val="auto"/>
          <w:kern w:val="0"/>
          <w:sz w:val="24"/>
          <w:highlight w:val="none"/>
          <w:u w:val="single" w:color="000000"/>
        </w:rPr>
        <w:t xml:space="preserve">                （签字或盖章）          </w:t>
      </w:r>
    </w:p>
    <w:p w14:paraId="0F7F75FF">
      <w:pPr>
        <w:widowControl/>
        <w:spacing w:line="300" w:lineRule="exact"/>
        <w:textAlignment w:val="baseline"/>
        <w:rPr>
          <w:rFonts w:ascii="宋体" w:hAnsi="宋体" w:cs="宋体"/>
          <w:color w:val="auto"/>
          <w:kern w:val="0"/>
          <w:sz w:val="24"/>
          <w:highlight w:val="none"/>
          <w:u w:color="000000"/>
        </w:rPr>
      </w:pPr>
    </w:p>
    <w:p w14:paraId="27DE81BE">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w:t>
      </w:r>
    </w:p>
    <w:p w14:paraId="1E242227">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供应商名称：</w:t>
      </w:r>
      <w:r>
        <w:rPr>
          <w:rFonts w:hint="eastAsia" w:ascii="宋体" w:hAnsi="宋体" w:cs="宋体"/>
          <w:color w:val="auto"/>
          <w:kern w:val="0"/>
          <w:sz w:val="24"/>
          <w:highlight w:val="none"/>
          <w:u w:val="single" w:color="000000"/>
        </w:rPr>
        <w:t xml:space="preserve">        （盖章）           </w:t>
      </w:r>
    </w:p>
    <w:p w14:paraId="6B3EFA9F">
      <w:pPr>
        <w:widowControl/>
        <w:spacing w:line="300" w:lineRule="exact"/>
        <w:textAlignment w:val="baseline"/>
        <w:rPr>
          <w:rFonts w:ascii="宋体" w:hAnsi="宋体" w:cs="宋体"/>
          <w:color w:val="auto"/>
          <w:kern w:val="0"/>
          <w:sz w:val="24"/>
          <w:highlight w:val="none"/>
          <w:u w:color="000000"/>
        </w:rPr>
      </w:pPr>
    </w:p>
    <w:p w14:paraId="6A219866">
      <w:pPr>
        <w:widowControl/>
        <w:spacing w:line="400" w:lineRule="exact"/>
        <w:ind w:firstLine="4680" w:firstLineChars="1950"/>
        <w:textAlignment w:val="baseline"/>
        <w:rPr>
          <w:rFonts w:ascii="宋体" w:hAnsi="宋体" w:cs="宋体"/>
          <w:color w:val="auto"/>
          <w:kern w:val="0"/>
          <w:sz w:val="24"/>
          <w:highlight w:val="none"/>
          <w:u w:color="000000"/>
        </w:rPr>
      </w:pPr>
    </w:p>
    <w:p w14:paraId="25E07DF6">
      <w:pPr>
        <w:widowControl/>
        <w:spacing w:line="400" w:lineRule="exact"/>
        <w:ind w:firstLine="4320" w:firstLineChars="1800"/>
        <w:textAlignment w:val="baseline"/>
        <w:rPr>
          <w:rFonts w:ascii="宋体" w:hAnsi="宋体" w:cs="宋体"/>
          <w:color w:val="auto"/>
          <w:kern w:val="0"/>
          <w:sz w:val="24"/>
          <w:highlight w:val="none"/>
          <w:u w:val="single" w:color="000000"/>
        </w:rPr>
      </w:pPr>
      <w:r>
        <w:rPr>
          <w:rFonts w:hint="eastAsia" w:ascii="宋体" w:hAnsi="宋体" w:cs="宋体"/>
          <w:color w:val="auto"/>
          <w:kern w:val="0"/>
          <w:sz w:val="24"/>
          <w:highlight w:val="none"/>
          <w:u w:color="000000"/>
        </w:rPr>
        <w:t>日    期：</w:t>
      </w:r>
      <w:r>
        <w:rPr>
          <w:rFonts w:hint="eastAsia" w:ascii="宋体" w:hAnsi="宋体" w:cs="宋体"/>
          <w:color w:val="auto"/>
          <w:kern w:val="0"/>
          <w:sz w:val="24"/>
          <w:highlight w:val="none"/>
          <w:u w:val="single" w:color="000000"/>
        </w:rPr>
        <w:t xml:space="preserve">                                </w:t>
      </w:r>
    </w:p>
    <w:p w14:paraId="304D1857">
      <w:pPr>
        <w:widowControl/>
        <w:spacing w:line="400" w:lineRule="exact"/>
        <w:ind w:firstLine="4698" w:firstLineChars="1950"/>
        <w:textAlignment w:val="baseline"/>
        <w:rPr>
          <w:rFonts w:ascii="宋体" w:hAnsi="宋体" w:cs="宋体"/>
          <w:b/>
          <w:color w:val="auto"/>
          <w:kern w:val="0"/>
          <w:sz w:val="24"/>
          <w:highlight w:val="none"/>
          <w:u w:color="000000"/>
        </w:rPr>
      </w:pPr>
    </w:p>
    <w:p w14:paraId="18AB9082">
      <w:pPr>
        <w:pStyle w:val="20"/>
        <w:ind w:left="482" w:hanging="482"/>
        <w:rPr>
          <w:rFonts w:hAnsi="宋体"/>
          <w:b/>
          <w:color w:val="auto"/>
          <w:sz w:val="24"/>
          <w:highlight w:val="none"/>
        </w:rPr>
      </w:pPr>
    </w:p>
    <w:p w14:paraId="08D388F9">
      <w:pPr>
        <w:rPr>
          <w:rFonts w:hAnsi="宋体"/>
          <w:b/>
          <w:color w:val="auto"/>
          <w:sz w:val="24"/>
          <w:highlight w:val="none"/>
        </w:rPr>
      </w:pPr>
    </w:p>
    <w:p w14:paraId="363A5F59">
      <w:pPr>
        <w:pStyle w:val="8"/>
        <w:rPr>
          <w:color w:val="auto"/>
          <w:highlight w:val="none"/>
        </w:rPr>
      </w:pPr>
    </w:p>
    <w:p w14:paraId="78689738">
      <w:pPr>
        <w:rPr>
          <w:color w:val="auto"/>
          <w:highlight w:val="none"/>
        </w:rPr>
      </w:pPr>
    </w:p>
    <w:p w14:paraId="5F7E40E5">
      <w:pPr>
        <w:rPr>
          <w:color w:val="auto"/>
          <w:highlight w:val="none"/>
        </w:rPr>
      </w:pPr>
    </w:p>
    <w:p w14:paraId="098C6D48">
      <w:pPr>
        <w:rPr>
          <w:color w:val="auto"/>
          <w:highlight w:val="none"/>
        </w:rPr>
      </w:pPr>
    </w:p>
    <w:p w14:paraId="6B491FB2">
      <w:pPr>
        <w:rPr>
          <w:color w:val="auto"/>
          <w:highlight w:val="none"/>
        </w:rPr>
      </w:pPr>
    </w:p>
    <w:p w14:paraId="6F51E6DF">
      <w:pPr>
        <w:pStyle w:val="25"/>
        <w:ind w:firstLine="6104" w:firstLineChars="1900"/>
        <w:jc w:val="right"/>
        <w:rPr>
          <w:color w:val="auto"/>
          <w:highlight w:val="none"/>
        </w:rPr>
      </w:pPr>
      <w:r>
        <w:rPr>
          <w:rFonts w:hint="eastAsia"/>
          <w:b/>
          <w:bCs/>
          <w:color w:val="auto"/>
          <w:sz w:val="32"/>
          <w:szCs w:val="21"/>
          <w:highlight w:val="none"/>
        </w:rPr>
        <w:t>正本/副本</w:t>
      </w:r>
    </w:p>
    <w:p w14:paraId="3412F8EA">
      <w:pPr>
        <w:rPr>
          <w:color w:val="auto"/>
          <w:highlight w:val="none"/>
        </w:rPr>
      </w:pPr>
    </w:p>
    <w:p w14:paraId="56E4053E">
      <w:pPr>
        <w:rPr>
          <w:rFonts w:ascii="宋体"/>
          <w:color w:val="auto"/>
          <w:sz w:val="20"/>
          <w:highlight w:val="none"/>
        </w:rPr>
      </w:pPr>
    </w:p>
    <w:p w14:paraId="04AA0C5F">
      <w:pPr>
        <w:jc w:val="center"/>
        <w:outlineLvl w:val="1"/>
        <w:rPr>
          <w:rFonts w:ascii="宋体"/>
          <w:b/>
          <w:color w:val="auto"/>
          <w:sz w:val="44"/>
          <w:szCs w:val="44"/>
          <w:highlight w:val="none"/>
        </w:rPr>
      </w:pPr>
      <w:bookmarkStart w:id="178" w:name="_Toc26668"/>
      <w:bookmarkStart w:id="179" w:name="_Toc469495746"/>
      <w:r>
        <w:rPr>
          <w:rFonts w:hint="eastAsia" w:ascii="宋体"/>
          <w:b/>
          <w:color w:val="auto"/>
          <w:sz w:val="44"/>
          <w:szCs w:val="44"/>
          <w:highlight w:val="none"/>
        </w:rPr>
        <w:t>商务标</w:t>
      </w:r>
      <w:bookmarkEnd w:id="178"/>
      <w:bookmarkEnd w:id="179"/>
    </w:p>
    <w:p w14:paraId="0AA93AC2">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193FD854">
      <w:pPr>
        <w:jc w:val="center"/>
        <w:rPr>
          <w:rFonts w:ascii="宋体"/>
          <w:color w:val="auto"/>
          <w:sz w:val="36"/>
          <w:szCs w:val="36"/>
          <w:highlight w:val="none"/>
        </w:rPr>
      </w:pPr>
    </w:p>
    <w:p w14:paraId="415ADCAB">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55D050E7">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3BCA461">
      <w:pPr>
        <w:rPr>
          <w:rFonts w:ascii="宋体"/>
          <w:color w:val="auto"/>
          <w:sz w:val="28"/>
          <w:szCs w:val="28"/>
          <w:highlight w:val="none"/>
        </w:rPr>
      </w:pPr>
    </w:p>
    <w:p w14:paraId="66FAFDBE">
      <w:pPr>
        <w:rPr>
          <w:rFonts w:ascii="宋体"/>
          <w:color w:val="auto"/>
          <w:sz w:val="28"/>
          <w:szCs w:val="28"/>
          <w:highlight w:val="none"/>
        </w:rPr>
      </w:pPr>
    </w:p>
    <w:p w14:paraId="45E5606D">
      <w:pPr>
        <w:rPr>
          <w:rFonts w:ascii="宋体"/>
          <w:color w:val="auto"/>
          <w:sz w:val="28"/>
          <w:szCs w:val="28"/>
          <w:highlight w:val="none"/>
        </w:rPr>
      </w:pPr>
    </w:p>
    <w:p w14:paraId="0BB11FD9">
      <w:pPr>
        <w:rPr>
          <w:rFonts w:ascii="宋体"/>
          <w:color w:val="auto"/>
          <w:sz w:val="28"/>
          <w:szCs w:val="28"/>
          <w:highlight w:val="none"/>
        </w:rPr>
      </w:pPr>
    </w:p>
    <w:p w14:paraId="251F910A">
      <w:pPr>
        <w:rPr>
          <w:rFonts w:ascii="宋体"/>
          <w:color w:val="auto"/>
          <w:sz w:val="28"/>
          <w:szCs w:val="28"/>
          <w:highlight w:val="none"/>
        </w:rPr>
      </w:pPr>
    </w:p>
    <w:p w14:paraId="470BF1DE">
      <w:pPr>
        <w:rPr>
          <w:rFonts w:ascii="宋体"/>
          <w:color w:val="auto"/>
          <w:sz w:val="28"/>
          <w:szCs w:val="28"/>
          <w:highlight w:val="none"/>
        </w:rPr>
      </w:pPr>
    </w:p>
    <w:p w14:paraId="304AA532">
      <w:pPr>
        <w:rPr>
          <w:rFonts w:ascii="宋体"/>
          <w:color w:val="auto"/>
          <w:sz w:val="28"/>
          <w:szCs w:val="28"/>
          <w:highlight w:val="none"/>
        </w:rPr>
      </w:pPr>
    </w:p>
    <w:p w14:paraId="3AB036F2">
      <w:pPr>
        <w:pStyle w:val="8"/>
        <w:rPr>
          <w:color w:val="auto"/>
          <w:highlight w:val="none"/>
        </w:rPr>
      </w:pPr>
    </w:p>
    <w:p w14:paraId="1538BC35">
      <w:pPr>
        <w:rPr>
          <w:rFonts w:ascii="宋体"/>
          <w:color w:val="auto"/>
          <w:sz w:val="28"/>
          <w:szCs w:val="28"/>
          <w:highlight w:val="none"/>
        </w:rPr>
      </w:pPr>
    </w:p>
    <w:p w14:paraId="3C98EC02">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1A2EFC1">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2D48F95">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954A7A">
      <w:pPr>
        <w:pStyle w:val="25"/>
        <w:ind w:firstLine="562"/>
        <w:rPr>
          <w:rFonts w:hAnsi="宋体" w:cs="宋体"/>
          <w:b/>
          <w:bCs/>
          <w:color w:val="auto"/>
          <w:szCs w:val="28"/>
          <w:highlight w:val="none"/>
        </w:rPr>
      </w:pPr>
    </w:p>
    <w:p w14:paraId="7D571431">
      <w:pPr>
        <w:rPr>
          <w:rFonts w:hAnsi="宋体" w:cs="宋体"/>
          <w:b/>
          <w:bCs/>
          <w:color w:val="auto"/>
          <w:szCs w:val="28"/>
          <w:highlight w:val="none"/>
        </w:rPr>
      </w:pPr>
    </w:p>
    <w:p w14:paraId="10AE8EE5">
      <w:pPr>
        <w:spacing w:before="162" w:beforeLines="50" w:after="162" w:afterLines="50"/>
        <w:jc w:val="center"/>
        <w:rPr>
          <w:rFonts w:ascii="宋体"/>
          <w:b/>
          <w:bCs/>
          <w:color w:val="auto"/>
          <w:sz w:val="32"/>
          <w:szCs w:val="32"/>
          <w:highlight w:val="none"/>
        </w:rPr>
      </w:pPr>
    </w:p>
    <w:p w14:paraId="13AC9AAC">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5FB663C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731F3C2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7D260E3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1052D8F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5559614D">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以上材料须按顺序装订，须加盖供应商公章。供应商所提交的商务标文件的完整与否，直接影响供应商的评审。</w:t>
      </w:r>
    </w:p>
    <w:p w14:paraId="60F6B950">
      <w:pPr>
        <w:rPr>
          <w:color w:val="auto"/>
          <w:highlight w:val="none"/>
        </w:rPr>
      </w:pPr>
    </w:p>
    <w:p w14:paraId="743012F1">
      <w:pPr>
        <w:pStyle w:val="25"/>
        <w:ind w:firstLine="560"/>
        <w:rPr>
          <w:color w:val="auto"/>
          <w:highlight w:val="none"/>
        </w:rPr>
      </w:pPr>
    </w:p>
    <w:p w14:paraId="7353A26E">
      <w:pPr>
        <w:rPr>
          <w:color w:val="auto"/>
          <w:highlight w:val="none"/>
        </w:rPr>
      </w:pPr>
    </w:p>
    <w:p w14:paraId="6A8B51F7">
      <w:pPr>
        <w:pStyle w:val="25"/>
        <w:ind w:firstLine="560"/>
        <w:rPr>
          <w:color w:val="auto"/>
          <w:highlight w:val="none"/>
        </w:rPr>
      </w:pPr>
    </w:p>
    <w:p w14:paraId="7DD4623E">
      <w:pPr>
        <w:rPr>
          <w:color w:val="auto"/>
          <w:highlight w:val="none"/>
        </w:rPr>
      </w:pPr>
    </w:p>
    <w:p w14:paraId="57C9EBD8">
      <w:pPr>
        <w:pStyle w:val="3"/>
        <w:rPr>
          <w:color w:val="auto"/>
          <w:highlight w:val="none"/>
        </w:rPr>
      </w:pPr>
    </w:p>
    <w:p w14:paraId="7869991A">
      <w:pPr>
        <w:rPr>
          <w:color w:val="auto"/>
          <w:highlight w:val="none"/>
        </w:rPr>
      </w:pPr>
    </w:p>
    <w:p w14:paraId="06238045">
      <w:pPr>
        <w:pStyle w:val="3"/>
        <w:rPr>
          <w:color w:val="auto"/>
          <w:highlight w:val="none"/>
        </w:rPr>
      </w:pPr>
    </w:p>
    <w:p w14:paraId="1AFC9A6E">
      <w:pPr>
        <w:rPr>
          <w:color w:val="auto"/>
          <w:highlight w:val="none"/>
        </w:rPr>
      </w:pPr>
    </w:p>
    <w:p w14:paraId="67BD2CC0">
      <w:pPr>
        <w:pStyle w:val="3"/>
        <w:rPr>
          <w:color w:val="auto"/>
          <w:highlight w:val="none"/>
        </w:rPr>
      </w:pPr>
    </w:p>
    <w:p w14:paraId="5F6AA3D4">
      <w:pPr>
        <w:rPr>
          <w:color w:val="auto"/>
          <w:highlight w:val="none"/>
        </w:rPr>
      </w:pPr>
    </w:p>
    <w:p w14:paraId="191BF34E">
      <w:pPr>
        <w:pStyle w:val="3"/>
        <w:rPr>
          <w:color w:val="auto"/>
          <w:highlight w:val="none"/>
        </w:rPr>
      </w:pPr>
    </w:p>
    <w:p w14:paraId="6051B167">
      <w:pPr>
        <w:rPr>
          <w:color w:val="auto"/>
          <w:highlight w:val="none"/>
        </w:rPr>
      </w:pPr>
    </w:p>
    <w:p w14:paraId="390FB3DB">
      <w:pPr>
        <w:rPr>
          <w:color w:val="auto"/>
          <w:highlight w:val="none"/>
        </w:rPr>
      </w:pPr>
    </w:p>
    <w:p w14:paraId="2A73A091">
      <w:pPr>
        <w:pStyle w:val="25"/>
        <w:ind w:firstLine="560"/>
        <w:rPr>
          <w:color w:val="auto"/>
          <w:highlight w:val="none"/>
        </w:rPr>
      </w:pPr>
    </w:p>
    <w:p w14:paraId="30E3A382">
      <w:pPr>
        <w:pStyle w:val="25"/>
        <w:ind w:firstLine="560"/>
        <w:rPr>
          <w:color w:val="auto"/>
          <w:highlight w:val="none"/>
        </w:rPr>
      </w:pPr>
    </w:p>
    <w:p w14:paraId="28047AFC">
      <w:pPr>
        <w:pStyle w:val="25"/>
        <w:ind w:firstLine="560"/>
        <w:rPr>
          <w:color w:val="auto"/>
          <w:highlight w:val="none"/>
        </w:rPr>
      </w:pPr>
    </w:p>
    <w:p w14:paraId="4EEED755">
      <w:pPr>
        <w:pStyle w:val="20"/>
        <w:ind w:left="420" w:hanging="420"/>
        <w:rPr>
          <w:color w:val="auto"/>
          <w:highlight w:val="none"/>
        </w:rPr>
      </w:pPr>
    </w:p>
    <w:p w14:paraId="3BC7C427">
      <w:pPr>
        <w:pageBreakBefore/>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79BCD1B3">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6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5BC5AF72">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项目名称</w:t>
            </w:r>
          </w:p>
        </w:tc>
        <w:tc>
          <w:tcPr>
            <w:tcW w:w="7836" w:type="dxa"/>
            <w:vAlign w:val="center"/>
          </w:tcPr>
          <w:p w14:paraId="49E88626">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滁州学院2024年经管学院会议室设备采购及安装    </w:t>
            </w:r>
          </w:p>
        </w:tc>
      </w:tr>
      <w:tr w14:paraId="5CDD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F595139">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项目编号</w:t>
            </w:r>
          </w:p>
        </w:tc>
        <w:tc>
          <w:tcPr>
            <w:tcW w:w="7836" w:type="dxa"/>
            <w:vAlign w:val="center"/>
          </w:tcPr>
          <w:p w14:paraId="008DD97E">
            <w:pPr>
              <w:widowControl/>
              <w:spacing w:line="357" w:lineRule="atLeas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2024CG-059</w:t>
            </w:r>
          </w:p>
        </w:tc>
      </w:tr>
      <w:tr w14:paraId="7B3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357E4835">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投标供应商名称</w:t>
            </w:r>
          </w:p>
        </w:tc>
        <w:tc>
          <w:tcPr>
            <w:tcW w:w="7836" w:type="dxa"/>
          </w:tcPr>
          <w:p w14:paraId="48A4F44B">
            <w:pPr>
              <w:spacing w:line="460" w:lineRule="exact"/>
              <w:ind w:left="86" w:leftChars="41"/>
              <w:jc w:val="center"/>
              <w:rPr>
                <w:rFonts w:ascii="宋体" w:hAnsi="宋体" w:cs="宋体"/>
                <w:color w:val="auto"/>
                <w:sz w:val="24"/>
                <w:highlight w:val="none"/>
                <w:u w:color="000000"/>
              </w:rPr>
            </w:pPr>
          </w:p>
        </w:tc>
      </w:tr>
      <w:tr w14:paraId="521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621EC0F7">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总投标价\供货期限</w:t>
            </w:r>
          </w:p>
        </w:tc>
        <w:tc>
          <w:tcPr>
            <w:tcW w:w="7836" w:type="dxa"/>
            <w:vAlign w:val="center"/>
          </w:tcPr>
          <w:p w14:paraId="50DDBE63">
            <w:pPr>
              <w:widowControl/>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总投标价 （大写）：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65DDC310">
            <w:pPr>
              <w:widowControl/>
              <w:spacing w:line="360" w:lineRule="auto"/>
              <w:ind w:firstLine="1080" w:firstLineChars="450"/>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07913A9F">
            <w:pPr>
              <w:widowControl/>
              <w:spacing w:line="360" w:lineRule="auto"/>
              <w:textAlignment w:val="baseline"/>
              <w:rPr>
                <w:rFonts w:ascii="宋体" w:hAnsi="宋体" w:cs="宋体"/>
                <w:color w:val="auto"/>
                <w:kern w:val="0"/>
                <w:sz w:val="24"/>
                <w:highlight w:val="none"/>
                <w:u w:color="000000"/>
              </w:rPr>
            </w:pPr>
          </w:p>
          <w:p w14:paraId="69829843">
            <w:pPr>
              <w:widowControl/>
              <w:spacing w:line="360" w:lineRule="auto"/>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供货期限：         。</w:t>
            </w:r>
          </w:p>
        </w:tc>
      </w:tr>
    </w:tbl>
    <w:p w14:paraId="04708632">
      <w:pPr>
        <w:snapToGrid w:val="0"/>
        <w:spacing w:line="460" w:lineRule="exact"/>
        <w:ind w:left="2940" w:leftChars="1400" w:firstLine="723" w:firstLineChars="300"/>
        <w:textAlignment w:val="baseline"/>
        <w:rPr>
          <w:rFonts w:ascii="宋体"/>
          <w:b/>
          <w:color w:val="auto"/>
          <w:kern w:val="0"/>
          <w:sz w:val="24"/>
          <w:highlight w:val="none"/>
          <w:u w:color="000000"/>
        </w:rPr>
      </w:pPr>
    </w:p>
    <w:p w14:paraId="6BD8CF27">
      <w:pPr>
        <w:snapToGrid w:val="0"/>
        <w:spacing w:line="460" w:lineRule="exact"/>
        <w:ind w:left="2940" w:leftChars="1400" w:firstLine="723" w:firstLineChars="300"/>
        <w:textAlignment w:val="baseline"/>
        <w:rPr>
          <w:rFonts w:ascii="宋体"/>
          <w:b/>
          <w:color w:val="auto"/>
          <w:kern w:val="0"/>
          <w:sz w:val="24"/>
          <w:highlight w:val="none"/>
          <w:u w:color="000000"/>
        </w:rPr>
      </w:pPr>
    </w:p>
    <w:p w14:paraId="779004B3">
      <w:pPr>
        <w:snapToGrid w:val="0"/>
        <w:spacing w:line="460" w:lineRule="exact"/>
        <w:ind w:left="2940" w:leftChars="1400" w:firstLine="723" w:firstLineChars="300"/>
        <w:textAlignment w:val="baseline"/>
        <w:rPr>
          <w:rFonts w:ascii="宋体"/>
          <w:b/>
          <w:color w:val="auto"/>
          <w:kern w:val="0"/>
          <w:sz w:val="24"/>
          <w:highlight w:val="none"/>
          <w:u w:color="000000"/>
        </w:rPr>
      </w:pPr>
    </w:p>
    <w:p w14:paraId="6B1138D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0EBE8D04">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3F347E23">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5BD7DA95">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02E9661E">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4EFF3429">
      <w:pPr>
        <w:rPr>
          <w:color w:val="auto"/>
          <w:highlight w:val="none"/>
        </w:rPr>
      </w:pPr>
    </w:p>
    <w:p w14:paraId="2F80E9A1">
      <w:pPr>
        <w:rPr>
          <w:color w:val="auto"/>
          <w:highlight w:val="none"/>
        </w:rPr>
      </w:pPr>
    </w:p>
    <w:p w14:paraId="7F8FA312">
      <w:pPr>
        <w:pStyle w:val="8"/>
        <w:rPr>
          <w:color w:val="auto"/>
          <w:highlight w:val="none"/>
        </w:rPr>
      </w:pPr>
    </w:p>
    <w:p w14:paraId="446FE4B9">
      <w:pPr>
        <w:pStyle w:val="25"/>
        <w:ind w:firstLine="0" w:firstLineChars="0"/>
        <w:jc w:val="center"/>
        <w:rPr>
          <w:rFonts w:hAnsi="宋体" w:cs="宋体"/>
          <w:color w:val="auto"/>
          <w:sz w:val="24"/>
          <w:highlight w:val="none"/>
        </w:rPr>
      </w:pPr>
      <w:r>
        <w:rPr>
          <w:rFonts w:hint="eastAsia"/>
          <w:b/>
          <w:bCs/>
          <w:color w:val="auto"/>
          <w:highlight w:val="none"/>
        </w:rPr>
        <w:t>投  标  函</w:t>
      </w:r>
    </w:p>
    <w:p w14:paraId="13A6585D">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6F98A26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4D9A3EBA">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3165372B">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13023F0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（大写）</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58395B57">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5、一旦我方中标，为本项目提交的投标书一式三份，其中正本一份、副本二份。</w:t>
      </w:r>
    </w:p>
    <w:p w14:paraId="2B720A59">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5103C7D5">
      <w:pPr>
        <w:spacing w:line="440" w:lineRule="exact"/>
        <w:rPr>
          <w:rFonts w:ascii="宋体" w:hAnsi="宋体" w:cs="宋体"/>
          <w:color w:val="auto"/>
          <w:sz w:val="24"/>
          <w:highlight w:val="none"/>
        </w:rPr>
      </w:pPr>
      <w:r>
        <w:rPr>
          <w:rFonts w:hint="eastAsia" w:ascii="宋体" w:hAnsi="宋体" w:cs="宋体"/>
          <w:color w:val="auto"/>
          <w:sz w:val="24"/>
          <w:highlight w:val="none"/>
        </w:rPr>
        <w:t> </w:t>
      </w:r>
    </w:p>
    <w:p w14:paraId="19160582">
      <w:pPr>
        <w:spacing w:line="440" w:lineRule="exact"/>
        <w:rPr>
          <w:rFonts w:ascii="宋体" w:hAnsi="宋体" w:cs="宋体"/>
          <w:color w:val="auto"/>
          <w:sz w:val="24"/>
          <w:highlight w:val="none"/>
        </w:rPr>
      </w:pPr>
    </w:p>
    <w:p w14:paraId="7CDDF88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6A937A7A">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36CE7FD9">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2B0B8665">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742F8D0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5F416808">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传真：</w:t>
      </w:r>
    </w:p>
    <w:p w14:paraId="6B40E0BB">
      <w:pPr>
        <w:rPr>
          <w:rFonts w:ascii="宋体" w:hAnsi="宋体" w:cs="宋体"/>
          <w:b/>
          <w:color w:val="auto"/>
          <w:sz w:val="24"/>
          <w:highlight w:val="none"/>
        </w:rPr>
      </w:pPr>
    </w:p>
    <w:p w14:paraId="32FA605E">
      <w:pPr>
        <w:rPr>
          <w:rFonts w:ascii="宋体" w:hAnsi="宋体" w:cs="宋体"/>
          <w:b/>
          <w:color w:val="auto"/>
          <w:sz w:val="24"/>
          <w:highlight w:val="none"/>
        </w:rPr>
      </w:pPr>
    </w:p>
    <w:p w14:paraId="4A4FC87F">
      <w:pPr>
        <w:rPr>
          <w:rFonts w:ascii="宋体" w:hAnsi="宋体" w:cs="宋体"/>
          <w:b/>
          <w:color w:val="auto"/>
          <w:sz w:val="24"/>
          <w:highlight w:val="none"/>
        </w:rPr>
      </w:pPr>
    </w:p>
    <w:p w14:paraId="11B6DDC5">
      <w:pPr>
        <w:spacing w:before="10" w:after="10" w:line="440" w:lineRule="exact"/>
        <w:jc w:val="center"/>
        <w:rPr>
          <w:rFonts w:ascii="宋体" w:hAnsi="宋体" w:cs="宋体"/>
          <w:b/>
          <w:color w:val="auto"/>
          <w:sz w:val="30"/>
          <w:szCs w:val="30"/>
          <w:highlight w:val="none"/>
        </w:rPr>
      </w:pPr>
    </w:p>
    <w:p w14:paraId="7956FF65">
      <w:pPr>
        <w:spacing w:before="10" w:after="10" w:line="440" w:lineRule="exact"/>
        <w:jc w:val="center"/>
        <w:rPr>
          <w:rFonts w:ascii="宋体" w:hAnsi="宋体" w:cs="宋体"/>
          <w:b/>
          <w:color w:val="auto"/>
          <w:sz w:val="30"/>
          <w:szCs w:val="30"/>
          <w:highlight w:val="none"/>
        </w:rPr>
      </w:pPr>
    </w:p>
    <w:p w14:paraId="2DE94D8A">
      <w:pPr>
        <w:spacing w:before="10" w:after="10" w:line="440" w:lineRule="exact"/>
        <w:jc w:val="center"/>
        <w:rPr>
          <w:rFonts w:ascii="宋体" w:hAnsi="宋体" w:cs="宋体"/>
          <w:b/>
          <w:color w:val="auto"/>
          <w:sz w:val="30"/>
          <w:szCs w:val="30"/>
          <w:highlight w:val="none"/>
        </w:rPr>
      </w:pPr>
    </w:p>
    <w:p w14:paraId="3FBAF9F2">
      <w:pPr>
        <w:spacing w:before="10" w:after="1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分项报价表</w:t>
      </w:r>
    </w:p>
    <w:tbl>
      <w:tblPr>
        <w:tblStyle w:val="2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37"/>
        <w:gridCol w:w="1498"/>
        <w:gridCol w:w="741"/>
        <w:gridCol w:w="688"/>
        <w:gridCol w:w="1329"/>
        <w:gridCol w:w="1111"/>
      </w:tblGrid>
      <w:tr w14:paraId="1F3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3" w:type="dxa"/>
            <w:vAlign w:val="center"/>
          </w:tcPr>
          <w:p w14:paraId="03138DA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序号</w:t>
            </w:r>
          </w:p>
        </w:tc>
        <w:tc>
          <w:tcPr>
            <w:tcW w:w="2937" w:type="dxa"/>
            <w:vAlign w:val="center"/>
          </w:tcPr>
          <w:p w14:paraId="202E5095">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名称</w:t>
            </w:r>
          </w:p>
        </w:tc>
        <w:tc>
          <w:tcPr>
            <w:tcW w:w="1498" w:type="dxa"/>
            <w:vAlign w:val="center"/>
          </w:tcPr>
          <w:p w14:paraId="2BD622D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规格、型号、品牌及参数</w:t>
            </w:r>
          </w:p>
        </w:tc>
        <w:tc>
          <w:tcPr>
            <w:tcW w:w="741" w:type="dxa"/>
            <w:vAlign w:val="center"/>
          </w:tcPr>
          <w:p w14:paraId="5103AA95">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数量</w:t>
            </w:r>
          </w:p>
        </w:tc>
        <w:tc>
          <w:tcPr>
            <w:tcW w:w="688" w:type="dxa"/>
            <w:vAlign w:val="center"/>
          </w:tcPr>
          <w:p w14:paraId="14B4087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单位</w:t>
            </w:r>
          </w:p>
        </w:tc>
        <w:tc>
          <w:tcPr>
            <w:tcW w:w="1329" w:type="dxa"/>
            <w:vAlign w:val="center"/>
          </w:tcPr>
          <w:p w14:paraId="59B5C47A">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单价（元）</w:t>
            </w:r>
          </w:p>
        </w:tc>
        <w:tc>
          <w:tcPr>
            <w:tcW w:w="1111" w:type="dxa"/>
            <w:vAlign w:val="center"/>
          </w:tcPr>
          <w:p w14:paraId="2D3F50D7">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合价（元）</w:t>
            </w:r>
          </w:p>
        </w:tc>
      </w:tr>
      <w:tr w14:paraId="51F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3" w:type="dxa"/>
            <w:vAlign w:val="center"/>
          </w:tcPr>
          <w:p w14:paraId="395AB42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1</w:t>
            </w:r>
          </w:p>
        </w:tc>
        <w:tc>
          <w:tcPr>
            <w:tcW w:w="2937" w:type="dxa"/>
            <w:vAlign w:val="center"/>
          </w:tcPr>
          <w:p w14:paraId="67BE29B6">
            <w:pPr>
              <w:autoSpaceDE w:val="0"/>
              <w:autoSpaceDN w:val="0"/>
              <w:adjustRightInd w:val="0"/>
              <w:spacing w:line="440" w:lineRule="exact"/>
              <w:jc w:val="center"/>
              <w:rPr>
                <w:rFonts w:ascii="宋体" w:hAnsi="宋体" w:cs="宋体"/>
                <w:color w:val="auto"/>
                <w:szCs w:val="21"/>
                <w:highlight w:val="none"/>
              </w:rPr>
            </w:pPr>
          </w:p>
        </w:tc>
        <w:tc>
          <w:tcPr>
            <w:tcW w:w="1498" w:type="dxa"/>
            <w:vAlign w:val="center"/>
          </w:tcPr>
          <w:p w14:paraId="05531A64">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602817B0">
            <w:pPr>
              <w:autoSpaceDE w:val="0"/>
              <w:autoSpaceDN w:val="0"/>
              <w:adjustRightInd w:val="0"/>
              <w:spacing w:line="440" w:lineRule="exact"/>
              <w:jc w:val="center"/>
              <w:rPr>
                <w:rFonts w:ascii="宋体" w:hAnsi="宋体" w:cs="宋体"/>
                <w:color w:val="auto"/>
                <w:szCs w:val="21"/>
                <w:highlight w:val="none"/>
              </w:rPr>
            </w:pPr>
          </w:p>
        </w:tc>
        <w:tc>
          <w:tcPr>
            <w:tcW w:w="688" w:type="dxa"/>
            <w:vAlign w:val="center"/>
          </w:tcPr>
          <w:p w14:paraId="7D219EF7">
            <w:pPr>
              <w:spacing w:line="440" w:lineRule="exact"/>
              <w:jc w:val="center"/>
              <w:rPr>
                <w:rFonts w:ascii="宋体" w:hAnsi="宋体" w:cs="宋体"/>
                <w:color w:val="auto"/>
                <w:szCs w:val="21"/>
                <w:highlight w:val="none"/>
              </w:rPr>
            </w:pPr>
          </w:p>
        </w:tc>
        <w:tc>
          <w:tcPr>
            <w:tcW w:w="1329" w:type="dxa"/>
            <w:vAlign w:val="center"/>
          </w:tcPr>
          <w:p w14:paraId="0DDC5661">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58EA8966">
            <w:pPr>
              <w:pStyle w:val="25"/>
              <w:spacing w:line="440" w:lineRule="exact"/>
              <w:ind w:firstLine="0" w:firstLineChars="0"/>
              <w:jc w:val="center"/>
              <w:rPr>
                <w:rFonts w:hAnsi="宋体" w:cs="宋体"/>
                <w:color w:val="auto"/>
                <w:sz w:val="21"/>
                <w:szCs w:val="21"/>
                <w:highlight w:val="none"/>
              </w:rPr>
            </w:pPr>
          </w:p>
        </w:tc>
      </w:tr>
      <w:tr w14:paraId="0AB8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3" w:type="dxa"/>
            <w:vAlign w:val="center"/>
          </w:tcPr>
          <w:p w14:paraId="01E300EC">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2</w:t>
            </w:r>
          </w:p>
        </w:tc>
        <w:tc>
          <w:tcPr>
            <w:tcW w:w="2937" w:type="dxa"/>
            <w:vAlign w:val="center"/>
          </w:tcPr>
          <w:p w14:paraId="7CA7036C">
            <w:pPr>
              <w:spacing w:line="440" w:lineRule="exact"/>
              <w:jc w:val="center"/>
              <w:rPr>
                <w:rFonts w:ascii="宋体" w:hAnsi="宋体" w:cs="宋体"/>
                <w:color w:val="auto"/>
                <w:szCs w:val="21"/>
                <w:highlight w:val="none"/>
              </w:rPr>
            </w:pPr>
          </w:p>
        </w:tc>
        <w:tc>
          <w:tcPr>
            <w:tcW w:w="1498" w:type="dxa"/>
            <w:vAlign w:val="center"/>
          </w:tcPr>
          <w:p w14:paraId="2E3B2E17">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2F63E978">
            <w:pPr>
              <w:spacing w:line="440" w:lineRule="exact"/>
              <w:jc w:val="center"/>
              <w:rPr>
                <w:rFonts w:ascii="宋体" w:hAnsi="宋体" w:cs="宋体"/>
                <w:color w:val="auto"/>
                <w:szCs w:val="21"/>
                <w:highlight w:val="none"/>
              </w:rPr>
            </w:pPr>
          </w:p>
        </w:tc>
        <w:tc>
          <w:tcPr>
            <w:tcW w:w="688" w:type="dxa"/>
            <w:vAlign w:val="center"/>
          </w:tcPr>
          <w:p w14:paraId="27007484">
            <w:pPr>
              <w:spacing w:line="440" w:lineRule="exact"/>
              <w:jc w:val="center"/>
              <w:rPr>
                <w:rFonts w:ascii="宋体" w:hAnsi="宋体" w:cs="宋体"/>
                <w:color w:val="auto"/>
                <w:szCs w:val="21"/>
                <w:highlight w:val="none"/>
              </w:rPr>
            </w:pPr>
          </w:p>
        </w:tc>
        <w:tc>
          <w:tcPr>
            <w:tcW w:w="1329" w:type="dxa"/>
            <w:vAlign w:val="center"/>
          </w:tcPr>
          <w:p w14:paraId="5782B036">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4BAEF3AA">
            <w:pPr>
              <w:pStyle w:val="25"/>
              <w:spacing w:line="440" w:lineRule="exact"/>
              <w:ind w:firstLine="0" w:firstLineChars="0"/>
              <w:jc w:val="center"/>
              <w:rPr>
                <w:rFonts w:hAnsi="宋体" w:cs="宋体"/>
                <w:color w:val="auto"/>
                <w:sz w:val="21"/>
                <w:szCs w:val="21"/>
                <w:highlight w:val="none"/>
              </w:rPr>
            </w:pPr>
          </w:p>
        </w:tc>
      </w:tr>
      <w:tr w14:paraId="4C76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619A2C2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3</w:t>
            </w:r>
          </w:p>
        </w:tc>
        <w:tc>
          <w:tcPr>
            <w:tcW w:w="2937" w:type="dxa"/>
            <w:vAlign w:val="center"/>
          </w:tcPr>
          <w:p w14:paraId="729CE0E1">
            <w:pPr>
              <w:spacing w:line="440" w:lineRule="exact"/>
              <w:jc w:val="center"/>
              <w:rPr>
                <w:rFonts w:ascii="宋体" w:hAnsi="宋体" w:cs="宋体"/>
                <w:color w:val="auto"/>
                <w:szCs w:val="21"/>
                <w:highlight w:val="none"/>
              </w:rPr>
            </w:pPr>
          </w:p>
        </w:tc>
        <w:tc>
          <w:tcPr>
            <w:tcW w:w="1498" w:type="dxa"/>
            <w:vAlign w:val="center"/>
          </w:tcPr>
          <w:p w14:paraId="076C1C97">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59918247">
            <w:pPr>
              <w:spacing w:line="440" w:lineRule="exact"/>
              <w:jc w:val="center"/>
              <w:rPr>
                <w:rFonts w:ascii="宋体" w:hAnsi="宋体" w:cs="宋体"/>
                <w:color w:val="auto"/>
                <w:szCs w:val="21"/>
                <w:highlight w:val="none"/>
              </w:rPr>
            </w:pPr>
          </w:p>
        </w:tc>
        <w:tc>
          <w:tcPr>
            <w:tcW w:w="688" w:type="dxa"/>
            <w:vAlign w:val="center"/>
          </w:tcPr>
          <w:p w14:paraId="3E3FCB30">
            <w:pPr>
              <w:spacing w:line="440" w:lineRule="exact"/>
              <w:jc w:val="center"/>
              <w:rPr>
                <w:rFonts w:ascii="宋体" w:hAnsi="宋体" w:cs="宋体"/>
                <w:color w:val="auto"/>
                <w:szCs w:val="21"/>
                <w:highlight w:val="none"/>
              </w:rPr>
            </w:pPr>
          </w:p>
        </w:tc>
        <w:tc>
          <w:tcPr>
            <w:tcW w:w="1329" w:type="dxa"/>
            <w:vAlign w:val="center"/>
          </w:tcPr>
          <w:p w14:paraId="3062D1C5">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5A164A88">
            <w:pPr>
              <w:pStyle w:val="25"/>
              <w:spacing w:line="440" w:lineRule="exact"/>
              <w:ind w:firstLine="0" w:firstLineChars="0"/>
              <w:jc w:val="center"/>
              <w:rPr>
                <w:rFonts w:hAnsi="宋体" w:cs="宋体"/>
                <w:color w:val="auto"/>
                <w:sz w:val="21"/>
                <w:szCs w:val="21"/>
                <w:highlight w:val="none"/>
              </w:rPr>
            </w:pPr>
          </w:p>
        </w:tc>
      </w:tr>
      <w:tr w14:paraId="70B6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0AA2E6FF">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4</w:t>
            </w:r>
          </w:p>
        </w:tc>
        <w:tc>
          <w:tcPr>
            <w:tcW w:w="2937" w:type="dxa"/>
            <w:vAlign w:val="center"/>
          </w:tcPr>
          <w:p w14:paraId="64561F18">
            <w:pPr>
              <w:spacing w:line="440" w:lineRule="exact"/>
              <w:jc w:val="center"/>
              <w:rPr>
                <w:rFonts w:ascii="宋体" w:hAnsi="宋体" w:cs="宋体"/>
                <w:color w:val="auto"/>
                <w:szCs w:val="21"/>
                <w:highlight w:val="none"/>
              </w:rPr>
            </w:pPr>
          </w:p>
        </w:tc>
        <w:tc>
          <w:tcPr>
            <w:tcW w:w="1498" w:type="dxa"/>
            <w:vAlign w:val="center"/>
          </w:tcPr>
          <w:p w14:paraId="73FD3EBE">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3F295595">
            <w:pPr>
              <w:spacing w:line="440" w:lineRule="exact"/>
              <w:jc w:val="center"/>
              <w:rPr>
                <w:rFonts w:ascii="宋体" w:hAnsi="宋体" w:cs="宋体"/>
                <w:color w:val="auto"/>
                <w:szCs w:val="21"/>
                <w:highlight w:val="none"/>
              </w:rPr>
            </w:pPr>
          </w:p>
        </w:tc>
        <w:tc>
          <w:tcPr>
            <w:tcW w:w="688" w:type="dxa"/>
            <w:vAlign w:val="center"/>
          </w:tcPr>
          <w:p w14:paraId="737C1B92">
            <w:pPr>
              <w:spacing w:line="440" w:lineRule="exact"/>
              <w:jc w:val="center"/>
              <w:rPr>
                <w:rFonts w:ascii="宋体" w:hAnsi="宋体" w:cs="宋体"/>
                <w:color w:val="auto"/>
                <w:szCs w:val="21"/>
                <w:highlight w:val="none"/>
              </w:rPr>
            </w:pPr>
          </w:p>
        </w:tc>
        <w:tc>
          <w:tcPr>
            <w:tcW w:w="1329" w:type="dxa"/>
            <w:vAlign w:val="center"/>
          </w:tcPr>
          <w:p w14:paraId="0C7A30A6">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2153DA35">
            <w:pPr>
              <w:pStyle w:val="25"/>
              <w:spacing w:line="440" w:lineRule="exact"/>
              <w:ind w:firstLine="0" w:firstLineChars="0"/>
              <w:jc w:val="center"/>
              <w:rPr>
                <w:rFonts w:hAnsi="宋体" w:cs="宋体"/>
                <w:color w:val="auto"/>
                <w:sz w:val="21"/>
                <w:szCs w:val="21"/>
                <w:highlight w:val="none"/>
              </w:rPr>
            </w:pPr>
          </w:p>
        </w:tc>
      </w:tr>
      <w:tr w14:paraId="3D9C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5B19693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5</w:t>
            </w:r>
          </w:p>
        </w:tc>
        <w:tc>
          <w:tcPr>
            <w:tcW w:w="2937" w:type="dxa"/>
            <w:vAlign w:val="center"/>
          </w:tcPr>
          <w:p w14:paraId="377B4291">
            <w:pPr>
              <w:spacing w:line="440" w:lineRule="exact"/>
              <w:jc w:val="center"/>
              <w:rPr>
                <w:rFonts w:ascii="宋体" w:hAnsi="宋体" w:cs="宋体"/>
                <w:color w:val="auto"/>
                <w:szCs w:val="21"/>
                <w:highlight w:val="none"/>
              </w:rPr>
            </w:pPr>
          </w:p>
        </w:tc>
        <w:tc>
          <w:tcPr>
            <w:tcW w:w="1498" w:type="dxa"/>
            <w:vAlign w:val="center"/>
          </w:tcPr>
          <w:p w14:paraId="3830CE3C">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140949F4">
            <w:pPr>
              <w:spacing w:line="440" w:lineRule="exact"/>
              <w:jc w:val="center"/>
              <w:rPr>
                <w:rFonts w:ascii="宋体" w:hAnsi="宋体" w:cs="宋体"/>
                <w:color w:val="auto"/>
                <w:szCs w:val="21"/>
                <w:highlight w:val="none"/>
              </w:rPr>
            </w:pPr>
          </w:p>
        </w:tc>
        <w:tc>
          <w:tcPr>
            <w:tcW w:w="688" w:type="dxa"/>
            <w:vAlign w:val="center"/>
          </w:tcPr>
          <w:p w14:paraId="208F0575">
            <w:pPr>
              <w:spacing w:line="440" w:lineRule="exact"/>
              <w:jc w:val="center"/>
              <w:rPr>
                <w:rFonts w:ascii="宋体" w:hAnsi="宋体" w:cs="宋体"/>
                <w:color w:val="auto"/>
                <w:szCs w:val="21"/>
                <w:highlight w:val="none"/>
              </w:rPr>
            </w:pPr>
          </w:p>
        </w:tc>
        <w:tc>
          <w:tcPr>
            <w:tcW w:w="1329" w:type="dxa"/>
            <w:vAlign w:val="center"/>
          </w:tcPr>
          <w:p w14:paraId="3F2C5397">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11508437">
            <w:pPr>
              <w:pStyle w:val="25"/>
              <w:spacing w:line="440" w:lineRule="exact"/>
              <w:ind w:firstLine="0" w:firstLineChars="0"/>
              <w:jc w:val="center"/>
              <w:rPr>
                <w:rFonts w:hAnsi="宋体" w:cs="宋体"/>
                <w:color w:val="auto"/>
                <w:sz w:val="21"/>
                <w:szCs w:val="21"/>
                <w:highlight w:val="none"/>
              </w:rPr>
            </w:pPr>
          </w:p>
        </w:tc>
      </w:tr>
      <w:tr w14:paraId="4CAF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7DAE50D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6</w:t>
            </w:r>
          </w:p>
        </w:tc>
        <w:tc>
          <w:tcPr>
            <w:tcW w:w="2937" w:type="dxa"/>
            <w:vAlign w:val="center"/>
          </w:tcPr>
          <w:p w14:paraId="2BBB8487">
            <w:pPr>
              <w:spacing w:line="440" w:lineRule="exact"/>
              <w:jc w:val="center"/>
              <w:rPr>
                <w:rFonts w:ascii="宋体" w:hAnsi="宋体" w:cs="宋体"/>
                <w:color w:val="auto"/>
                <w:szCs w:val="21"/>
                <w:highlight w:val="none"/>
              </w:rPr>
            </w:pPr>
          </w:p>
        </w:tc>
        <w:tc>
          <w:tcPr>
            <w:tcW w:w="1498" w:type="dxa"/>
            <w:vAlign w:val="center"/>
          </w:tcPr>
          <w:p w14:paraId="539883C3">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7301D12B">
            <w:pPr>
              <w:spacing w:line="440" w:lineRule="exact"/>
              <w:jc w:val="center"/>
              <w:rPr>
                <w:rFonts w:ascii="宋体" w:hAnsi="宋体" w:cs="宋体"/>
                <w:color w:val="auto"/>
                <w:szCs w:val="21"/>
                <w:highlight w:val="none"/>
              </w:rPr>
            </w:pPr>
          </w:p>
        </w:tc>
        <w:tc>
          <w:tcPr>
            <w:tcW w:w="688" w:type="dxa"/>
            <w:vAlign w:val="center"/>
          </w:tcPr>
          <w:p w14:paraId="3D2DF4EF">
            <w:pPr>
              <w:spacing w:line="440" w:lineRule="exact"/>
              <w:jc w:val="center"/>
              <w:rPr>
                <w:rFonts w:ascii="宋体" w:hAnsi="宋体" w:cs="宋体"/>
                <w:color w:val="auto"/>
                <w:szCs w:val="21"/>
                <w:highlight w:val="none"/>
              </w:rPr>
            </w:pPr>
          </w:p>
        </w:tc>
        <w:tc>
          <w:tcPr>
            <w:tcW w:w="1329" w:type="dxa"/>
            <w:vAlign w:val="center"/>
          </w:tcPr>
          <w:p w14:paraId="7A3C46CB">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4300DDD4">
            <w:pPr>
              <w:pStyle w:val="25"/>
              <w:spacing w:line="440" w:lineRule="exact"/>
              <w:ind w:firstLine="0" w:firstLineChars="0"/>
              <w:jc w:val="center"/>
              <w:rPr>
                <w:rFonts w:hAnsi="宋体" w:cs="宋体"/>
                <w:color w:val="auto"/>
                <w:sz w:val="21"/>
                <w:szCs w:val="21"/>
                <w:highlight w:val="none"/>
              </w:rPr>
            </w:pPr>
          </w:p>
        </w:tc>
      </w:tr>
      <w:tr w14:paraId="40EA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3" w:type="dxa"/>
            <w:vAlign w:val="center"/>
          </w:tcPr>
          <w:p w14:paraId="7208487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w:t>
            </w:r>
          </w:p>
        </w:tc>
        <w:tc>
          <w:tcPr>
            <w:tcW w:w="2937" w:type="dxa"/>
            <w:vAlign w:val="center"/>
          </w:tcPr>
          <w:p w14:paraId="37442F76">
            <w:pPr>
              <w:spacing w:line="440" w:lineRule="exact"/>
              <w:jc w:val="center"/>
              <w:rPr>
                <w:rFonts w:ascii="宋体" w:hAnsi="宋体" w:cs="宋体"/>
                <w:color w:val="auto"/>
                <w:szCs w:val="21"/>
                <w:highlight w:val="none"/>
              </w:rPr>
            </w:pPr>
          </w:p>
        </w:tc>
        <w:tc>
          <w:tcPr>
            <w:tcW w:w="1498" w:type="dxa"/>
            <w:vAlign w:val="center"/>
          </w:tcPr>
          <w:p w14:paraId="3975FF38">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30EEFDE1">
            <w:pPr>
              <w:spacing w:line="440" w:lineRule="exact"/>
              <w:jc w:val="center"/>
              <w:rPr>
                <w:rFonts w:ascii="宋体" w:hAnsi="宋体" w:cs="宋体"/>
                <w:color w:val="auto"/>
                <w:szCs w:val="21"/>
                <w:highlight w:val="none"/>
              </w:rPr>
            </w:pPr>
          </w:p>
        </w:tc>
        <w:tc>
          <w:tcPr>
            <w:tcW w:w="688" w:type="dxa"/>
            <w:vAlign w:val="center"/>
          </w:tcPr>
          <w:p w14:paraId="68062CEE">
            <w:pPr>
              <w:spacing w:line="440" w:lineRule="exact"/>
              <w:jc w:val="center"/>
              <w:rPr>
                <w:rFonts w:ascii="宋体" w:hAnsi="宋体" w:cs="宋体"/>
                <w:color w:val="auto"/>
                <w:szCs w:val="21"/>
                <w:highlight w:val="none"/>
              </w:rPr>
            </w:pPr>
          </w:p>
        </w:tc>
        <w:tc>
          <w:tcPr>
            <w:tcW w:w="1329" w:type="dxa"/>
            <w:vAlign w:val="center"/>
          </w:tcPr>
          <w:p w14:paraId="7CAAD941">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0C40CF14">
            <w:pPr>
              <w:pStyle w:val="25"/>
              <w:spacing w:line="440" w:lineRule="exact"/>
              <w:ind w:firstLine="0" w:firstLineChars="0"/>
              <w:jc w:val="center"/>
              <w:rPr>
                <w:rFonts w:hAnsi="宋体" w:cs="宋体"/>
                <w:color w:val="auto"/>
                <w:sz w:val="21"/>
                <w:szCs w:val="21"/>
                <w:highlight w:val="none"/>
              </w:rPr>
            </w:pPr>
          </w:p>
        </w:tc>
      </w:tr>
    </w:tbl>
    <w:p w14:paraId="68D0889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 注：</w:t>
      </w:r>
    </w:p>
    <w:p w14:paraId="23163A8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所有投标只能选择一种方案，单价和合价的报价只能是唯一，且须列出详细的分项报价。</w:t>
      </w:r>
      <w:r>
        <w:rPr>
          <w:rFonts w:hint="eastAsia" w:ascii="宋体" w:hAnsi="宋体" w:cs="宋体"/>
          <w:color w:val="auto"/>
          <w:szCs w:val="21"/>
          <w:highlight w:val="none"/>
        </w:rPr>
        <w:t>（与采购清单项相一致，不得缺项，否则视同包含在其他项目。）</w:t>
      </w:r>
    </w:p>
    <w:p w14:paraId="26D0B253">
      <w:pPr>
        <w:tabs>
          <w:tab w:val="left" w:pos="312"/>
        </w:tabs>
        <w:spacing w:line="440" w:lineRule="exact"/>
        <w:rPr>
          <w:rFonts w:ascii="宋体" w:hAnsi="宋体" w:cs="宋体"/>
          <w:color w:val="auto"/>
          <w:szCs w:val="21"/>
          <w:highlight w:val="none"/>
          <w:lang w:val="zh-CN"/>
        </w:rPr>
      </w:pPr>
      <w:r>
        <w:rPr>
          <w:rFonts w:hint="eastAsia" w:ascii="宋体"/>
          <w:color w:val="auto"/>
          <w:szCs w:val="21"/>
          <w:highlight w:val="none"/>
        </w:rPr>
        <w:t>2、</w:t>
      </w:r>
      <w:r>
        <w:rPr>
          <w:rFonts w:hint="eastAsia" w:ascii="宋体" w:hAnsi="宋体" w:cs="宋体"/>
          <w:color w:val="auto"/>
          <w:szCs w:val="21"/>
          <w:highlight w:val="none"/>
          <w:lang w:val="zh-CN"/>
        </w:rPr>
        <w:t>投标报价采用综合单价法，</w:t>
      </w:r>
      <w:r>
        <w:rPr>
          <w:rFonts w:hint="eastAsia" w:ascii="宋体" w:hAnsi="宋体" w:cs="宋体"/>
          <w:color w:val="auto"/>
          <w:kern w:val="0"/>
          <w:szCs w:val="21"/>
          <w:highlight w:val="none"/>
          <w:lang w:bidi="ar"/>
        </w:rPr>
        <w:t>综合单价包括但不限于为完成项目全部内容所发生的</w:t>
      </w:r>
      <w:r>
        <w:rPr>
          <w:rFonts w:hint="eastAsia" w:ascii="宋体" w:hAnsi="宋体" w:cs="宋体"/>
          <w:color w:val="auto"/>
          <w:szCs w:val="21"/>
          <w:highlight w:val="none"/>
        </w:rPr>
        <w:t>：货物设备费、人工费、材料费（含主材及辅材）、装卸费、运输费、安装费、调试费、管理费、利润、风险费用、代理费及后期服务及国家对中标单位征收的各种税费等所有一切费用，采购人不再为此项目支付任何费用，综合单价今后将不做任何调整</w:t>
      </w:r>
      <w:r>
        <w:rPr>
          <w:rFonts w:hint="eastAsia" w:ascii="宋体" w:hAnsi="宋体" w:cs="宋体"/>
          <w:color w:val="auto"/>
          <w:szCs w:val="21"/>
          <w:highlight w:val="none"/>
          <w:lang w:val="zh-CN"/>
        </w:rPr>
        <w:t>。</w:t>
      </w:r>
    </w:p>
    <w:p w14:paraId="2F55ED19">
      <w:pPr>
        <w:spacing w:line="440" w:lineRule="exact"/>
        <w:ind w:firstLine="420" w:firstLineChars="200"/>
        <w:rPr>
          <w:rFonts w:ascii="宋体"/>
          <w:bCs/>
          <w:color w:val="auto"/>
          <w:szCs w:val="21"/>
          <w:highlight w:val="none"/>
        </w:rPr>
      </w:pPr>
    </w:p>
    <w:p w14:paraId="54A7975D">
      <w:pPr>
        <w:spacing w:line="600" w:lineRule="exact"/>
        <w:rPr>
          <w:rFonts w:ascii="宋体" w:hAnsi="宋体" w:cs="宋体"/>
          <w:color w:val="auto"/>
          <w:sz w:val="24"/>
          <w:highlight w:val="none"/>
        </w:rPr>
      </w:pPr>
    </w:p>
    <w:p w14:paraId="3C669CE8">
      <w:pPr>
        <w:spacing w:line="6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法定代表人或代理人（被授权人）：</w:t>
      </w:r>
      <w:r>
        <w:rPr>
          <w:rFonts w:hint="eastAsia" w:ascii="宋体" w:hAnsi="宋体" w:cs="宋体"/>
          <w:color w:val="auto"/>
          <w:sz w:val="24"/>
          <w:highlight w:val="none"/>
          <w:u w:val="single"/>
        </w:rPr>
        <w:t xml:space="preserve">                （签字或盖章）          </w:t>
      </w:r>
    </w:p>
    <w:p w14:paraId="479E4D1E">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投标供应商名称：</w:t>
      </w:r>
      <w:r>
        <w:rPr>
          <w:rFonts w:hint="eastAsia" w:ascii="宋体" w:hAnsi="宋体" w:cs="宋体"/>
          <w:color w:val="auto"/>
          <w:sz w:val="24"/>
          <w:highlight w:val="none"/>
          <w:u w:val="single"/>
        </w:rPr>
        <w:t xml:space="preserve">        （公章）          </w:t>
      </w:r>
    </w:p>
    <w:p w14:paraId="1F0153C3">
      <w:pPr>
        <w:spacing w:line="600" w:lineRule="exact"/>
        <w:ind w:firstLine="4680" w:firstLineChars="1950"/>
        <w:rPr>
          <w:rFonts w:ascii="宋体" w:hAnsi="宋体" w:cs="宋体"/>
          <w:color w:val="auto"/>
          <w:sz w:val="24"/>
          <w:highlight w:val="none"/>
          <w:u w:val="single"/>
        </w:rPr>
      </w:pPr>
      <w:r>
        <w:rPr>
          <w:rFonts w:hint="eastAsia" w:ascii="宋体" w:hAnsi="宋体" w:cs="宋体"/>
          <w:color w:val="auto"/>
          <w:sz w:val="24"/>
          <w:highlight w:val="none"/>
        </w:rPr>
        <w:t>日    期：</w:t>
      </w:r>
    </w:p>
    <w:p w14:paraId="3BF2B904">
      <w:pPr>
        <w:rPr>
          <w:rFonts w:ascii="宋体" w:hAnsi="宋体" w:cs="宋体"/>
          <w:b/>
          <w:color w:val="auto"/>
          <w:sz w:val="24"/>
          <w:highlight w:val="none"/>
        </w:rPr>
      </w:pPr>
    </w:p>
    <w:p w14:paraId="71CB7B83">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80" w:name="_Toc15676"/>
      <w:r>
        <w:rPr>
          <w:rFonts w:hint="eastAsia" w:ascii="宋体" w:hAnsi="宋体" w:cs="宋体"/>
          <w:b/>
          <w:color w:val="auto"/>
          <w:sz w:val="32"/>
          <w:szCs w:val="32"/>
          <w:highlight w:val="none"/>
        </w:rPr>
        <w:t>第六章  采购单位、招标代理机构对本采购文件的确认</w:t>
      </w:r>
      <w:bookmarkEnd w:id="180"/>
    </w:p>
    <w:p w14:paraId="264E4674">
      <w:pPr>
        <w:pStyle w:val="8"/>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4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14:paraId="23F19F58">
            <w:pPr>
              <w:adjustRightInd w:val="0"/>
              <w:snapToGrid w:val="0"/>
              <w:spacing w:line="320" w:lineRule="exact"/>
              <w:rPr>
                <w:rFonts w:ascii="宋体" w:hAnsi="宋体" w:cs="宋体"/>
                <w:color w:val="auto"/>
                <w:sz w:val="30"/>
                <w:szCs w:val="30"/>
                <w:highlight w:val="none"/>
              </w:rPr>
            </w:pPr>
          </w:p>
          <w:p w14:paraId="077AA639">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滁州学院2024年经管学院会议室设备采购及安装     </w:t>
            </w:r>
            <w:r>
              <w:rPr>
                <w:rFonts w:hint="eastAsia" w:ascii="宋体" w:hAnsi="宋体" w:cs="宋体"/>
                <w:color w:val="auto"/>
                <w:sz w:val="30"/>
                <w:highlight w:val="none"/>
              </w:rPr>
              <w:t>的采购文件进行确认。</w:t>
            </w:r>
          </w:p>
          <w:p w14:paraId="0747957A">
            <w:pPr>
              <w:spacing w:line="600" w:lineRule="exact"/>
              <w:ind w:firstLine="560" w:firstLineChars="200"/>
              <w:jc w:val="left"/>
              <w:rPr>
                <w:rFonts w:ascii="宋体" w:cs="宋体"/>
                <w:color w:val="auto"/>
                <w:sz w:val="28"/>
                <w:szCs w:val="28"/>
                <w:highlight w:val="none"/>
              </w:rPr>
            </w:pPr>
          </w:p>
          <w:p w14:paraId="603E28B5">
            <w:pPr>
              <w:spacing w:line="600" w:lineRule="exact"/>
              <w:ind w:firstLine="560" w:firstLineChars="200"/>
              <w:jc w:val="left"/>
              <w:rPr>
                <w:rFonts w:ascii="宋体" w:cs="宋体"/>
                <w:color w:val="auto"/>
                <w:sz w:val="28"/>
                <w:szCs w:val="28"/>
                <w:highlight w:val="none"/>
              </w:rPr>
            </w:pPr>
            <w:r>
              <w:rPr>
                <w:rFonts w:hint="eastAsia" w:ascii="宋体" w:cs="宋体"/>
                <w:color w:val="auto"/>
                <w:sz w:val="28"/>
                <w:szCs w:val="28"/>
                <w:highlight w:val="none"/>
              </w:rPr>
              <w:t>采购单位：</w:t>
            </w:r>
            <w:r>
              <w:rPr>
                <w:rFonts w:hint="eastAsia" w:ascii="宋体" w:hAnsi="宋体"/>
                <w:color w:val="auto"/>
                <w:sz w:val="30"/>
                <w:highlight w:val="none"/>
              </w:rPr>
              <w:t>资产与实验室管理处</w:t>
            </w:r>
          </w:p>
          <w:p w14:paraId="4BAC9B38">
            <w:pPr>
              <w:spacing w:line="600" w:lineRule="exact"/>
              <w:ind w:firstLine="560" w:firstLineChars="200"/>
              <w:jc w:val="left"/>
              <w:rPr>
                <w:rFonts w:ascii="宋体" w:hAnsi="宋体"/>
                <w:color w:val="auto"/>
                <w:sz w:val="30"/>
                <w:highlight w:val="none"/>
              </w:rPr>
            </w:pPr>
            <w:r>
              <w:rPr>
                <w:rFonts w:hint="eastAsia" w:ascii="宋体" w:cs="宋体"/>
                <w:color w:val="auto"/>
                <w:sz w:val="28"/>
                <w:szCs w:val="28"/>
                <w:highlight w:val="none"/>
              </w:rPr>
              <w:t>联系人</w:t>
            </w:r>
            <w:r>
              <w:rPr>
                <w:rFonts w:hint="eastAsia" w:ascii="宋体" w:hAnsi="宋体"/>
                <w:color w:val="auto"/>
                <w:sz w:val="30"/>
                <w:highlight w:val="none"/>
              </w:rPr>
              <w:t>：</w:t>
            </w:r>
            <w:r>
              <w:rPr>
                <w:rFonts w:hint="eastAsia" w:ascii="宋体" w:hAnsi="宋体"/>
                <w:color w:val="auto"/>
                <w:sz w:val="30"/>
                <w:highlight w:val="none"/>
                <w:lang w:val="en-US" w:eastAsia="zh-CN"/>
              </w:rPr>
              <w:t>李</w:t>
            </w:r>
            <w:r>
              <w:rPr>
                <w:rFonts w:hint="eastAsia" w:ascii="宋体" w:hAnsi="宋体"/>
                <w:color w:val="auto"/>
                <w:sz w:val="30"/>
                <w:highlight w:val="none"/>
              </w:rPr>
              <w:t>老师、王老师</w:t>
            </w:r>
          </w:p>
          <w:p w14:paraId="37CB89A9">
            <w:pPr>
              <w:spacing w:line="700" w:lineRule="exact"/>
              <w:ind w:firstLine="560" w:firstLineChars="200"/>
              <w:rPr>
                <w:rFonts w:ascii="宋体" w:hAnsi="宋体" w:cs="宋体"/>
                <w:color w:val="auto"/>
                <w:sz w:val="30"/>
                <w:highlight w:val="none"/>
              </w:rPr>
            </w:pPr>
            <w:r>
              <w:rPr>
                <w:rFonts w:hint="eastAsia" w:ascii="宋体" w:cs="宋体"/>
                <w:color w:val="auto"/>
                <w:sz w:val="28"/>
                <w:szCs w:val="28"/>
                <w:highlight w:val="none"/>
              </w:rPr>
              <w:t>联系电话：0550-3512003、18855052517　　</w:t>
            </w:r>
          </w:p>
          <w:p w14:paraId="166CFBD4">
            <w:pPr>
              <w:spacing w:line="500" w:lineRule="exact"/>
              <w:ind w:firstLine="300" w:firstLineChars="100"/>
              <w:rPr>
                <w:rFonts w:ascii="宋体" w:hAnsi="宋体" w:cs="宋体"/>
                <w:color w:val="auto"/>
                <w:sz w:val="30"/>
                <w:highlight w:val="none"/>
              </w:rPr>
            </w:pPr>
          </w:p>
          <w:p w14:paraId="6E05A8EA">
            <w:pPr>
              <w:widowControl/>
              <w:spacing w:line="440" w:lineRule="exact"/>
              <w:ind w:left="-197" w:leftChars="-94" w:right="-313" w:rightChars="-149"/>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6A2DFBFC">
            <w:pPr>
              <w:pStyle w:val="19"/>
              <w:rPr>
                <w:color w:val="auto"/>
                <w:highlight w:val="none"/>
              </w:rPr>
            </w:pPr>
          </w:p>
          <w:p w14:paraId="0128F0CE">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1AAAC4C9">
            <w:pPr>
              <w:ind w:firstLine="6600" w:firstLineChars="2200"/>
              <w:rPr>
                <w:rFonts w:ascii="宋体" w:hAnsi="宋体" w:cs="宋体"/>
                <w:color w:val="auto"/>
                <w:sz w:val="30"/>
                <w:highlight w:val="none"/>
              </w:rPr>
            </w:pPr>
            <w:r>
              <w:rPr>
                <w:rFonts w:hint="eastAsia" w:ascii="宋体" w:hAnsi="宋体" w:cs="宋体"/>
                <w:color w:val="auto"/>
                <w:sz w:val="30"/>
                <w:highlight w:val="none"/>
              </w:rPr>
              <w:t>2024年1</w:t>
            </w:r>
            <w:r>
              <w:rPr>
                <w:rFonts w:hint="eastAsia" w:ascii="宋体" w:hAnsi="宋体" w:cs="宋体"/>
                <w:color w:val="auto"/>
                <w:sz w:val="30"/>
                <w:highlight w:val="none"/>
                <w:lang w:val="en-US" w:eastAsia="zh-CN"/>
              </w:rPr>
              <w:t>2</w:t>
            </w:r>
            <w:r>
              <w:rPr>
                <w:rFonts w:hint="eastAsia" w:ascii="宋体" w:hAnsi="宋体" w:cs="宋体"/>
                <w:color w:val="auto"/>
                <w:sz w:val="30"/>
                <w:highlight w:val="none"/>
              </w:rPr>
              <w:t>月</w:t>
            </w:r>
          </w:p>
        </w:tc>
      </w:tr>
      <w:tr w14:paraId="14A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181FDF95">
            <w:pPr>
              <w:spacing w:line="320" w:lineRule="atLeast"/>
              <w:ind w:firstLine="600" w:firstLineChars="200"/>
              <w:rPr>
                <w:rFonts w:ascii="宋体" w:hAnsi="宋体" w:cs="宋体"/>
                <w:color w:val="auto"/>
                <w:sz w:val="30"/>
                <w:highlight w:val="none"/>
              </w:rPr>
            </w:pPr>
          </w:p>
          <w:p w14:paraId="19D11A01">
            <w:pPr>
              <w:spacing w:line="320" w:lineRule="atLeast"/>
              <w:ind w:firstLine="600" w:firstLineChars="200"/>
              <w:rPr>
                <w:rFonts w:ascii="宋体" w:hAnsi="宋体" w:cs="宋体"/>
                <w:color w:val="auto"/>
                <w:sz w:val="30"/>
                <w:highlight w:val="none"/>
              </w:rPr>
            </w:pPr>
            <w:r>
              <w:rPr>
                <w:rFonts w:hint="eastAsia" w:ascii="宋体" w:hAnsi="宋体" w:cs="宋体"/>
                <w:color w:val="auto"/>
                <w:sz w:val="30"/>
                <w:highlight w:val="none"/>
              </w:rPr>
              <w:t>招标代理机构：安徽立地工程咨询有限公司</w:t>
            </w:r>
          </w:p>
          <w:p w14:paraId="05DF6368">
            <w:pPr>
              <w:spacing w:line="320" w:lineRule="atLeas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经办人：全晨曦、翁海玲</w:t>
            </w:r>
          </w:p>
          <w:p w14:paraId="65F5501A">
            <w:pPr>
              <w:spacing w:line="56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联系电话：18075270227、13965950189</w:t>
            </w:r>
          </w:p>
          <w:p w14:paraId="0F0EEA4D">
            <w:pPr>
              <w:spacing w:line="500" w:lineRule="exact"/>
              <w:ind w:firstLine="600" w:firstLineChars="200"/>
              <w:rPr>
                <w:rFonts w:ascii="宋体" w:hAnsi="宋体" w:cs="宋体"/>
                <w:color w:val="auto"/>
                <w:sz w:val="30"/>
                <w:szCs w:val="30"/>
                <w:highlight w:val="none"/>
              </w:rPr>
            </w:pPr>
          </w:p>
          <w:p w14:paraId="4A3F3688">
            <w:pPr>
              <w:spacing w:line="500" w:lineRule="exact"/>
              <w:ind w:firstLine="600" w:firstLineChars="200"/>
              <w:rPr>
                <w:rFonts w:ascii="宋体" w:hAnsi="宋体" w:cs="宋体"/>
                <w:color w:val="auto"/>
                <w:sz w:val="30"/>
                <w:highlight w:val="none"/>
              </w:rPr>
            </w:pPr>
          </w:p>
          <w:p w14:paraId="761BDFD6">
            <w:pPr>
              <w:ind w:firstLine="5400" w:firstLineChars="1800"/>
              <w:rPr>
                <w:rFonts w:ascii="宋体" w:hAnsi="宋体" w:cs="宋体"/>
                <w:color w:val="auto"/>
                <w:sz w:val="30"/>
                <w:highlight w:val="none"/>
              </w:rPr>
            </w:pPr>
          </w:p>
          <w:p w14:paraId="26670C2E">
            <w:pPr>
              <w:ind w:firstLine="5400" w:firstLineChars="1800"/>
              <w:rPr>
                <w:rFonts w:ascii="宋体" w:hAnsi="宋体" w:cs="宋体"/>
                <w:color w:val="auto"/>
                <w:sz w:val="30"/>
                <w:highlight w:val="none"/>
              </w:rPr>
            </w:pPr>
          </w:p>
          <w:p w14:paraId="5A4B08DE">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0BA0036B">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2024年</w:t>
            </w:r>
            <w:r>
              <w:rPr>
                <w:rFonts w:hint="eastAsia" w:ascii="宋体" w:hAnsi="宋体" w:cs="宋体"/>
                <w:color w:val="auto"/>
                <w:sz w:val="30"/>
                <w:highlight w:val="none"/>
                <w:lang w:val="en-US" w:eastAsia="zh-CN"/>
              </w:rPr>
              <w:t>12</w:t>
            </w:r>
            <w:r>
              <w:rPr>
                <w:rFonts w:hint="eastAsia" w:ascii="宋体" w:hAnsi="宋体" w:cs="宋体"/>
                <w:color w:val="auto"/>
                <w:sz w:val="30"/>
                <w:highlight w:val="none"/>
              </w:rPr>
              <w:t>月</w:t>
            </w:r>
          </w:p>
        </w:tc>
      </w:tr>
      <w:bookmarkEnd w:id="0"/>
      <w:bookmarkEnd w:id="1"/>
      <w:bookmarkEnd w:id="2"/>
      <w:bookmarkEnd w:id="3"/>
    </w:tbl>
    <w:p w14:paraId="3A3FF880">
      <w:pPr>
        <w:rPr>
          <w:rFonts w:ascii="宋体" w:hAnsi="宋体" w:cs="宋体"/>
          <w:color w:val="auto"/>
          <w:highlight w:val="none"/>
        </w:rPr>
      </w:pPr>
    </w:p>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8B0F">
    <w:pPr>
      <w:pStyle w:val="16"/>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5CDD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60A5CDD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E18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1257B64A">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1257B64A">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1E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A18D9">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2A18D9">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AB3A">
    <w:pPr>
      <w:pStyle w:val="16"/>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0FF7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300FF7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E41C">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D83BCC1">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6D83BCC1">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C830">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C9EC"/>
    <w:multiLevelType w:val="singleLevel"/>
    <w:tmpl w:val="ADBEC9EC"/>
    <w:lvl w:ilvl="0" w:tentative="0">
      <w:start w:val="7"/>
      <w:numFmt w:val="decimal"/>
      <w:suff w:val="space"/>
      <w:lvlText w:val="%1、"/>
      <w:lvlJc w:val="left"/>
    </w:lvl>
  </w:abstractNum>
  <w:abstractNum w:abstractNumId="1">
    <w:nsid w:val="58E8E588"/>
    <w:multiLevelType w:val="singleLevel"/>
    <w:tmpl w:val="58E8E58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kMDI5NmRmNTRjMjhlM2NmOWJlMTU4YTU0MWZmNG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26BC"/>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968"/>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6FB9"/>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07541"/>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41E"/>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0DBF"/>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252F"/>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129"/>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6B5F"/>
    <w:rsid w:val="006A7487"/>
    <w:rsid w:val="006A79A5"/>
    <w:rsid w:val="006B15C1"/>
    <w:rsid w:val="006B1794"/>
    <w:rsid w:val="006B245E"/>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248"/>
    <w:rsid w:val="0088678E"/>
    <w:rsid w:val="00886A58"/>
    <w:rsid w:val="00887CFA"/>
    <w:rsid w:val="00887D58"/>
    <w:rsid w:val="00893395"/>
    <w:rsid w:val="00895178"/>
    <w:rsid w:val="008962E0"/>
    <w:rsid w:val="008A09E7"/>
    <w:rsid w:val="008A0B9D"/>
    <w:rsid w:val="008A0E87"/>
    <w:rsid w:val="008A124E"/>
    <w:rsid w:val="008A138C"/>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70C"/>
    <w:rsid w:val="009B2CB6"/>
    <w:rsid w:val="009B3604"/>
    <w:rsid w:val="009B52E0"/>
    <w:rsid w:val="009B5A7B"/>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4B62"/>
    <w:rsid w:val="00B05476"/>
    <w:rsid w:val="00B056EA"/>
    <w:rsid w:val="00B05DDB"/>
    <w:rsid w:val="00B07EA1"/>
    <w:rsid w:val="00B134E1"/>
    <w:rsid w:val="00B13A6C"/>
    <w:rsid w:val="00B1505B"/>
    <w:rsid w:val="00B1607F"/>
    <w:rsid w:val="00B16B6D"/>
    <w:rsid w:val="00B16DE4"/>
    <w:rsid w:val="00B17001"/>
    <w:rsid w:val="00B17BD0"/>
    <w:rsid w:val="00B23599"/>
    <w:rsid w:val="00B24100"/>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3277"/>
    <w:rsid w:val="00C0333A"/>
    <w:rsid w:val="00C033FB"/>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0DA4"/>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327"/>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D7F71"/>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0836"/>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730A5"/>
    <w:rsid w:val="013B2B96"/>
    <w:rsid w:val="015276EE"/>
    <w:rsid w:val="01657C13"/>
    <w:rsid w:val="016A5229"/>
    <w:rsid w:val="016C4F8A"/>
    <w:rsid w:val="016F6310"/>
    <w:rsid w:val="017936BE"/>
    <w:rsid w:val="017B34E6"/>
    <w:rsid w:val="01815CA7"/>
    <w:rsid w:val="018E0940"/>
    <w:rsid w:val="018F4B23"/>
    <w:rsid w:val="0194674A"/>
    <w:rsid w:val="019D2E51"/>
    <w:rsid w:val="01AA0146"/>
    <w:rsid w:val="01AB6BE3"/>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59F0"/>
    <w:rsid w:val="02770F36"/>
    <w:rsid w:val="027F25B6"/>
    <w:rsid w:val="028E13EB"/>
    <w:rsid w:val="0291319A"/>
    <w:rsid w:val="02920B9A"/>
    <w:rsid w:val="029A1EC3"/>
    <w:rsid w:val="029D7486"/>
    <w:rsid w:val="02AE7397"/>
    <w:rsid w:val="02B77CCF"/>
    <w:rsid w:val="02BA4939"/>
    <w:rsid w:val="02C32E43"/>
    <w:rsid w:val="02CA1EB5"/>
    <w:rsid w:val="02CC0F83"/>
    <w:rsid w:val="02D432A2"/>
    <w:rsid w:val="02D83AC4"/>
    <w:rsid w:val="02DE0532"/>
    <w:rsid w:val="02DF57A3"/>
    <w:rsid w:val="02EC1CAF"/>
    <w:rsid w:val="02F4124E"/>
    <w:rsid w:val="03127926"/>
    <w:rsid w:val="03243895"/>
    <w:rsid w:val="032F2286"/>
    <w:rsid w:val="032F46AE"/>
    <w:rsid w:val="03321D76"/>
    <w:rsid w:val="0334789D"/>
    <w:rsid w:val="034E5635"/>
    <w:rsid w:val="03577173"/>
    <w:rsid w:val="03602490"/>
    <w:rsid w:val="0368794D"/>
    <w:rsid w:val="03710AF1"/>
    <w:rsid w:val="0379160A"/>
    <w:rsid w:val="0385459C"/>
    <w:rsid w:val="03A03184"/>
    <w:rsid w:val="03A72554"/>
    <w:rsid w:val="03B1734F"/>
    <w:rsid w:val="03B65EAD"/>
    <w:rsid w:val="03B968E0"/>
    <w:rsid w:val="03BE1329"/>
    <w:rsid w:val="03C07382"/>
    <w:rsid w:val="03CC3F79"/>
    <w:rsid w:val="03D73579"/>
    <w:rsid w:val="03DD6186"/>
    <w:rsid w:val="03F03ACD"/>
    <w:rsid w:val="03F84D6E"/>
    <w:rsid w:val="04074FB1"/>
    <w:rsid w:val="04082AD7"/>
    <w:rsid w:val="040D7377"/>
    <w:rsid w:val="040F6DEE"/>
    <w:rsid w:val="0412273B"/>
    <w:rsid w:val="04144AD2"/>
    <w:rsid w:val="04286AF5"/>
    <w:rsid w:val="042E69E2"/>
    <w:rsid w:val="04313E4B"/>
    <w:rsid w:val="04351B68"/>
    <w:rsid w:val="04390EE3"/>
    <w:rsid w:val="04406715"/>
    <w:rsid w:val="046B19E4"/>
    <w:rsid w:val="0482288A"/>
    <w:rsid w:val="048B443B"/>
    <w:rsid w:val="048D6DBC"/>
    <w:rsid w:val="04A942BA"/>
    <w:rsid w:val="04C410F4"/>
    <w:rsid w:val="04C91A28"/>
    <w:rsid w:val="04CE1CB1"/>
    <w:rsid w:val="04CE1F73"/>
    <w:rsid w:val="04D4447A"/>
    <w:rsid w:val="04D806FC"/>
    <w:rsid w:val="04E23328"/>
    <w:rsid w:val="04F03C97"/>
    <w:rsid w:val="04F574FF"/>
    <w:rsid w:val="04FA4B16"/>
    <w:rsid w:val="050E22BB"/>
    <w:rsid w:val="051E6A56"/>
    <w:rsid w:val="05322502"/>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5FE2F0B"/>
    <w:rsid w:val="06304C93"/>
    <w:rsid w:val="063511BA"/>
    <w:rsid w:val="063634F0"/>
    <w:rsid w:val="06371796"/>
    <w:rsid w:val="06641E8F"/>
    <w:rsid w:val="066C559F"/>
    <w:rsid w:val="06806CD7"/>
    <w:rsid w:val="06862B05"/>
    <w:rsid w:val="068A3C77"/>
    <w:rsid w:val="069638EE"/>
    <w:rsid w:val="06A55191"/>
    <w:rsid w:val="06A76315"/>
    <w:rsid w:val="06AE66F8"/>
    <w:rsid w:val="06AE7966"/>
    <w:rsid w:val="06C21663"/>
    <w:rsid w:val="06CB49BC"/>
    <w:rsid w:val="06CD24E2"/>
    <w:rsid w:val="06D870D9"/>
    <w:rsid w:val="06DA4BFF"/>
    <w:rsid w:val="06DC2725"/>
    <w:rsid w:val="06DF1025"/>
    <w:rsid w:val="06DF3FC3"/>
    <w:rsid w:val="06E415DA"/>
    <w:rsid w:val="06E927E2"/>
    <w:rsid w:val="06FA0DFD"/>
    <w:rsid w:val="07035538"/>
    <w:rsid w:val="071E0F8F"/>
    <w:rsid w:val="071F0864"/>
    <w:rsid w:val="07222102"/>
    <w:rsid w:val="07251AD2"/>
    <w:rsid w:val="074958E1"/>
    <w:rsid w:val="074F3901"/>
    <w:rsid w:val="074F739B"/>
    <w:rsid w:val="0753050F"/>
    <w:rsid w:val="075E19C5"/>
    <w:rsid w:val="076C0391"/>
    <w:rsid w:val="077741FC"/>
    <w:rsid w:val="07797F74"/>
    <w:rsid w:val="07834C41"/>
    <w:rsid w:val="0784228F"/>
    <w:rsid w:val="07954D8F"/>
    <w:rsid w:val="07AA45D1"/>
    <w:rsid w:val="07BC1E74"/>
    <w:rsid w:val="07D4164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C5D6E"/>
    <w:rsid w:val="087C3598"/>
    <w:rsid w:val="088077A2"/>
    <w:rsid w:val="088A4403"/>
    <w:rsid w:val="08983511"/>
    <w:rsid w:val="08A47272"/>
    <w:rsid w:val="08A47372"/>
    <w:rsid w:val="08A92ADB"/>
    <w:rsid w:val="08A94BFC"/>
    <w:rsid w:val="08B33959"/>
    <w:rsid w:val="08BB4EFD"/>
    <w:rsid w:val="08C94F2B"/>
    <w:rsid w:val="08C97978"/>
    <w:rsid w:val="08DF52C9"/>
    <w:rsid w:val="08F301FA"/>
    <w:rsid w:val="09023F99"/>
    <w:rsid w:val="09075A53"/>
    <w:rsid w:val="090D12BC"/>
    <w:rsid w:val="09180178"/>
    <w:rsid w:val="091A5787"/>
    <w:rsid w:val="091C32AD"/>
    <w:rsid w:val="091D75BB"/>
    <w:rsid w:val="093D3223"/>
    <w:rsid w:val="09414AC1"/>
    <w:rsid w:val="095C7B4D"/>
    <w:rsid w:val="09630EDC"/>
    <w:rsid w:val="09707B14"/>
    <w:rsid w:val="098B0432"/>
    <w:rsid w:val="09946A31"/>
    <w:rsid w:val="09975029"/>
    <w:rsid w:val="09A45050"/>
    <w:rsid w:val="09A8336D"/>
    <w:rsid w:val="09AB2883"/>
    <w:rsid w:val="09B07E99"/>
    <w:rsid w:val="09B7601C"/>
    <w:rsid w:val="09BA3FD5"/>
    <w:rsid w:val="09BC13BE"/>
    <w:rsid w:val="09BC683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C30DE"/>
    <w:rsid w:val="0A0F0A13"/>
    <w:rsid w:val="0A1246B0"/>
    <w:rsid w:val="0A1354D3"/>
    <w:rsid w:val="0A195207"/>
    <w:rsid w:val="0A391C3C"/>
    <w:rsid w:val="0A3E7F78"/>
    <w:rsid w:val="0A3F3469"/>
    <w:rsid w:val="0A40746F"/>
    <w:rsid w:val="0A48596D"/>
    <w:rsid w:val="0A4F320E"/>
    <w:rsid w:val="0A544CC8"/>
    <w:rsid w:val="0A5823CF"/>
    <w:rsid w:val="0A5A37A8"/>
    <w:rsid w:val="0A5B7E05"/>
    <w:rsid w:val="0A5D3B7D"/>
    <w:rsid w:val="0A650C83"/>
    <w:rsid w:val="0A6F565E"/>
    <w:rsid w:val="0A7333A0"/>
    <w:rsid w:val="0A786C09"/>
    <w:rsid w:val="0A7D7D7B"/>
    <w:rsid w:val="0A805ABD"/>
    <w:rsid w:val="0A9D041D"/>
    <w:rsid w:val="0AAA37AF"/>
    <w:rsid w:val="0ABC344C"/>
    <w:rsid w:val="0AC00DC5"/>
    <w:rsid w:val="0AD41965"/>
    <w:rsid w:val="0AD83203"/>
    <w:rsid w:val="0ADD6A6C"/>
    <w:rsid w:val="0AE02E63"/>
    <w:rsid w:val="0AE222D4"/>
    <w:rsid w:val="0AF142C5"/>
    <w:rsid w:val="0AF3120E"/>
    <w:rsid w:val="0AF50259"/>
    <w:rsid w:val="0AF70459"/>
    <w:rsid w:val="0AFA70FB"/>
    <w:rsid w:val="0AFB5144"/>
    <w:rsid w:val="0AFC61E3"/>
    <w:rsid w:val="0B04049C"/>
    <w:rsid w:val="0B0C10FF"/>
    <w:rsid w:val="0B1032E7"/>
    <w:rsid w:val="0B1306DF"/>
    <w:rsid w:val="0B1A7353"/>
    <w:rsid w:val="0B1A7CC0"/>
    <w:rsid w:val="0B1D50BA"/>
    <w:rsid w:val="0B2823DD"/>
    <w:rsid w:val="0B291CB1"/>
    <w:rsid w:val="0B303499"/>
    <w:rsid w:val="0B3F3282"/>
    <w:rsid w:val="0B40624E"/>
    <w:rsid w:val="0B4B1B81"/>
    <w:rsid w:val="0B542FB0"/>
    <w:rsid w:val="0B671CEB"/>
    <w:rsid w:val="0B6947A3"/>
    <w:rsid w:val="0B6E1EE8"/>
    <w:rsid w:val="0B7C0033"/>
    <w:rsid w:val="0B845AA7"/>
    <w:rsid w:val="0B9063A0"/>
    <w:rsid w:val="0B995089"/>
    <w:rsid w:val="0B9C5F44"/>
    <w:rsid w:val="0B9F50FC"/>
    <w:rsid w:val="0BAB4DBC"/>
    <w:rsid w:val="0BC35C62"/>
    <w:rsid w:val="0BD13855"/>
    <w:rsid w:val="0BDC4F75"/>
    <w:rsid w:val="0BE132E6"/>
    <w:rsid w:val="0BE91440"/>
    <w:rsid w:val="0BEF2EFA"/>
    <w:rsid w:val="0BF26547"/>
    <w:rsid w:val="0BFE0888"/>
    <w:rsid w:val="0C087B18"/>
    <w:rsid w:val="0C1069CD"/>
    <w:rsid w:val="0C1636F6"/>
    <w:rsid w:val="0C2A5CE1"/>
    <w:rsid w:val="0C345E85"/>
    <w:rsid w:val="0C4A0131"/>
    <w:rsid w:val="0C4F1BEB"/>
    <w:rsid w:val="0C5965C6"/>
    <w:rsid w:val="0C727A87"/>
    <w:rsid w:val="0C776A4C"/>
    <w:rsid w:val="0C7A3AB8"/>
    <w:rsid w:val="0C7D396A"/>
    <w:rsid w:val="0C803B53"/>
    <w:rsid w:val="0C90757C"/>
    <w:rsid w:val="0C917B0E"/>
    <w:rsid w:val="0CA305A5"/>
    <w:rsid w:val="0CB16402"/>
    <w:rsid w:val="0CBB4B8B"/>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690A8B"/>
    <w:rsid w:val="0D782A7C"/>
    <w:rsid w:val="0D8633EB"/>
    <w:rsid w:val="0D885842"/>
    <w:rsid w:val="0DA73361"/>
    <w:rsid w:val="0DC706AE"/>
    <w:rsid w:val="0DE46CE5"/>
    <w:rsid w:val="0DE71A5B"/>
    <w:rsid w:val="0DEE51E4"/>
    <w:rsid w:val="0DFC36AD"/>
    <w:rsid w:val="0E036825"/>
    <w:rsid w:val="0E082052"/>
    <w:rsid w:val="0E083E00"/>
    <w:rsid w:val="0E0A5DCA"/>
    <w:rsid w:val="0E0D1416"/>
    <w:rsid w:val="0E1C5AFD"/>
    <w:rsid w:val="0E3C1CFB"/>
    <w:rsid w:val="0E3E4C8C"/>
    <w:rsid w:val="0E455054"/>
    <w:rsid w:val="0E511C4A"/>
    <w:rsid w:val="0E572FD9"/>
    <w:rsid w:val="0E57664F"/>
    <w:rsid w:val="0E59465B"/>
    <w:rsid w:val="0E5E1C72"/>
    <w:rsid w:val="0E664FCA"/>
    <w:rsid w:val="0E682AF0"/>
    <w:rsid w:val="0E6C3B57"/>
    <w:rsid w:val="0E7B2A74"/>
    <w:rsid w:val="0E8060A7"/>
    <w:rsid w:val="0E8C2C83"/>
    <w:rsid w:val="0E95212F"/>
    <w:rsid w:val="0E9733D5"/>
    <w:rsid w:val="0EC35F79"/>
    <w:rsid w:val="0EC641E2"/>
    <w:rsid w:val="0ED061FA"/>
    <w:rsid w:val="0ED65CAC"/>
    <w:rsid w:val="0EFE379D"/>
    <w:rsid w:val="0F050A01"/>
    <w:rsid w:val="0F056591"/>
    <w:rsid w:val="0F0A1DF9"/>
    <w:rsid w:val="0F0A3BA7"/>
    <w:rsid w:val="0F0C2A4A"/>
    <w:rsid w:val="0F112C81"/>
    <w:rsid w:val="0F1A64E0"/>
    <w:rsid w:val="0F1D0018"/>
    <w:rsid w:val="0F2760D3"/>
    <w:rsid w:val="0F2C6214"/>
    <w:rsid w:val="0F2E3D3A"/>
    <w:rsid w:val="0F3A26DF"/>
    <w:rsid w:val="0F3A448D"/>
    <w:rsid w:val="0F3F7CF5"/>
    <w:rsid w:val="0F4672D5"/>
    <w:rsid w:val="0F4E7A34"/>
    <w:rsid w:val="0F592E73"/>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D33F2A"/>
    <w:rsid w:val="0FD541B5"/>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F3F68"/>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C761F4"/>
    <w:rsid w:val="10CB7636"/>
    <w:rsid w:val="10CC68F7"/>
    <w:rsid w:val="10D510E7"/>
    <w:rsid w:val="10D775F6"/>
    <w:rsid w:val="10E000F9"/>
    <w:rsid w:val="10F36FE9"/>
    <w:rsid w:val="10F52C7D"/>
    <w:rsid w:val="10F8474E"/>
    <w:rsid w:val="11050ACA"/>
    <w:rsid w:val="110B729A"/>
    <w:rsid w:val="11140D0D"/>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B76268"/>
    <w:rsid w:val="11BF210D"/>
    <w:rsid w:val="11C95F9C"/>
    <w:rsid w:val="11CA2ABF"/>
    <w:rsid w:val="11E0395F"/>
    <w:rsid w:val="11E5636A"/>
    <w:rsid w:val="11E93843"/>
    <w:rsid w:val="11E93EE6"/>
    <w:rsid w:val="11EE77B0"/>
    <w:rsid w:val="11F56775"/>
    <w:rsid w:val="11F823DD"/>
    <w:rsid w:val="120274A2"/>
    <w:rsid w:val="120B2110"/>
    <w:rsid w:val="12135191"/>
    <w:rsid w:val="12176D07"/>
    <w:rsid w:val="12241424"/>
    <w:rsid w:val="122B630F"/>
    <w:rsid w:val="1233302F"/>
    <w:rsid w:val="12480EBC"/>
    <w:rsid w:val="124D0F6D"/>
    <w:rsid w:val="124F64A1"/>
    <w:rsid w:val="12533255"/>
    <w:rsid w:val="125515DD"/>
    <w:rsid w:val="125A151B"/>
    <w:rsid w:val="12614426"/>
    <w:rsid w:val="126410EF"/>
    <w:rsid w:val="127001C5"/>
    <w:rsid w:val="127203E1"/>
    <w:rsid w:val="12727EA3"/>
    <w:rsid w:val="12753A2E"/>
    <w:rsid w:val="128033B5"/>
    <w:rsid w:val="12817330"/>
    <w:rsid w:val="128D521B"/>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31522"/>
    <w:rsid w:val="12F62DC8"/>
    <w:rsid w:val="130C0318"/>
    <w:rsid w:val="130D7A78"/>
    <w:rsid w:val="131208EA"/>
    <w:rsid w:val="13137C73"/>
    <w:rsid w:val="131E5E73"/>
    <w:rsid w:val="1324792E"/>
    <w:rsid w:val="13367661"/>
    <w:rsid w:val="133E2072"/>
    <w:rsid w:val="13403C24"/>
    <w:rsid w:val="134478ED"/>
    <w:rsid w:val="134753CA"/>
    <w:rsid w:val="134F427F"/>
    <w:rsid w:val="135263FA"/>
    <w:rsid w:val="135B0E75"/>
    <w:rsid w:val="135D2E40"/>
    <w:rsid w:val="13623FB2"/>
    <w:rsid w:val="137612B1"/>
    <w:rsid w:val="137912FC"/>
    <w:rsid w:val="138A3E9E"/>
    <w:rsid w:val="138B304B"/>
    <w:rsid w:val="138C6DED"/>
    <w:rsid w:val="13946135"/>
    <w:rsid w:val="1397336A"/>
    <w:rsid w:val="13985790"/>
    <w:rsid w:val="139D38DB"/>
    <w:rsid w:val="13A50343"/>
    <w:rsid w:val="13AE369B"/>
    <w:rsid w:val="13BD568C"/>
    <w:rsid w:val="13C20EF5"/>
    <w:rsid w:val="13C24A51"/>
    <w:rsid w:val="13C4105E"/>
    <w:rsid w:val="13CE5AEB"/>
    <w:rsid w:val="13D1738A"/>
    <w:rsid w:val="13D80718"/>
    <w:rsid w:val="13D93BA8"/>
    <w:rsid w:val="13E1581F"/>
    <w:rsid w:val="13E24B70"/>
    <w:rsid w:val="13E42C19"/>
    <w:rsid w:val="13EF0CC1"/>
    <w:rsid w:val="13F563EC"/>
    <w:rsid w:val="14114C17"/>
    <w:rsid w:val="14244FEC"/>
    <w:rsid w:val="144E391B"/>
    <w:rsid w:val="145139F1"/>
    <w:rsid w:val="146849E3"/>
    <w:rsid w:val="1469117E"/>
    <w:rsid w:val="14711B9F"/>
    <w:rsid w:val="14720225"/>
    <w:rsid w:val="14795A57"/>
    <w:rsid w:val="147F2942"/>
    <w:rsid w:val="14817958"/>
    <w:rsid w:val="149F1A6D"/>
    <w:rsid w:val="14A03128"/>
    <w:rsid w:val="14A30D26"/>
    <w:rsid w:val="14BE346A"/>
    <w:rsid w:val="14C33176"/>
    <w:rsid w:val="14C76FEA"/>
    <w:rsid w:val="14C91409"/>
    <w:rsid w:val="14CF5677"/>
    <w:rsid w:val="14D62EA9"/>
    <w:rsid w:val="14EF5D19"/>
    <w:rsid w:val="14F71062"/>
    <w:rsid w:val="14FB0157"/>
    <w:rsid w:val="15057309"/>
    <w:rsid w:val="15082C53"/>
    <w:rsid w:val="15091AF6"/>
    <w:rsid w:val="151376CD"/>
    <w:rsid w:val="151632A6"/>
    <w:rsid w:val="15175270"/>
    <w:rsid w:val="151B6B0E"/>
    <w:rsid w:val="151F0B85"/>
    <w:rsid w:val="15202377"/>
    <w:rsid w:val="153259C9"/>
    <w:rsid w:val="153B724F"/>
    <w:rsid w:val="154047C7"/>
    <w:rsid w:val="15455939"/>
    <w:rsid w:val="154A617D"/>
    <w:rsid w:val="15667FE8"/>
    <w:rsid w:val="156D5D5E"/>
    <w:rsid w:val="156E30E2"/>
    <w:rsid w:val="1577787B"/>
    <w:rsid w:val="158226E9"/>
    <w:rsid w:val="1588184A"/>
    <w:rsid w:val="159B19FD"/>
    <w:rsid w:val="159E5049"/>
    <w:rsid w:val="15A06322"/>
    <w:rsid w:val="15A308B2"/>
    <w:rsid w:val="15AC7A04"/>
    <w:rsid w:val="15AD597E"/>
    <w:rsid w:val="15B065E9"/>
    <w:rsid w:val="15B66837"/>
    <w:rsid w:val="15C40F54"/>
    <w:rsid w:val="15C54FEA"/>
    <w:rsid w:val="15F1161D"/>
    <w:rsid w:val="15F15AC1"/>
    <w:rsid w:val="15FE5A51"/>
    <w:rsid w:val="161E6396"/>
    <w:rsid w:val="162419F3"/>
    <w:rsid w:val="162D1DF8"/>
    <w:rsid w:val="163559AE"/>
    <w:rsid w:val="163814F2"/>
    <w:rsid w:val="163D2AB4"/>
    <w:rsid w:val="1642631D"/>
    <w:rsid w:val="165027E8"/>
    <w:rsid w:val="1651030E"/>
    <w:rsid w:val="165A0C46"/>
    <w:rsid w:val="165F11A5"/>
    <w:rsid w:val="16620D37"/>
    <w:rsid w:val="167A5230"/>
    <w:rsid w:val="167A5AB7"/>
    <w:rsid w:val="16842491"/>
    <w:rsid w:val="168D7598"/>
    <w:rsid w:val="168F547E"/>
    <w:rsid w:val="1692185F"/>
    <w:rsid w:val="16A677CD"/>
    <w:rsid w:val="16A96F60"/>
    <w:rsid w:val="16D57191"/>
    <w:rsid w:val="16E46649"/>
    <w:rsid w:val="16EB2510"/>
    <w:rsid w:val="16EF3DAF"/>
    <w:rsid w:val="16FF7D6A"/>
    <w:rsid w:val="17104AB6"/>
    <w:rsid w:val="171C22C3"/>
    <w:rsid w:val="172F064F"/>
    <w:rsid w:val="172F4C87"/>
    <w:rsid w:val="17325EFB"/>
    <w:rsid w:val="1734612F"/>
    <w:rsid w:val="17377504"/>
    <w:rsid w:val="173974B1"/>
    <w:rsid w:val="175005C5"/>
    <w:rsid w:val="175956CC"/>
    <w:rsid w:val="177C13BA"/>
    <w:rsid w:val="17837902"/>
    <w:rsid w:val="17852A93"/>
    <w:rsid w:val="17A67C85"/>
    <w:rsid w:val="17B108BB"/>
    <w:rsid w:val="17BD3FF5"/>
    <w:rsid w:val="17D01AA8"/>
    <w:rsid w:val="17D15BAA"/>
    <w:rsid w:val="17E07B9B"/>
    <w:rsid w:val="17E551B2"/>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40BC9"/>
    <w:rsid w:val="18A549B7"/>
    <w:rsid w:val="18B3641F"/>
    <w:rsid w:val="18BA4890"/>
    <w:rsid w:val="18C9062F"/>
    <w:rsid w:val="18DD40DB"/>
    <w:rsid w:val="18E216F1"/>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728BE"/>
    <w:rsid w:val="195B1BCF"/>
    <w:rsid w:val="19632832"/>
    <w:rsid w:val="19650CF3"/>
    <w:rsid w:val="19665FA6"/>
    <w:rsid w:val="19673150"/>
    <w:rsid w:val="196C5B8A"/>
    <w:rsid w:val="19704C26"/>
    <w:rsid w:val="1982467D"/>
    <w:rsid w:val="199044E1"/>
    <w:rsid w:val="19996FF5"/>
    <w:rsid w:val="199E57CD"/>
    <w:rsid w:val="19A43300"/>
    <w:rsid w:val="19A54BF8"/>
    <w:rsid w:val="19A90B8D"/>
    <w:rsid w:val="19BB08C0"/>
    <w:rsid w:val="19BC405C"/>
    <w:rsid w:val="19BE215E"/>
    <w:rsid w:val="19CE6698"/>
    <w:rsid w:val="19E219A9"/>
    <w:rsid w:val="19E42F9F"/>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E3248"/>
    <w:rsid w:val="1A400DC5"/>
    <w:rsid w:val="1A46462D"/>
    <w:rsid w:val="1A530AF8"/>
    <w:rsid w:val="1A7D5B75"/>
    <w:rsid w:val="1A8A3DEE"/>
    <w:rsid w:val="1A9133CF"/>
    <w:rsid w:val="1A940DA9"/>
    <w:rsid w:val="1A9772DF"/>
    <w:rsid w:val="1A9A3F40"/>
    <w:rsid w:val="1AA31326"/>
    <w:rsid w:val="1AA80E44"/>
    <w:rsid w:val="1AAC1FB7"/>
    <w:rsid w:val="1AB64BE3"/>
    <w:rsid w:val="1AB64FE6"/>
    <w:rsid w:val="1AC90DBB"/>
    <w:rsid w:val="1ACA4FEB"/>
    <w:rsid w:val="1ACC5192"/>
    <w:rsid w:val="1ACE4623"/>
    <w:rsid w:val="1AD82DAC"/>
    <w:rsid w:val="1AE904A6"/>
    <w:rsid w:val="1AE9320B"/>
    <w:rsid w:val="1AF04439"/>
    <w:rsid w:val="1AF23244"/>
    <w:rsid w:val="1AFE3235"/>
    <w:rsid w:val="1B050ABD"/>
    <w:rsid w:val="1B0D0CA7"/>
    <w:rsid w:val="1B102545"/>
    <w:rsid w:val="1B212333"/>
    <w:rsid w:val="1B34092A"/>
    <w:rsid w:val="1B365091"/>
    <w:rsid w:val="1B391A9C"/>
    <w:rsid w:val="1B397CEE"/>
    <w:rsid w:val="1B481CDF"/>
    <w:rsid w:val="1B4A333E"/>
    <w:rsid w:val="1B4D379A"/>
    <w:rsid w:val="1B6235D9"/>
    <w:rsid w:val="1B6805D3"/>
    <w:rsid w:val="1B722124"/>
    <w:rsid w:val="1B723200"/>
    <w:rsid w:val="1B8076CB"/>
    <w:rsid w:val="1B851185"/>
    <w:rsid w:val="1B8E6546"/>
    <w:rsid w:val="1B9B0474"/>
    <w:rsid w:val="1BA01B1B"/>
    <w:rsid w:val="1BA15893"/>
    <w:rsid w:val="1BA3785E"/>
    <w:rsid w:val="1BAB6A9B"/>
    <w:rsid w:val="1BBD7CBF"/>
    <w:rsid w:val="1BBE01F3"/>
    <w:rsid w:val="1BC05D1A"/>
    <w:rsid w:val="1BC11A92"/>
    <w:rsid w:val="1BC33A5C"/>
    <w:rsid w:val="1BC87C70"/>
    <w:rsid w:val="1BD47A17"/>
    <w:rsid w:val="1BDF7419"/>
    <w:rsid w:val="1BEA1E5D"/>
    <w:rsid w:val="1BEE4AD0"/>
    <w:rsid w:val="1BFC2ACA"/>
    <w:rsid w:val="1C096D36"/>
    <w:rsid w:val="1C107AF5"/>
    <w:rsid w:val="1C1B3898"/>
    <w:rsid w:val="1C1C6602"/>
    <w:rsid w:val="1C205539"/>
    <w:rsid w:val="1C2D1B56"/>
    <w:rsid w:val="1C2D7127"/>
    <w:rsid w:val="1C2F4C4D"/>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E26B8"/>
    <w:rsid w:val="1CDF0421"/>
    <w:rsid w:val="1CDF203E"/>
    <w:rsid w:val="1CF37D41"/>
    <w:rsid w:val="1CF71C0F"/>
    <w:rsid w:val="1CFC179E"/>
    <w:rsid w:val="1CFD1DFA"/>
    <w:rsid w:val="1CFE79ED"/>
    <w:rsid w:val="1D01483C"/>
    <w:rsid w:val="1D032ACB"/>
    <w:rsid w:val="1D04257E"/>
    <w:rsid w:val="1D063C00"/>
    <w:rsid w:val="1D0B7468"/>
    <w:rsid w:val="1D110E86"/>
    <w:rsid w:val="1D1207F7"/>
    <w:rsid w:val="1D206E59"/>
    <w:rsid w:val="1D3544E5"/>
    <w:rsid w:val="1D3712AF"/>
    <w:rsid w:val="1D3E15EC"/>
    <w:rsid w:val="1D464944"/>
    <w:rsid w:val="1D487E55"/>
    <w:rsid w:val="1D4961E3"/>
    <w:rsid w:val="1D4A4435"/>
    <w:rsid w:val="1D507571"/>
    <w:rsid w:val="1D596426"/>
    <w:rsid w:val="1D5A19BD"/>
    <w:rsid w:val="1D5A7FB3"/>
    <w:rsid w:val="1D637C02"/>
    <w:rsid w:val="1D6F3E9B"/>
    <w:rsid w:val="1D7E7C3A"/>
    <w:rsid w:val="1D835B5B"/>
    <w:rsid w:val="1D8673FA"/>
    <w:rsid w:val="1D8F3529"/>
    <w:rsid w:val="1D9072CB"/>
    <w:rsid w:val="1D9E652E"/>
    <w:rsid w:val="1DA530EA"/>
    <w:rsid w:val="1DA82B34"/>
    <w:rsid w:val="1DAF6046"/>
    <w:rsid w:val="1DB960E5"/>
    <w:rsid w:val="1DC767F5"/>
    <w:rsid w:val="1DD45AAC"/>
    <w:rsid w:val="1DDB719F"/>
    <w:rsid w:val="1DF75C3F"/>
    <w:rsid w:val="1DFC5003"/>
    <w:rsid w:val="1E004AF3"/>
    <w:rsid w:val="1E0277E4"/>
    <w:rsid w:val="1E032835"/>
    <w:rsid w:val="1E0A387F"/>
    <w:rsid w:val="1E122A78"/>
    <w:rsid w:val="1E2527AC"/>
    <w:rsid w:val="1E296067"/>
    <w:rsid w:val="1E42335E"/>
    <w:rsid w:val="1E543091"/>
    <w:rsid w:val="1E5E5132"/>
    <w:rsid w:val="1E6E4153"/>
    <w:rsid w:val="1E735627"/>
    <w:rsid w:val="1E8C45D9"/>
    <w:rsid w:val="1EA336D1"/>
    <w:rsid w:val="1EA77665"/>
    <w:rsid w:val="1EB14D57"/>
    <w:rsid w:val="1EB1601C"/>
    <w:rsid w:val="1EBE5EA1"/>
    <w:rsid w:val="1EC41E3F"/>
    <w:rsid w:val="1ECE4BF1"/>
    <w:rsid w:val="1ED27DCF"/>
    <w:rsid w:val="1F022D8D"/>
    <w:rsid w:val="1F040613"/>
    <w:rsid w:val="1F0D6D94"/>
    <w:rsid w:val="1F134CFA"/>
    <w:rsid w:val="1F186F92"/>
    <w:rsid w:val="1F1D3483"/>
    <w:rsid w:val="1F2100E2"/>
    <w:rsid w:val="1F2138EB"/>
    <w:rsid w:val="1F242A63"/>
    <w:rsid w:val="1F6115C2"/>
    <w:rsid w:val="1F69491A"/>
    <w:rsid w:val="1F6F1B08"/>
    <w:rsid w:val="1F71091D"/>
    <w:rsid w:val="1F860324"/>
    <w:rsid w:val="1F887176"/>
    <w:rsid w:val="1F8A1924"/>
    <w:rsid w:val="1F8F25D3"/>
    <w:rsid w:val="1F925C1F"/>
    <w:rsid w:val="1F933A50"/>
    <w:rsid w:val="1FA3607E"/>
    <w:rsid w:val="1FA45298"/>
    <w:rsid w:val="1FB22E97"/>
    <w:rsid w:val="1FBE07C2"/>
    <w:rsid w:val="1FD61FB0"/>
    <w:rsid w:val="1FED10A7"/>
    <w:rsid w:val="1FF72E31"/>
    <w:rsid w:val="1FF74EA9"/>
    <w:rsid w:val="1FFC0927"/>
    <w:rsid w:val="1FFE3FD4"/>
    <w:rsid w:val="1FFF3378"/>
    <w:rsid w:val="20054643"/>
    <w:rsid w:val="201B7BC2"/>
    <w:rsid w:val="202A4C7D"/>
    <w:rsid w:val="202E47D6"/>
    <w:rsid w:val="203C6C45"/>
    <w:rsid w:val="20491632"/>
    <w:rsid w:val="20527E04"/>
    <w:rsid w:val="20535295"/>
    <w:rsid w:val="205729C5"/>
    <w:rsid w:val="205C03F4"/>
    <w:rsid w:val="205E1FA5"/>
    <w:rsid w:val="2067008A"/>
    <w:rsid w:val="206C499D"/>
    <w:rsid w:val="206D21E8"/>
    <w:rsid w:val="20721597"/>
    <w:rsid w:val="207215AC"/>
    <w:rsid w:val="20790B8D"/>
    <w:rsid w:val="208E0306"/>
    <w:rsid w:val="20A24D52"/>
    <w:rsid w:val="20A976C4"/>
    <w:rsid w:val="20AD3775"/>
    <w:rsid w:val="20B020A7"/>
    <w:rsid w:val="20B120D5"/>
    <w:rsid w:val="20B80C73"/>
    <w:rsid w:val="20BA11DD"/>
    <w:rsid w:val="20C242E2"/>
    <w:rsid w:val="20CA13E8"/>
    <w:rsid w:val="20CB12D5"/>
    <w:rsid w:val="20DB53A4"/>
    <w:rsid w:val="20EE157B"/>
    <w:rsid w:val="20F52909"/>
    <w:rsid w:val="20F74498"/>
    <w:rsid w:val="20FF63E2"/>
    <w:rsid w:val="210668C5"/>
    <w:rsid w:val="21094AE0"/>
    <w:rsid w:val="210E39CB"/>
    <w:rsid w:val="211B1C44"/>
    <w:rsid w:val="21254871"/>
    <w:rsid w:val="21263B5B"/>
    <w:rsid w:val="21311468"/>
    <w:rsid w:val="21313216"/>
    <w:rsid w:val="21470C8B"/>
    <w:rsid w:val="214C0E71"/>
    <w:rsid w:val="214D5A5C"/>
    <w:rsid w:val="21535882"/>
    <w:rsid w:val="21562C7C"/>
    <w:rsid w:val="215A276C"/>
    <w:rsid w:val="215D476D"/>
    <w:rsid w:val="215F4E8A"/>
    <w:rsid w:val="21620A6E"/>
    <w:rsid w:val="21626312"/>
    <w:rsid w:val="216B6A06"/>
    <w:rsid w:val="21723F5A"/>
    <w:rsid w:val="21764626"/>
    <w:rsid w:val="21886E30"/>
    <w:rsid w:val="218B501C"/>
    <w:rsid w:val="21957C48"/>
    <w:rsid w:val="219739C1"/>
    <w:rsid w:val="219A525F"/>
    <w:rsid w:val="21A25EC1"/>
    <w:rsid w:val="21A4525A"/>
    <w:rsid w:val="21B04A82"/>
    <w:rsid w:val="21B53E47"/>
    <w:rsid w:val="21BF4CC5"/>
    <w:rsid w:val="21CB69A9"/>
    <w:rsid w:val="21DC7625"/>
    <w:rsid w:val="21E343DC"/>
    <w:rsid w:val="21E40288"/>
    <w:rsid w:val="21ED538F"/>
    <w:rsid w:val="21F42BC1"/>
    <w:rsid w:val="21F91F85"/>
    <w:rsid w:val="21F93D33"/>
    <w:rsid w:val="220F2F23"/>
    <w:rsid w:val="220F47F9"/>
    <w:rsid w:val="22205764"/>
    <w:rsid w:val="222114DC"/>
    <w:rsid w:val="2230218C"/>
    <w:rsid w:val="22356D36"/>
    <w:rsid w:val="224C0AEF"/>
    <w:rsid w:val="22596EC8"/>
    <w:rsid w:val="226732BD"/>
    <w:rsid w:val="2274785E"/>
    <w:rsid w:val="228D0920"/>
    <w:rsid w:val="228F7500"/>
    <w:rsid w:val="2297761B"/>
    <w:rsid w:val="22A87507"/>
    <w:rsid w:val="22BD1205"/>
    <w:rsid w:val="22C233F3"/>
    <w:rsid w:val="22C30A5B"/>
    <w:rsid w:val="22C81958"/>
    <w:rsid w:val="22C95DFC"/>
    <w:rsid w:val="22D14CB0"/>
    <w:rsid w:val="22E542B8"/>
    <w:rsid w:val="22EA5CE4"/>
    <w:rsid w:val="22EC3898"/>
    <w:rsid w:val="22F42078"/>
    <w:rsid w:val="22F65234"/>
    <w:rsid w:val="22FB3FA8"/>
    <w:rsid w:val="230230BC"/>
    <w:rsid w:val="230C7A96"/>
    <w:rsid w:val="23166B67"/>
    <w:rsid w:val="234B1E55"/>
    <w:rsid w:val="234D7060"/>
    <w:rsid w:val="23515944"/>
    <w:rsid w:val="23570963"/>
    <w:rsid w:val="23582CDC"/>
    <w:rsid w:val="235C0A1E"/>
    <w:rsid w:val="236E69A3"/>
    <w:rsid w:val="23724388"/>
    <w:rsid w:val="2374033C"/>
    <w:rsid w:val="237408CA"/>
    <w:rsid w:val="23757C18"/>
    <w:rsid w:val="23775858"/>
    <w:rsid w:val="238166D6"/>
    <w:rsid w:val="23843AD1"/>
    <w:rsid w:val="239D302C"/>
    <w:rsid w:val="239E1FF2"/>
    <w:rsid w:val="23AC7179"/>
    <w:rsid w:val="23AD74CB"/>
    <w:rsid w:val="23AE4FF1"/>
    <w:rsid w:val="23B80E5E"/>
    <w:rsid w:val="23C55B03"/>
    <w:rsid w:val="23CB6437"/>
    <w:rsid w:val="23D507D0"/>
    <w:rsid w:val="23D9206E"/>
    <w:rsid w:val="23F058F7"/>
    <w:rsid w:val="23F37571"/>
    <w:rsid w:val="240072E8"/>
    <w:rsid w:val="240E783E"/>
    <w:rsid w:val="241412F8"/>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B11346"/>
    <w:rsid w:val="24B8590D"/>
    <w:rsid w:val="24B905B9"/>
    <w:rsid w:val="24BB1774"/>
    <w:rsid w:val="24BD71A8"/>
    <w:rsid w:val="24D548E3"/>
    <w:rsid w:val="24D6035C"/>
    <w:rsid w:val="24D665AE"/>
    <w:rsid w:val="24EC0F48"/>
    <w:rsid w:val="24F125CC"/>
    <w:rsid w:val="24F42ED8"/>
    <w:rsid w:val="251B66B7"/>
    <w:rsid w:val="253357AE"/>
    <w:rsid w:val="2536704D"/>
    <w:rsid w:val="253F7A13"/>
    <w:rsid w:val="254F010E"/>
    <w:rsid w:val="2561056D"/>
    <w:rsid w:val="257B2708"/>
    <w:rsid w:val="257E2025"/>
    <w:rsid w:val="257F6C45"/>
    <w:rsid w:val="258778A8"/>
    <w:rsid w:val="259A65EA"/>
    <w:rsid w:val="259D70CC"/>
    <w:rsid w:val="25A77F4A"/>
    <w:rsid w:val="25A862DF"/>
    <w:rsid w:val="25AF70F4"/>
    <w:rsid w:val="25B13D7D"/>
    <w:rsid w:val="25B52667"/>
    <w:rsid w:val="25BB72CB"/>
    <w:rsid w:val="25C40AFC"/>
    <w:rsid w:val="25C77B3F"/>
    <w:rsid w:val="25C94365"/>
    <w:rsid w:val="25CA43A7"/>
    <w:rsid w:val="25CE197B"/>
    <w:rsid w:val="25F203BA"/>
    <w:rsid w:val="25FA2770"/>
    <w:rsid w:val="25FE3495"/>
    <w:rsid w:val="260A341E"/>
    <w:rsid w:val="26105AEF"/>
    <w:rsid w:val="26143E25"/>
    <w:rsid w:val="26162FF5"/>
    <w:rsid w:val="261D58CB"/>
    <w:rsid w:val="26265313"/>
    <w:rsid w:val="2636290B"/>
    <w:rsid w:val="26393298"/>
    <w:rsid w:val="263B7010"/>
    <w:rsid w:val="26431A21"/>
    <w:rsid w:val="26451C3D"/>
    <w:rsid w:val="264C410F"/>
    <w:rsid w:val="26667E05"/>
    <w:rsid w:val="26720558"/>
    <w:rsid w:val="26747E2C"/>
    <w:rsid w:val="26793695"/>
    <w:rsid w:val="2685203A"/>
    <w:rsid w:val="26926505"/>
    <w:rsid w:val="26A17DE4"/>
    <w:rsid w:val="26C03072"/>
    <w:rsid w:val="26C17F9E"/>
    <w:rsid w:val="26DF2600"/>
    <w:rsid w:val="26EA27E4"/>
    <w:rsid w:val="26EF572B"/>
    <w:rsid w:val="26F40614"/>
    <w:rsid w:val="26F947D6"/>
    <w:rsid w:val="27070CA1"/>
    <w:rsid w:val="270C62B7"/>
    <w:rsid w:val="27167136"/>
    <w:rsid w:val="271E5FEA"/>
    <w:rsid w:val="273D46C2"/>
    <w:rsid w:val="2767173F"/>
    <w:rsid w:val="276C4964"/>
    <w:rsid w:val="27747911"/>
    <w:rsid w:val="27801341"/>
    <w:rsid w:val="278E1F0E"/>
    <w:rsid w:val="279E53FC"/>
    <w:rsid w:val="27A26AA4"/>
    <w:rsid w:val="27BA026B"/>
    <w:rsid w:val="27BE1EE9"/>
    <w:rsid w:val="27CB7D59"/>
    <w:rsid w:val="27D8088F"/>
    <w:rsid w:val="27DD40F7"/>
    <w:rsid w:val="27F11841"/>
    <w:rsid w:val="28001620"/>
    <w:rsid w:val="28054684"/>
    <w:rsid w:val="280A18FA"/>
    <w:rsid w:val="281652C2"/>
    <w:rsid w:val="28235CB1"/>
    <w:rsid w:val="28237D5C"/>
    <w:rsid w:val="284444C1"/>
    <w:rsid w:val="284657F9"/>
    <w:rsid w:val="28593962"/>
    <w:rsid w:val="28612632"/>
    <w:rsid w:val="28645844"/>
    <w:rsid w:val="28702875"/>
    <w:rsid w:val="287205E0"/>
    <w:rsid w:val="288051AE"/>
    <w:rsid w:val="288307FB"/>
    <w:rsid w:val="28840803"/>
    <w:rsid w:val="288B76AF"/>
    <w:rsid w:val="288E7690"/>
    <w:rsid w:val="2892356B"/>
    <w:rsid w:val="28A013AD"/>
    <w:rsid w:val="28AD1D1C"/>
    <w:rsid w:val="28C61126"/>
    <w:rsid w:val="28CD6A08"/>
    <w:rsid w:val="28E16812"/>
    <w:rsid w:val="28E45F21"/>
    <w:rsid w:val="28E55011"/>
    <w:rsid w:val="28F92766"/>
    <w:rsid w:val="2920604A"/>
    <w:rsid w:val="2925213E"/>
    <w:rsid w:val="29283150"/>
    <w:rsid w:val="292A511A"/>
    <w:rsid w:val="292F0982"/>
    <w:rsid w:val="294257CB"/>
    <w:rsid w:val="295201CD"/>
    <w:rsid w:val="29575541"/>
    <w:rsid w:val="2958126A"/>
    <w:rsid w:val="29641857"/>
    <w:rsid w:val="296A19BB"/>
    <w:rsid w:val="29796F88"/>
    <w:rsid w:val="29883BEF"/>
    <w:rsid w:val="29946A38"/>
    <w:rsid w:val="299627B0"/>
    <w:rsid w:val="29973FC9"/>
    <w:rsid w:val="299B6018"/>
    <w:rsid w:val="299C1C19"/>
    <w:rsid w:val="29A0718A"/>
    <w:rsid w:val="29A273A6"/>
    <w:rsid w:val="29A547A1"/>
    <w:rsid w:val="29AB7F2B"/>
    <w:rsid w:val="29B23BBA"/>
    <w:rsid w:val="29B77403"/>
    <w:rsid w:val="29C21110"/>
    <w:rsid w:val="29D3130E"/>
    <w:rsid w:val="29F034B9"/>
    <w:rsid w:val="29F574D6"/>
    <w:rsid w:val="29FD7BB5"/>
    <w:rsid w:val="2A01191F"/>
    <w:rsid w:val="2A0616E3"/>
    <w:rsid w:val="2A0E67EA"/>
    <w:rsid w:val="2A157B78"/>
    <w:rsid w:val="2A202079"/>
    <w:rsid w:val="2A204246"/>
    <w:rsid w:val="2A247DBB"/>
    <w:rsid w:val="2A252C00"/>
    <w:rsid w:val="2A263B34"/>
    <w:rsid w:val="2A2658E2"/>
    <w:rsid w:val="2A351FC9"/>
    <w:rsid w:val="2A3C3357"/>
    <w:rsid w:val="2A3D2C2B"/>
    <w:rsid w:val="2A461C9A"/>
    <w:rsid w:val="2A5F7045"/>
    <w:rsid w:val="2A624DAB"/>
    <w:rsid w:val="2A703001"/>
    <w:rsid w:val="2A7072EF"/>
    <w:rsid w:val="2A764E36"/>
    <w:rsid w:val="2A7F3C99"/>
    <w:rsid w:val="2A7F4FF2"/>
    <w:rsid w:val="2A826529"/>
    <w:rsid w:val="2A975BCA"/>
    <w:rsid w:val="2AC06748"/>
    <w:rsid w:val="2AC44732"/>
    <w:rsid w:val="2AC656AD"/>
    <w:rsid w:val="2AC70C94"/>
    <w:rsid w:val="2ACE1AD5"/>
    <w:rsid w:val="2ACF5F79"/>
    <w:rsid w:val="2AE51C90"/>
    <w:rsid w:val="2AE75C53"/>
    <w:rsid w:val="2AEB08D9"/>
    <w:rsid w:val="2AEC23B9"/>
    <w:rsid w:val="2AF21C68"/>
    <w:rsid w:val="2AF23A16"/>
    <w:rsid w:val="2AF4148F"/>
    <w:rsid w:val="2AF8282F"/>
    <w:rsid w:val="2AFF670F"/>
    <w:rsid w:val="2B154319"/>
    <w:rsid w:val="2B2A77D1"/>
    <w:rsid w:val="2B2D0EF2"/>
    <w:rsid w:val="2B2F6A18"/>
    <w:rsid w:val="2B320492"/>
    <w:rsid w:val="2B3C2EE3"/>
    <w:rsid w:val="2B434271"/>
    <w:rsid w:val="2B473D61"/>
    <w:rsid w:val="2B487ADA"/>
    <w:rsid w:val="2B514BE0"/>
    <w:rsid w:val="2B8419BB"/>
    <w:rsid w:val="2B870602"/>
    <w:rsid w:val="2B93029A"/>
    <w:rsid w:val="2B960820"/>
    <w:rsid w:val="2BA72A52"/>
    <w:rsid w:val="2BA94A1C"/>
    <w:rsid w:val="2BB93744"/>
    <w:rsid w:val="2BCC4267"/>
    <w:rsid w:val="2BCF1785"/>
    <w:rsid w:val="2BDA3543"/>
    <w:rsid w:val="2BE07C9D"/>
    <w:rsid w:val="2BE07D12"/>
    <w:rsid w:val="2BF12898"/>
    <w:rsid w:val="2BF51A0F"/>
    <w:rsid w:val="2BF72CE4"/>
    <w:rsid w:val="2BFE4851"/>
    <w:rsid w:val="2C0725E1"/>
    <w:rsid w:val="2C245E51"/>
    <w:rsid w:val="2C2A57F5"/>
    <w:rsid w:val="2C323E1B"/>
    <w:rsid w:val="2C351E0C"/>
    <w:rsid w:val="2C3657B6"/>
    <w:rsid w:val="2C4604BD"/>
    <w:rsid w:val="2C4D265A"/>
    <w:rsid w:val="2C626979"/>
    <w:rsid w:val="2C6B1CD2"/>
    <w:rsid w:val="2C6F0711"/>
    <w:rsid w:val="2C6F0EDD"/>
    <w:rsid w:val="2C7843EE"/>
    <w:rsid w:val="2C932FD6"/>
    <w:rsid w:val="2C9C00DD"/>
    <w:rsid w:val="2CA156F3"/>
    <w:rsid w:val="2CAD35A4"/>
    <w:rsid w:val="2CB216AE"/>
    <w:rsid w:val="2CB2345D"/>
    <w:rsid w:val="2CB30491"/>
    <w:rsid w:val="2CBC077F"/>
    <w:rsid w:val="2CCD06C9"/>
    <w:rsid w:val="2CCF04B2"/>
    <w:rsid w:val="2CE675AA"/>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51608"/>
    <w:rsid w:val="2DEA131C"/>
    <w:rsid w:val="2DFE05F6"/>
    <w:rsid w:val="2E0423DE"/>
    <w:rsid w:val="2E04418C"/>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7F3812"/>
    <w:rsid w:val="2E8E1CA7"/>
    <w:rsid w:val="2EA441F6"/>
    <w:rsid w:val="2EA80FBB"/>
    <w:rsid w:val="2EAB4607"/>
    <w:rsid w:val="2EB711FE"/>
    <w:rsid w:val="2EC06357"/>
    <w:rsid w:val="2EC1207D"/>
    <w:rsid w:val="2EC15BD9"/>
    <w:rsid w:val="2EC53539"/>
    <w:rsid w:val="2ECA39AF"/>
    <w:rsid w:val="2ECC4915"/>
    <w:rsid w:val="2ECF113A"/>
    <w:rsid w:val="2ED00512"/>
    <w:rsid w:val="2EDF69A7"/>
    <w:rsid w:val="2EF7784D"/>
    <w:rsid w:val="2EFA558F"/>
    <w:rsid w:val="2EFE507F"/>
    <w:rsid w:val="2F0223AB"/>
    <w:rsid w:val="2F430CE4"/>
    <w:rsid w:val="2F452CAE"/>
    <w:rsid w:val="2F5527C5"/>
    <w:rsid w:val="2F5C7FF7"/>
    <w:rsid w:val="2F5E78CC"/>
    <w:rsid w:val="2F6957CC"/>
    <w:rsid w:val="2F754C15"/>
    <w:rsid w:val="2F840494"/>
    <w:rsid w:val="2F857792"/>
    <w:rsid w:val="2F8A06C1"/>
    <w:rsid w:val="2F8A6440"/>
    <w:rsid w:val="2F927575"/>
    <w:rsid w:val="2FB471B8"/>
    <w:rsid w:val="2FC242FE"/>
    <w:rsid w:val="2FC400E6"/>
    <w:rsid w:val="2FCC6F2B"/>
    <w:rsid w:val="2FCD4A51"/>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12C04"/>
    <w:rsid w:val="310C5404"/>
    <w:rsid w:val="311346E6"/>
    <w:rsid w:val="311D18F2"/>
    <w:rsid w:val="311E5564"/>
    <w:rsid w:val="31285B60"/>
    <w:rsid w:val="313A6116"/>
    <w:rsid w:val="313A7EC4"/>
    <w:rsid w:val="31413001"/>
    <w:rsid w:val="314A0092"/>
    <w:rsid w:val="31532D34"/>
    <w:rsid w:val="31534C28"/>
    <w:rsid w:val="31610221"/>
    <w:rsid w:val="316D2048"/>
    <w:rsid w:val="316F5349"/>
    <w:rsid w:val="317C7A6B"/>
    <w:rsid w:val="3196159F"/>
    <w:rsid w:val="319962F6"/>
    <w:rsid w:val="319B63CF"/>
    <w:rsid w:val="319F72C8"/>
    <w:rsid w:val="31A57ABC"/>
    <w:rsid w:val="31A735CA"/>
    <w:rsid w:val="31B45EC9"/>
    <w:rsid w:val="31C37EBA"/>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C441C"/>
    <w:rsid w:val="326C2300"/>
    <w:rsid w:val="326F3B9E"/>
    <w:rsid w:val="327B69E7"/>
    <w:rsid w:val="327F0285"/>
    <w:rsid w:val="327F64D7"/>
    <w:rsid w:val="3287538B"/>
    <w:rsid w:val="3291620A"/>
    <w:rsid w:val="3293788C"/>
    <w:rsid w:val="32955444"/>
    <w:rsid w:val="32991A14"/>
    <w:rsid w:val="329A50BF"/>
    <w:rsid w:val="32AA336E"/>
    <w:rsid w:val="32AB5B23"/>
    <w:rsid w:val="32AF6333"/>
    <w:rsid w:val="32BF4B25"/>
    <w:rsid w:val="32D06D32"/>
    <w:rsid w:val="32DB1C5F"/>
    <w:rsid w:val="32DD7134"/>
    <w:rsid w:val="32DE617E"/>
    <w:rsid w:val="32F347CF"/>
    <w:rsid w:val="32F56799"/>
    <w:rsid w:val="32F62030"/>
    <w:rsid w:val="32FA1ACE"/>
    <w:rsid w:val="32FE25CD"/>
    <w:rsid w:val="33114C55"/>
    <w:rsid w:val="33240E2C"/>
    <w:rsid w:val="3328091C"/>
    <w:rsid w:val="332C1A8F"/>
    <w:rsid w:val="33353039"/>
    <w:rsid w:val="33501C21"/>
    <w:rsid w:val="335E62F2"/>
    <w:rsid w:val="336851BD"/>
    <w:rsid w:val="337B4EF0"/>
    <w:rsid w:val="33811DDB"/>
    <w:rsid w:val="338E62A6"/>
    <w:rsid w:val="339320C6"/>
    <w:rsid w:val="33A1247D"/>
    <w:rsid w:val="33A67A93"/>
    <w:rsid w:val="33A855B9"/>
    <w:rsid w:val="33A9318D"/>
    <w:rsid w:val="33B977C6"/>
    <w:rsid w:val="33BE0B87"/>
    <w:rsid w:val="33BF2903"/>
    <w:rsid w:val="33C323F3"/>
    <w:rsid w:val="33C543BD"/>
    <w:rsid w:val="33CA19D4"/>
    <w:rsid w:val="33D978ED"/>
    <w:rsid w:val="33DC1707"/>
    <w:rsid w:val="33E323BD"/>
    <w:rsid w:val="33EA3373"/>
    <w:rsid w:val="33EA3E24"/>
    <w:rsid w:val="33EC40A9"/>
    <w:rsid w:val="33EC7B9C"/>
    <w:rsid w:val="33FE31F0"/>
    <w:rsid w:val="340516CD"/>
    <w:rsid w:val="340F5638"/>
    <w:rsid w:val="340F73E6"/>
    <w:rsid w:val="341113B0"/>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AA710F"/>
    <w:rsid w:val="34B561E0"/>
    <w:rsid w:val="34BF705E"/>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C420B"/>
    <w:rsid w:val="353F5480"/>
    <w:rsid w:val="35464E57"/>
    <w:rsid w:val="355D23D3"/>
    <w:rsid w:val="35681BF4"/>
    <w:rsid w:val="356E638F"/>
    <w:rsid w:val="357339A5"/>
    <w:rsid w:val="35803E13"/>
    <w:rsid w:val="35845BB2"/>
    <w:rsid w:val="358A766C"/>
    <w:rsid w:val="358B239B"/>
    <w:rsid w:val="35904557"/>
    <w:rsid w:val="359152E1"/>
    <w:rsid w:val="3592207D"/>
    <w:rsid w:val="35A3428A"/>
    <w:rsid w:val="35A54015"/>
    <w:rsid w:val="35C3492C"/>
    <w:rsid w:val="35D94B0C"/>
    <w:rsid w:val="35DA3A24"/>
    <w:rsid w:val="35E13F3F"/>
    <w:rsid w:val="35ED12BD"/>
    <w:rsid w:val="35F65BD2"/>
    <w:rsid w:val="360C48A6"/>
    <w:rsid w:val="361B02C4"/>
    <w:rsid w:val="362D624A"/>
    <w:rsid w:val="363941FA"/>
    <w:rsid w:val="364F4412"/>
    <w:rsid w:val="36634BAA"/>
    <w:rsid w:val="36685852"/>
    <w:rsid w:val="367560AE"/>
    <w:rsid w:val="36826596"/>
    <w:rsid w:val="368340BC"/>
    <w:rsid w:val="3699743B"/>
    <w:rsid w:val="369E2CA4"/>
    <w:rsid w:val="36A302BA"/>
    <w:rsid w:val="36C9112D"/>
    <w:rsid w:val="36C97DF8"/>
    <w:rsid w:val="36D36DF1"/>
    <w:rsid w:val="36DA45EC"/>
    <w:rsid w:val="36DD41B5"/>
    <w:rsid w:val="36EA0E4B"/>
    <w:rsid w:val="36F17277"/>
    <w:rsid w:val="36F24A5F"/>
    <w:rsid w:val="36F56D67"/>
    <w:rsid w:val="3713725C"/>
    <w:rsid w:val="371C29D2"/>
    <w:rsid w:val="372C4753"/>
    <w:rsid w:val="37473116"/>
    <w:rsid w:val="3748158D"/>
    <w:rsid w:val="375F2433"/>
    <w:rsid w:val="37712166"/>
    <w:rsid w:val="3772660A"/>
    <w:rsid w:val="377F4883"/>
    <w:rsid w:val="37827BA6"/>
    <w:rsid w:val="3795719C"/>
    <w:rsid w:val="379E11AD"/>
    <w:rsid w:val="37A740D2"/>
    <w:rsid w:val="37AE3AA5"/>
    <w:rsid w:val="37B07132"/>
    <w:rsid w:val="37B64AD5"/>
    <w:rsid w:val="37BF775F"/>
    <w:rsid w:val="37C70626"/>
    <w:rsid w:val="37DA41AF"/>
    <w:rsid w:val="37E87F69"/>
    <w:rsid w:val="37EA34C5"/>
    <w:rsid w:val="380B25BB"/>
    <w:rsid w:val="380F4FE6"/>
    <w:rsid w:val="38196A86"/>
    <w:rsid w:val="381A1CAB"/>
    <w:rsid w:val="381F33F8"/>
    <w:rsid w:val="3821593A"/>
    <w:rsid w:val="38291D9F"/>
    <w:rsid w:val="383D6B6F"/>
    <w:rsid w:val="3841186D"/>
    <w:rsid w:val="384C7516"/>
    <w:rsid w:val="3853698F"/>
    <w:rsid w:val="3857135C"/>
    <w:rsid w:val="385B0E4C"/>
    <w:rsid w:val="38607848"/>
    <w:rsid w:val="38726196"/>
    <w:rsid w:val="38743CBC"/>
    <w:rsid w:val="387864DB"/>
    <w:rsid w:val="387F4E48"/>
    <w:rsid w:val="388D2FD0"/>
    <w:rsid w:val="38922A9A"/>
    <w:rsid w:val="389D3895"/>
    <w:rsid w:val="389F4656"/>
    <w:rsid w:val="38A02D03"/>
    <w:rsid w:val="38A071A7"/>
    <w:rsid w:val="38AD71CE"/>
    <w:rsid w:val="38AF1198"/>
    <w:rsid w:val="38B13162"/>
    <w:rsid w:val="38C71FDF"/>
    <w:rsid w:val="38CD161E"/>
    <w:rsid w:val="38D1110E"/>
    <w:rsid w:val="38D429AD"/>
    <w:rsid w:val="38DC28FA"/>
    <w:rsid w:val="38E928FC"/>
    <w:rsid w:val="38EC5F48"/>
    <w:rsid w:val="38EF5A38"/>
    <w:rsid w:val="38FC1F69"/>
    <w:rsid w:val="39007E86"/>
    <w:rsid w:val="3914724D"/>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E47D4"/>
    <w:rsid w:val="39BE51FE"/>
    <w:rsid w:val="39D21271"/>
    <w:rsid w:val="39DB63A8"/>
    <w:rsid w:val="39DC5FBD"/>
    <w:rsid w:val="39F61F6E"/>
    <w:rsid w:val="39F74BA5"/>
    <w:rsid w:val="39F94DC1"/>
    <w:rsid w:val="3A0245B7"/>
    <w:rsid w:val="3A10210A"/>
    <w:rsid w:val="3A1E65D5"/>
    <w:rsid w:val="3A3A5794"/>
    <w:rsid w:val="3A4678DA"/>
    <w:rsid w:val="3A4B4EF0"/>
    <w:rsid w:val="3A5622C2"/>
    <w:rsid w:val="3A5774FB"/>
    <w:rsid w:val="3A6B3AAC"/>
    <w:rsid w:val="3A6F5083"/>
    <w:rsid w:val="3A7A02A6"/>
    <w:rsid w:val="3A7A70F1"/>
    <w:rsid w:val="3A954453"/>
    <w:rsid w:val="3A993EAE"/>
    <w:rsid w:val="3A9B19D4"/>
    <w:rsid w:val="3A9B5E78"/>
    <w:rsid w:val="3AA06FEA"/>
    <w:rsid w:val="3AA50B87"/>
    <w:rsid w:val="3AA52853"/>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4E2EEA"/>
    <w:rsid w:val="3B516536"/>
    <w:rsid w:val="3B8A4892"/>
    <w:rsid w:val="3B8A5AD7"/>
    <w:rsid w:val="3B981708"/>
    <w:rsid w:val="3BAF5AF0"/>
    <w:rsid w:val="3BB05953"/>
    <w:rsid w:val="3BB80364"/>
    <w:rsid w:val="3BC729A1"/>
    <w:rsid w:val="3BDD601C"/>
    <w:rsid w:val="3BE178BA"/>
    <w:rsid w:val="3BE473AB"/>
    <w:rsid w:val="3BF534C5"/>
    <w:rsid w:val="3BFD1854"/>
    <w:rsid w:val="3BFD221A"/>
    <w:rsid w:val="3BFE4802"/>
    <w:rsid w:val="3C0435A9"/>
    <w:rsid w:val="3C073099"/>
    <w:rsid w:val="3C0C6A1A"/>
    <w:rsid w:val="3C1732DC"/>
    <w:rsid w:val="3C1A0A88"/>
    <w:rsid w:val="3C1F3894"/>
    <w:rsid w:val="3C2854E9"/>
    <w:rsid w:val="3C29300F"/>
    <w:rsid w:val="3C343766"/>
    <w:rsid w:val="3C3E2F5F"/>
    <w:rsid w:val="3C5067EE"/>
    <w:rsid w:val="3C5C33E5"/>
    <w:rsid w:val="3C5D51AA"/>
    <w:rsid w:val="3C5D7623"/>
    <w:rsid w:val="3C74452F"/>
    <w:rsid w:val="3C7626F9"/>
    <w:rsid w:val="3C8F29F6"/>
    <w:rsid w:val="3C9C7C85"/>
    <w:rsid w:val="3CA22844"/>
    <w:rsid w:val="3CA97EC6"/>
    <w:rsid w:val="3CAF5C0A"/>
    <w:rsid w:val="3CB23005"/>
    <w:rsid w:val="3CBC20D5"/>
    <w:rsid w:val="3CDB255C"/>
    <w:rsid w:val="3CE010E0"/>
    <w:rsid w:val="3CE62E07"/>
    <w:rsid w:val="3CE83B32"/>
    <w:rsid w:val="3CF4186F"/>
    <w:rsid w:val="3CFB0E50"/>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C55BE"/>
    <w:rsid w:val="3DDF6D98"/>
    <w:rsid w:val="3DF7160A"/>
    <w:rsid w:val="3E0B6E71"/>
    <w:rsid w:val="3E10092B"/>
    <w:rsid w:val="3E1A5306"/>
    <w:rsid w:val="3E301089"/>
    <w:rsid w:val="3E386294"/>
    <w:rsid w:val="3E394DF5"/>
    <w:rsid w:val="3E401B76"/>
    <w:rsid w:val="3E522CF1"/>
    <w:rsid w:val="3E5B6455"/>
    <w:rsid w:val="3E6A14E0"/>
    <w:rsid w:val="3E6A30FB"/>
    <w:rsid w:val="3E7A2248"/>
    <w:rsid w:val="3E7F160D"/>
    <w:rsid w:val="3E7F3E91"/>
    <w:rsid w:val="3E834C59"/>
    <w:rsid w:val="3E9C6AC7"/>
    <w:rsid w:val="3EC7548D"/>
    <w:rsid w:val="3ECA14CD"/>
    <w:rsid w:val="3ECC2AA4"/>
    <w:rsid w:val="3EDC6D05"/>
    <w:rsid w:val="3EDF328B"/>
    <w:rsid w:val="3EE45785"/>
    <w:rsid w:val="3EF01478"/>
    <w:rsid w:val="3F010273"/>
    <w:rsid w:val="3F025D19"/>
    <w:rsid w:val="3F0F15A0"/>
    <w:rsid w:val="3F175A58"/>
    <w:rsid w:val="3F185CE9"/>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A330D9"/>
    <w:rsid w:val="3FA56E51"/>
    <w:rsid w:val="3FA94B93"/>
    <w:rsid w:val="3FB079AD"/>
    <w:rsid w:val="3FB10C6C"/>
    <w:rsid w:val="3FCF2120"/>
    <w:rsid w:val="3FD37E62"/>
    <w:rsid w:val="3FE77469"/>
    <w:rsid w:val="3FF1653A"/>
    <w:rsid w:val="3FFA0F4B"/>
    <w:rsid w:val="3FFD4C7F"/>
    <w:rsid w:val="3FFE50BE"/>
    <w:rsid w:val="4004001B"/>
    <w:rsid w:val="401044D8"/>
    <w:rsid w:val="402406BD"/>
    <w:rsid w:val="40322C2A"/>
    <w:rsid w:val="40322DDA"/>
    <w:rsid w:val="40331AD1"/>
    <w:rsid w:val="403C77B5"/>
    <w:rsid w:val="40413F9B"/>
    <w:rsid w:val="404C42EC"/>
    <w:rsid w:val="405014B2"/>
    <w:rsid w:val="405C558A"/>
    <w:rsid w:val="40646FF5"/>
    <w:rsid w:val="406B009A"/>
    <w:rsid w:val="40980F5A"/>
    <w:rsid w:val="409B285D"/>
    <w:rsid w:val="40A45DCB"/>
    <w:rsid w:val="40C31C84"/>
    <w:rsid w:val="40D07EFD"/>
    <w:rsid w:val="40E83499"/>
    <w:rsid w:val="40F76D9B"/>
    <w:rsid w:val="40F808A6"/>
    <w:rsid w:val="41026000"/>
    <w:rsid w:val="410909FB"/>
    <w:rsid w:val="410F6C78"/>
    <w:rsid w:val="411D22EE"/>
    <w:rsid w:val="41232504"/>
    <w:rsid w:val="413B181B"/>
    <w:rsid w:val="414F2AD7"/>
    <w:rsid w:val="41606DE8"/>
    <w:rsid w:val="41656898"/>
    <w:rsid w:val="41744D2D"/>
    <w:rsid w:val="41751B51"/>
    <w:rsid w:val="41757046"/>
    <w:rsid w:val="41847BE4"/>
    <w:rsid w:val="419453CF"/>
    <w:rsid w:val="419D0727"/>
    <w:rsid w:val="41A170DA"/>
    <w:rsid w:val="41A2189A"/>
    <w:rsid w:val="41A33431"/>
    <w:rsid w:val="41A60113"/>
    <w:rsid w:val="41A76EB0"/>
    <w:rsid w:val="41BD63D6"/>
    <w:rsid w:val="41C724C5"/>
    <w:rsid w:val="41C81330"/>
    <w:rsid w:val="41CD50C5"/>
    <w:rsid w:val="41D47FAF"/>
    <w:rsid w:val="41D708E3"/>
    <w:rsid w:val="41E55808"/>
    <w:rsid w:val="41EB51CB"/>
    <w:rsid w:val="41F8770C"/>
    <w:rsid w:val="41FA16D6"/>
    <w:rsid w:val="4205007B"/>
    <w:rsid w:val="42070F19"/>
    <w:rsid w:val="424566C9"/>
    <w:rsid w:val="424A495F"/>
    <w:rsid w:val="426D6C42"/>
    <w:rsid w:val="4278084D"/>
    <w:rsid w:val="427F607F"/>
    <w:rsid w:val="428A2184"/>
    <w:rsid w:val="42A31D6D"/>
    <w:rsid w:val="42AC7A3A"/>
    <w:rsid w:val="42B11788"/>
    <w:rsid w:val="42B87377"/>
    <w:rsid w:val="42BF46CD"/>
    <w:rsid w:val="42C17868"/>
    <w:rsid w:val="42C27D1A"/>
    <w:rsid w:val="42CB4E20"/>
    <w:rsid w:val="42D119D4"/>
    <w:rsid w:val="42D27F5D"/>
    <w:rsid w:val="42E14802"/>
    <w:rsid w:val="42FA5706"/>
    <w:rsid w:val="42FC76D0"/>
    <w:rsid w:val="4301462D"/>
    <w:rsid w:val="430640AA"/>
    <w:rsid w:val="43087E22"/>
    <w:rsid w:val="430B346F"/>
    <w:rsid w:val="4312004C"/>
    <w:rsid w:val="43212240"/>
    <w:rsid w:val="433230F1"/>
    <w:rsid w:val="433A3D54"/>
    <w:rsid w:val="43426264"/>
    <w:rsid w:val="43433F2B"/>
    <w:rsid w:val="436808C1"/>
    <w:rsid w:val="436B6571"/>
    <w:rsid w:val="437652FC"/>
    <w:rsid w:val="43805C0B"/>
    <w:rsid w:val="438C2802"/>
    <w:rsid w:val="43AF5C05"/>
    <w:rsid w:val="43B14016"/>
    <w:rsid w:val="43C152E3"/>
    <w:rsid w:val="43D9531B"/>
    <w:rsid w:val="43E16C1C"/>
    <w:rsid w:val="43E75C8A"/>
    <w:rsid w:val="441A605F"/>
    <w:rsid w:val="441C4A00"/>
    <w:rsid w:val="44250560"/>
    <w:rsid w:val="4425082E"/>
    <w:rsid w:val="44380293"/>
    <w:rsid w:val="444012B7"/>
    <w:rsid w:val="444335A1"/>
    <w:rsid w:val="44563119"/>
    <w:rsid w:val="445B0426"/>
    <w:rsid w:val="44670B79"/>
    <w:rsid w:val="446B68BB"/>
    <w:rsid w:val="446F5D17"/>
    <w:rsid w:val="44727D5C"/>
    <w:rsid w:val="44782D86"/>
    <w:rsid w:val="447E4C9B"/>
    <w:rsid w:val="448259B3"/>
    <w:rsid w:val="44837C0F"/>
    <w:rsid w:val="44910013"/>
    <w:rsid w:val="44A818BD"/>
    <w:rsid w:val="44C77869"/>
    <w:rsid w:val="44DC50C3"/>
    <w:rsid w:val="44DE20E4"/>
    <w:rsid w:val="44E977E0"/>
    <w:rsid w:val="44EC0A9D"/>
    <w:rsid w:val="44F35239"/>
    <w:rsid w:val="44FC50BA"/>
    <w:rsid w:val="450B59A8"/>
    <w:rsid w:val="451023FC"/>
    <w:rsid w:val="45120AE5"/>
    <w:rsid w:val="451A5BEB"/>
    <w:rsid w:val="452627E2"/>
    <w:rsid w:val="45297DC0"/>
    <w:rsid w:val="4532120B"/>
    <w:rsid w:val="4545710C"/>
    <w:rsid w:val="455B4326"/>
    <w:rsid w:val="45605CF4"/>
    <w:rsid w:val="45612B75"/>
    <w:rsid w:val="456652D4"/>
    <w:rsid w:val="45813EBC"/>
    <w:rsid w:val="45821975"/>
    <w:rsid w:val="458505A5"/>
    <w:rsid w:val="458A3A0C"/>
    <w:rsid w:val="458F65D9"/>
    <w:rsid w:val="459C0CF6"/>
    <w:rsid w:val="459C1406"/>
    <w:rsid w:val="45A55DFD"/>
    <w:rsid w:val="45AF7005"/>
    <w:rsid w:val="45B44292"/>
    <w:rsid w:val="45B46040"/>
    <w:rsid w:val="45B55914"/>
    <w:rsid w:val="45BC23D1"/>
    <w:rsid w:val="45BD5181"/>
    <w:rsid w:val="45C51FFB"/>
    <w:rsid w:val="45C67E5B"/>
    <w:rsid w:val="45CC15DB"/>
    <w:rsid w:val="45DC10F2"/>
    <w:rsid w:val="45F621B4"/>
    <w:rsid w:val="45FB5A1D"/>
    <w:rsid w:val="46072613"/>
    <w:rsid w:val="460D7F65"/>
    <w:rsid w:val="460F14C8"/>
    <w:rsid w:val="461C609F"/>
    <w:rsid w:val="462907DC"/>
    <w:rsid w:val="46306FAC"/>
    <w:rsid w:val="46317690"/>
    <w:rsid w:val="46382A9F"/>
    <w:rsid w:val="465F5FAB"/>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BA6877"/>
    <w:rsid w:val="46C424F5"/>
    <w:rsid w:val="46D30747"/>
    <w:rsid w:val="46DF533E"/>
    <w:rsid w:val="46F661E4"/>
    <w:rsid w:val="47076D29"/>
    <w:rsid w:val="470923BB"/>
    <w:rsid w:val="471F5755"/>
    <w:rsid w:val="472745EF"/>
    <w:rsid w:val="473D3E13"/>
    <w:rsid w:val="47503B46"/>
    <w:rsid w:val="47681002"/>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00CCC"/>
    <w:rsid w:val="47C36A0E"/>
    <w:rsid w:val="47DB5B06"/>
    <w:rsid w:val="47ED5839"/>
    <w:rsid w:val="480037BE"/>
    <w:rsid w:val="48052B82"/>
    <w:rsid w:val="480768FB"/>
    <w:rsid w:val="48325752"/>
    <w:rsid w:val="48376AB4"/>
    <w:rsid w:val="484A0EFF"/>
    <w:rsid w:val="484F3DFE"/>
    <w:rsid w:val="48600E1F"/>
    <w:rsid w:val="486024AF"/>
    <w:rsid w:val="486C081C"/>
    <w:rsid w:val="486E697A"/>
    <w:rsid w:val="48737288"/>
    <w:rsid w:val="48791239"/>
    <w:rsid w:val="488066AD"/>
    <w:rsid w:val="48893141"/>
    <w:rsid w:val="488F68F0"/>
    <w:rsid w:val="48A859DC"/>
    <w:rsid w:val="48AD0EC0"/>
    <w:rsid w:val="48B30830"/>
    <w:rsid w:val="48BE7A8D"/>
    <w:rsid w:val="48BF5E9C"/>
    <w:rsid w:val="48BF71D5"/>
    <w:rsid w:val="48C20A74"/>
    <w:rsid w:val="48CD4952"/>
    <w:rsid w:val="48D873DA"/>
    <w:rsid w:val="48E6263C"/>
    <w:rsid w:val="48EF5D3C"/>
    <w:rsid w:val="48F73C13"/>
    <w:rsid w:val="48F91741"/>
    <w:rsid w:val="48FB417C"/>
    <w:rsid w:val="4904108C"/>
    <w:rsid w:val="490B1629"/>
    <w:rsid w:val="49153299"/>
    <w:rsid w:val="49290AF3"/>
    <w:rsid w:val="49301E81"/>
    <w:rsid w:val="493C0826"/>
    <w:rsid w:val="493C56DB"/>
    <w:rsid w:val="49411CFD"/>
    <w:rsid w:val="4941408E"/>
    <w:rsid w:val="49420E43"/>
    <w:rsid w:val="49463639"/>
    <w:rsid w:val="49473BF2"/>
    <w:rsid w:val="49515531"/>
    <w:rsid w:val="49520049"/>
    <w:rsid w:val="495913D8"/>
    <w:rsid w:val="495C67D2"/>
    <w:rsid w:val="49647484"/>
    <w:rsid w:val="49706721"/>
    <w:rsid w:val="497B7864"/>
    <w:rsid w:val="49880361"/>
    <w:rsid w:val="498D1B3D"/>
    <w:rsid w:val="49951CE4"/>
    <w:rsid w:val="49A91C62"/>
    <w:rsid w:val="49B617FE"/>
    <w:rsid w:val="49BB5BEF"/>
    <w:rsid w:val="49BD71F0"/>
    <w:rsid w:val="49C24C5D"/>
    <w:rsid w:val="49D15412"/>
    <w:rsid w:val="49D9498F"/>
    <w:rsid w:val="49EA64D4"/>
    <w:rsid w:val="49EB4592"/>
    <w:rsid w:val="49EB7B56"/>
    <w:rsid w:val="4A007AA5"/>
    <w:rsid w:val="4A0761FF"/>
    <w:rsid w:val="4A0B3024"/>
    <w:rsid w:val="4A1C2EC0"/>
    <w:rsid w:val="4A253068"/>
    <w:rsid w:val="4A301A0D"/>
    <w:rsid w:val="4A313BB2"/>
    <w:rsid w:val="4A361719"/>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50A49"/>
    <w:rsid w:val="4AF26936"/>
    <w:rsid w:val="4AF64A04"/>
    <w:rsid w:val="4AFA3514"/>
    <w:rsid w:val="4B0578AD"/>
    <w:rsid w:val="4B0E7FA0"/>
    <w:rsid w:val="4B133808"/>
    <w:rsid w:val="4B1728BA"/>
    <w:rsid w:val="4B196FAC"/>
    <w:rsid w:val="4B2C7A5A"/>
    <w:rsid w:val="4B3612A5"/>
    <w:rsid w:val="4B413ED2"/>
    <w:rsid w:val="4B4154BA"/>
    <w:rsid w:val="4B49547C"/>
    <w:rsid w:val="4B4E2A92"/>
    <w:rsid w:val="4B532637"/>
    <w:rsid w:val="4B6202EC"/>
    <w:rsid w:val="4B677993"/>
    <w:rsid w:val="4B7122DD"/>
    <w:rsid w:val="4B814C16"/>
    <w:rsid w:val="4B83243B"/>
    <w:rsid w:val="4B8A4D97"/>
    <w:rsid w:val="4B8F7333"/>
    <w:rsid w:val="4B9304A5"/>
    <w:rsid w:val="4B9506C1"/>
    <w:rsid w:val="4BBB7306"/>
    <w:rsid w:val="4BBD5522"/>
    <w:rsid w:val="4BCC6435"/>
    <w:rsid w:val="4BCD39B7"/>
    <w:rsid w:val="4BDB3974"/>
    <w:rsid w:val="4BDC3BFA"/>
    <w:rsid w:val="4BE200B2"/>
    <w:rsid w:val="4BE96317"/>
    <w:rsid w:val="4BEB5150"/>
    <w:rsid w:val="4BEF6864"/>
    <w:rsid w:val="4BF929FE"/>
    <w:rsid w:val="4C0A0767"/>
    <w:rsid w:val="4C12586E"/>
    <w:rsid w:val="4C1E442E"/>
    <w:rsid w:val="4C212F83"/>
    <w:rsid w:val="4C371778"/>
    <w:rsid w:val="4C3E2AF8"/>
    <w:rsid w:val="4C3E3632"/>
    <w:rsid w:val="4C527DBA"/>
    <w:rsid w:val="4C5F07E2"/>
    <w:rsid w:val="4C6065D9"/>
    <w:rsid w:val="4C6A4C70"/>
    <w:rsid w:val="4C7D3291"/>
    <w:rsid w:val="4C83051A"/>
    <w:rsid w:val="4C9B5EBF"/>
    <w:rsid w:val="4CAF3234"/>
    <w:rsid w:val="4CAF4949"/>
    <w:rsid w:val="4CB12664"/>
    <w:rsid w:val="4CB220BE"/>
    <w:rsid w:val="4CB335F4"/>
    <w:rsid w:val="4CB53B3B"/>
    <w:rsid w:val="4CBB198D"/>
    <w:rsid w:val="4CC91FAF"/>
    <w:rsid w:val="4CCC3C6F"/>
    <w:rsid w:val="4CD3324F"/>
    <w:rsid w:val="4CE24CF5"/>
    <w:rsid w:val="4CE40BE6"/>
    <w:rsid w:val="4CEE1C78"/>
    <w:rsid w:val="4CF60CEC"/>
    <w:rsid w:val="4D025585"/>
    <w:rsid w:val="4D027691"/>
    <w:rsid w:val="4D0553D3"/>
    <w:rsid w:val="4D071B6D"/>
    <w:rsid w:val="4D13189E"/>
    <w:rsid w:val="4D18191E"/>
    <w:rsid w:val="4D185106"/>
    <w:rsid w:val="4D267823"/>
    <w:rsid w:val="4D331F40"/>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753BE"/>
    <w:rsid w:val="4E1A4EAE"/>
    <w:rsid w:val="4E1A6C5C"/>
    <w:rsid w:val="4E1B2E11"/>
    <w:rsid w:val="4E1C6E78"/>
    <w:rsid w:val="4E1E674C"/>
    <w:rsid w:val="4E314E82"/>
    <w:rsid w:val="4E361CE8"/>
    <w:rsid w:val="4E3715BC"/>
    <w:rsid w:val="4E4F6AEA"/>
    <w:rsid w:val="4E6A373F"/>
    <w:rsid w:val="4E6C677C"/>
    <w:rsid w:val="4E6F0D56"/>
    <w:rsid w:val="4E7740AE"/>
    <w:rsid w:val="4E791BD4"/>
    <w:rsid w:val="4E7D7565"/>
    <w:rsid w:val="4E832A53"/>
    <w:rsid w:val="4E840BCC"/>
    <w:rsid w:val="4E8D1811"/>
    <w:rsid w:val="4E916F1E"/>
    <w:rsid w:val="4E976C62"/>
    <w:rsid w:val="4EA56E6D"/>
    <w:rsid w:val="4EA84268"/>
    <w:rsid w:val="4EAB3DF3"/>
    <w:rsid w:val="4EB86BA1"/>
    <w:rsid w:val="4ECC61A8"/>
    <w:rsid w:val="4EDC7CC9"/>
    <w:rsid w:val="4EDE78CC"/>
    <w:rsid w:val="4EE72FE2"/>
    <w:rsid w:val="4EEC684A"/>
    <w:rsid w:val="4EF17B3E"/>
    <w:rsid w:val="4F0040A4"/>
    <w:rsid w:val="4F0C47F7"/>
    <w:rsid w:val="4F22401A"/>
    <w:rsid w:val="4F2A7373"/>
    <w:rsid w:val="4F2E7890"/>
    <w:rsid w:val="4F3976BC"/>
    <w:rsid w:val="4F3F6648"/>
    <w:rsid w:val="4F4246BC"/>
    <w:rsid w:val="4F425DDD"/>
    <w:rsid w:val="4F45049F"/>
    <w:rsid w:val="4F4917BA"/>
    <w:rsid w:val="4F54452F"/>
    <w:rsid w:val="4F680C31"/>
    <w:rsid w:val="4F73741B"/>
    <w:rsid w:val="4F7D74A2"/>
    <w:rsid w:val="4FA90297"/>
    <w:rsid w:val="4FB9254E"/>
    <w:rsid w:val="4FC450D1"/>
    <w:rsid w:val="4FC75412"/>
    <w:rsid w:val="4FC77616"/>
    <w:rsid w:val="4FCC6EAF"/>
    <w:rsid w:val="4FCD667C"/>
    <w:rsid w:val="4FD23C92"/>
    <w:rsid w:val="4FD95020"/>
    <w:rsid w:val="4FDC68BF"/>
    <w:rsid w:val="4FE17A31"/>
    <w:rsid w:val="4FED6DF9"/>
    <w:rsid w:val="4FF63BB4"/>
    <w:rsid w:val="50110AFB"/>
    <w:rsid w:val="502F6AAF"/>
    <w:rsid w:val="503C110B"/>
    <w:rsid w:val="50414974"/>
    <w:rsid w:val="50536B47"/>
    <w:rsid w:val="50610B72"/>
    <w:rsid w:val="50632B3C"/>
    <w:rsid w:val="50707007"/>
    <w:rsid w:val="50847DC7"/>
    <w:rsid w:val="509B0528"/>
    <w:rsid w:val="50BC224C"/>
    <w:rsid w:val="50C51101"/>
    <w:rsid w:val="50D36E1A"/>
    <w:rsid w:val="50DB26D2"/>
    <w:rsid w:val="50E71AE5"/>
    <w:rsid w:val="50EA261E"/>
    <w:rsid w:val="50FC089B"/>
    <w:rsid w:val="5108044E"/>
    <w:rsid w:val="510C31D4"/>
    <w:rsid w:val="511E6A63"/>
    <w:rsid w:val="5124051D"/>
    <w:rsid w:val="51354AB9"/>
    <w:rsid w:val="5144296E"/>
    <w:rsid w:val="514F6A03"/>
    <w:rsid w:val="51595CED"/>
    <w:rsid w:val="5167665C"/>
    <w:rsid w:val="517069D7"/>
    <w:rsid w:val="517652F0"/>
    <w:rsid w:val="517B5C63"/>
    <w:rsid w:val="517D5E7F"/>
    <w:rsid w:val="51840FBC"/>
    <w:rsid w:val="518E5B19"/>
    <w:rsid w:val="51970E73"/>
    <w:rsid w:val="519C4558"/>
    <w:rsid w:val="519D3E2C"/>
    <w:rsid w:val="519F6632"/>
    <w:rsid w:val="51A74CAA"/>
    <w:rsid w:val="51B11685"/>
    <w:rsid w:val="51B178D7"/>
    <w:rsid w:val="51BF1456"/>
    <w:rsid w:val="51C4760A"/>
    <w:rsid w:val="51C8090E"/>
    <w:rsid w:val="51C92E73"/>
    <w:rsid w:val="51D478DF"/>
    <w:rsid w:val="51D830B6"/>
    <w:rsid w:val="51E732F9"/>
    <w:rsid w:val="51E97071"/>
    <w:rsid w:val="51F021AD"/>
    <w:rsid w:val="51F96C3B"/>
    <w:rsid w:val="52000723"/>
    <w:rsid w:val="52081BED"/>
    <w:rsid w:val="520B5239"/>
    <w:rsid w:val="52187956"/>
    <w:rsid w:val="52195BA8"/>
    <w:rsid w:val="521C0775"/>
    <w:rsid w:val="521E4F39"/>
    <w:rsid w:val="52373BA7"/>
    <w:rsid w:val="525647CE"/>
    <w:rsid w:val="525F10E1"/>
    <w:rsid w:val="527B4984"/>
    <w:rsid w:val="528261F1"/>
    <w:rsid w:val="52943481"/>
    <w:rsid w:val="52953EDE"/>
    <w:rsid w:val="529E24D9"/>
    <w:rsid w:val="52A5743C"/>
    <w:rsid w:val="52AF2850"/>
    <w:rsid w:val="52AF2E63"/>
    <w:rsid w:val="52B21C66"/>
    <w:rsid w:val="52CA0C50"/>
    <w:rsid w:val="52CF6267"/>
    <w:rsid w:val="52D65847"/>
    <w:rsid w:val="52E341B1"/>
    <w:rsid w:val="5302488E"/>
    <w:rsid w:val="53051E7D"/>
    <w:rsid w:val="53065A01"/>
    <w:rsid w:val="531A5978"/>
    <w:rsid w:val="53280B3B"/>
    <w:rsid w:val="53281E1B"/>
    <w:rsid w:val="532A16EF"/>
    <w:rsid w:val="532C3D4E"/>
    <w:rsid w:val="532E5683"/>
    <w:rsid w:val="533432B7"/>
    <w:rsid w:val="53410F7E"/>
    <w:rsid w:val="53530C46"/>
    <w:rsid w:val="53722FC9"/>
    <w:rsid w:val="53767F45"/>
    <w:rsid w:val="537961D3"/>
    <w:rsid w:val="537C15C3"/>
    <w:rsid w:val="53811BC0"/>
    <w:rsid w:val="53827989"/>
    <w:rsid w:val="53837051"/>
    <w:rsid w:val="5384752F"/>
    <w:rsid w:val="53937294"/>
    <w:rsid w:val="539B4BE0"/>
    <w:rsid w:val="539E4672"/>
    <w:rsid w:val="53C2401E"/>
    <w:rsid w:val="53E45D42"/>
    <w:rsid w:val="53E77541"/>
    <w:rsid w:val="53F1220D"/>
    <w:rsid w:val="53F30D5E"/>
    <w:rsid w:val="53FA58FF"/>
    <w:rsid w:val="540077F5"/>
    <w:rsid w:val="54071A30"/>
    <w:rsid w:val="540A6DA5"/>
    <w:rsid w:val="54106B37"/>
    <w:rsid w:val="54134879"/>
    <w:rsid w:val="54244526"/>
    <w:rsid w:val="542720D3"/>
    <w:rsid w:val="543C5B7E"/>
    <w:rsid w:val="543F741C"/>
    <w:rsid w:val="544467E1"/>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CB6F02"/>
    <w:rsid w:val="54D67D81"/>
    <w:rsid w:val="54EB4EAE"/>
    <w:rsid w:val="54F77CF7"/>
    <w:rsid w:val="54FC355F"/>
    <w:rsid w:val="550F3292"/>
    <w:rsid w:val="55142657"/>
    <w:rsid w:val="55217BFA"/>
    <w:rsid w:val="55450D4D"/>
    <w:rsid w:val="555534F8"/>
    <w:rsid w:val="555A00F0"/>
    <w:rsid w:val="55630EE8"/>
    <w:rsid w:val="55652EB2"/>
    <w:rsid w:val="55654C60"/>
    <w:rsid w:val="556709D9"/>
    <w:rsid w:val="556829A3"/>
    <w:rsid w:val="55821CB6"/>
    <w:rsid w:val="558275C0"/>
    <w:rsid w:val="558E2409"/>
    <w:rsid w:val="55957764"/>
    <w:rsid w:val="55985036"/>
    <w:rsid w:val="5598523A"/>
    <w:rsid w:val="55A41C2D"/>
    <w:rsid w:val="55AC6D33"/>
    <w:rsid w:val="55B33C1E"/>
    <w:rsid w:val="55C336FF"/>
    <w:rsid w:val="55CC2F32"/>
    <w:rsid w:val="55D43B94"/>
    <w:rsid w:val="55DB4F23"/>
    <w:rsid w:val="55DD513F"/>
    <w:rsid w:val="55EE11AC"/>
    <w:rsid w:val="55FA184D"/>
    <w:rsid w:val="5604566B"/>
    <w:rsid w:val="560B28A1"/>
    <w:rsid w:val="561856BF"/>
    <w:rsid w:val="561B7A15"/>
    <w:rsid w:val="56220DA3"/>
    <w:rsid w:val="56486A5C"/>
    <w:rsid w:val="56521689"/>
    <w:rsid w:val="56530F5D"/>
    <w:rsid w:val="56551179"/>
    <w:rsid w:val="565A053D"/>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2B3C88"/>
    <w:rsid w:val="57327710"/>
    <w:rsid w:val="57391D34"/>
    <w:rsid w:val="573B4004"/>
    <w:rsid w:val="574B68E6"/>
    <w:rsid w:val="574C1D94"/>
    <w:rsid w:val="57517B92"/>
    <w:rsid w:val="575B0744"/>
    <w:rsid w:val="575E5102"/>
    <w:rsid w:val="57633422"/>
    <w:rsid w:val="57650F48"/>
    <w:rsid w:val="57672F12"/>
    <w:rsid w:val="57680A38"/>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722A5"/>
    <w:rsid w:val="57E97DCB"/>
    <w:rsid w:val="57F10A2D"/>
    <w:rsid w:val="58092458"/>
    <w:rsid w:val="58177FD0"/>
    <w:rsid w:val="582A4FD5"/>
    <w:rsid w:val="58335574"/>
    <w:rsid w:val="58421289"/>
    <w:rsid w:val="5851771E"/>
    <w:rsid w:val="58593060"/>
    <w:rsid w:val="585A2A77"/>
    <w:rsid w:val="588C1300"/>
    <w:rsid w:val="588D4BFA"/>
    <w:rsid w:val="588E2720"/>
    <w:rsid w:val="589F433E"/>
    <w:rsid w:val="58A27F7A"/>
    <w:rsid w:val="58AD0DF8"/>
    <w:rsid w:val="58AD704A"/>
    <w:rsid w:val="58B8480D"/>
    <w:rsid w:val="58B913A9"/>
    <w:rsid w:val="58C2777A"/>
    <w:rsid w:val="58CB74D0"/>
    <w:rsid w:val="58CD3ED2"/>
    <w:rsid w:val="58D26AB1"/>
    <w:rsid w:val="58DB4550"/>
    <w:rsid w:val="58E10AA2"/>
    <w:rsid w:val="58F1757A"/>
    <w:rsid w:val="58F76517"/>
    <w:rsid w:val="58FC1BC0"/>
    <w:rsid w:val="58FD3402"/>
    <w:rsid w:val="5900361E"/>
    <w:rsid w:val="590D7AE9"/>
    <w:rsid w:val="591801D8"/>
    <w:rsid w:val="591848B7"/>
    <w:rsid w:val="591E5852"/>
    <w:rsid w:val="593037D7"/>
    <w:rsid w:val="59343A85"/>
    <w:rsid w:val="59405D3E"/>
    <w:rsid w:val="594D25DB"/>
    <w:rsid w:val="595474C6"/>
    <w:rsid w:val="5958707F"/>
    <w:rsid w:val="596D0588"/>
    <w:rsid w:val="597D7BE8"/>
    <w:rsid w:val="59A0095D"/>
    <w:rsid w:val="59B12B9A"/>
    <w:rsid w:val="59B60181"/>
    <w:rsid w:val="59B75271"/>
    <w:rsid w:val="59BD32BD"/>
    <w:rsid w:val="59CA6505"/>
    <w:rsid w:val="59D625D1"/>
    <w:rsid w:val="59D7375C"/>
    <w:rsid w:val="59DB3743"/>
    <w:rsid w:val="59FD4B5C"/>
    <w:rsid w:val="5A07095A"/>
    <w:rsid w:val="5A1C7F24"/>
    <w:rsid w:val="5A24655C"/>
    <w:rsid w:val="5A24763D"/>
    <w:rsid w:val="5A2C79B8"/>
    <w:rsid w:val="5A32437D"/>
    <w:rsid w:val="5A4A60E9"/>
    <w:rsid w:val="5A4F5EDF"/>
    <w:rsid w:val="5A5925F5"/>
    <w:rsid w:val="5A5A2FCC"/>
    <w:rsid w:val="5A5B4884"/>
    <w:rsid w:val="5A5D2AFD"/>
    <w:rsid w:val="5A626A8D"/>
    <w:rsid w:val="5A703F65"/>
    <w:rsid w:val="5A715E56"/>
    <w:rsid w:val="5A736072"/>
    <w:rsid w:val="5A81078E"/>
    <w:rsid w:val="5A821E11"/>
    <w:rsid w:val="5A927142"/>
    <w:rsid w:val="5A95795B"/>
    <w:rsid w:val="5A9D30EE"/>
    <w:rsid w:val="5AB521E6"/>
    <w:rsid w:val="5ABC3575"/>
    <w:rsid w:val="5AC97A40"/>
    <w:rsid w:val="5ADF1011"/>
    <w:rsid w:val="5ADF3CFD"/>
    <w:rsid w:val="5AE6687E"/>
    <w:rsid w:val="5AEA284D"/>
    <w:rsid w:val="5AEB07F8"/>
    <w:rsid w:val="5AED7BD2"/>
    <w:rsid w:val="5B0171D9"/>
    <w:rsid w:val="5B0942E0"/>
    <w:rsid w:val="5B0E5560"/>
    <w:rsid w:val="5B12588A"/>
    <w:rsid w:val="5B13515F"/>
    <w:rsid w:val="5B155FF5"/>
    <w:rsid w:val="5B172EA1"/>
    <w:rsid w:val="5B284D5C"/>
    <w:rsid w:val="5B2E578D"/>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5F7BBD"/>
    <w:rsid w:val="5C71038F"/>
    <w:rsid w:val="5C8207EE"/>
    <w:rsid w:val="5C844566"/>
    <w:rsid w:val="5C855BE8"/>
    <w:rsid w:val="5C8956D8"/>
    <w:rsid w:val="5C8A1451"/>
    <w:rsid w:val="5C904CB9"/>
    <w:rsid w:val="5C967DF5"/>
    <w:rsid w:val="5C9E400F"/>
    <w:rsid w:val="5C9F4EFC"/>
    <w:rsid w:val="5CAC13C7"/>
    <w:rsid w:val="5CB07109"/>
    <w:rsid w:val="5CB70498"/>
    <w:rsid w:val="5CC46711"/>
    <w:rsid w:val="5CC84698"/>
    <w:rsid w:val="5CD526CC"/>
    <w:rsid w:val="5CDA4186"/>
    <w:rsid w:val="5CE739C0"/>
    <w:rsid w:val="5CEB1EEF"/>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A87DE0"/>
    <w:rsid w:val="5DBE13B2"/>
    <w:rsid w:val="5DC310BE"/>
    <w:rsid w:val="5DC52F62"/>
    <w:rsid w:val="5DCF35BF"/>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9860A7"/>
    <w:rsid w:val="5EBF1885"/>
    <w:rsid w:val="5EC622D1"/>
    <w:rsid w:val="5ECB4E7A"/>
    <w:rsid w:val="5ED30E8D"/>
    <w:rsid w:val="5EDD49E0"/>
    <w:rsid w:val="5EDD7F5D"/>
    <w:rsid w:val="5EDF7832"/>
    <w:rsid w:val="5EF3065B"/>
    <w:rsid w:val="5EF61A15"/>
    <w:rsid w:val="5F0A5168"/>
    <w:rsid w:val="5F13397F"/>
    <w:rsid w:val="5F144D9F"/>
    <w:rsid w:val="5F157D42"/>
    <w:rsid w:val="5F2416E8"/>
    <w:rsid w:val="5F2B0CC9"/>
    <w:rsid w:val="5F4B136B"/>
    <w:rsid w:val="5F532747"/>
    <w:rsid w:val="5F55367B"/>
    <w:rsid w:val="5F5D7390"/>
    <w:rsid w:val="5F5F0972"/>
    <w:rsid w:val="5F64242D"/>
    <w:rsid w:val="5F674188"/>
    <w:rsid w:val="5F7C1C78"/>
    <w:rsid w:val="5F8605F5"/>
    <w:rsid w:val="5F89148E"/>
    <w:rsid w:val="5F8E3006"/>
    <w:rsid w:val="5F93686E"/>
    <w:rsid w:val="5F9B6D89"/>
    <w:rsid w:val="5F9E4C6A"/>
    <w:rsid w:val="5F9F5213"/>
    <w:rsid w:val="5FAD7930"/>
    <w:rsid w:val="5FB15018"/>
    <w:rsid w:val="5FB567E4"/>
    <w:rsid w:val="5FBC15BE"/>
    <w:rsid w:val="5FBE38EB"/>
    <w:rsid w:val="5FCC6511"/>
    <w:rsid w:val="5FD90725"/>
    <w:rsid w:val="5FE80968"/>
    <w:rsid w:val="5FE873D0"/>
    <w:rsid w:val="5FE96FE1"/>
    <w:rsid w:val="5FED0E4F"/>
    <w:rsid w:val="5FF4730D"/>
    <w:rsid w:val="60031C46"/>
    <w:rsid w:val="600913DF"/>
    <w:rsid w:val="601654D5"/>
    <w:rsid w:val="601849F0"/>
    <w:rsid w:val="601C6864"/>
    <w:rsid w:val="602009D7"/>
    <w:rsid w:val="60206354"/>
    <w:rsid w:val="602D6CC3"/>
    <w:rsid w:val="604638E0"/>
    <w:rsid w:val="6054424F"/>
    <w:rsid w:val="60675319"/>
    <w:rsid w:val="6074044E"/>
    <w:rsid w:val="60813AD2"/>
    <w:rsid w:val="608C626D"/>
    <w:rsid w:val="60B13450"/>
    <w:rsid w:val="60B8658C"/>
    <w:rsid w:val="60C00EE5"/>
    <w:rsid w:val="60C23E1D"/>
    <w:rsid w:val="60CD17EC"/>
    <w:rsid w:val="60D13AF2"/>
    <w:rsid w:val="60D809DC"/>
    <w:rsid w:val="60F81675"/>
    <w:rsid w:val="60FC34E5"/>
    <w:rsid w:val="60FF065F"/>
    <w:rsid w:val="610276B8"/>
    <w:rsid w:val="61043BDE"/>
    <w:rsid w:val="611759A9"/>
    <w:rsid w:val="6118702B"/>
    <w:rsid w:val="611C731A"/>
    <w:rsid w:val="61221713"/>
    <w:rsid w:val="61300F17"/>
    <w:rsid w:val="61303EBF"/>
    <w:rsid w:val="61306A6A"/>
    <w:rsid w:val="61334675"/>
    <w:rsid w:val="61355E2F"/>
    <w:rsid w:val="613C71BD"/>
    <w:rsid w:val="6142054C"/>
    <w:rsid w:val="61506C4E"/>
    <w:rsid w:val="615E4FAA"/>
    <w:rsid w:val="61665FE8"/>
    <w:rsid w:val="617050AC"/>
    <w:rsid w:val="617937F2"/>
    <w:rsid w:val="61827DCF"/>
    <w:rsid w:val="61856267"/>
    <w:rsid w:val="61863344"/>
    <w:rsid w:val="61946FF9"/>
    <w:rsid w:val="61970898"/>
    <w:rsid w:val="61A86601"/>
    <w:rsid w:val="61AA2779"/>
    <w:rsid w:val="61AB2103"/>
    <w:rsid w:val="61BA1455"/>
    <w:rsid w:val="61C15914"/>
    <w:rsid w:val="61C3168D"/>
    <w:rsid w:val="61C33FBA"/>
    <w:rsid w:val="61C6117D"/>
    <w:rsid w:val="61C6283F"/>
    <w:rsid w:val="61CD250B"/>
    <w:rsid w:val="61CD42B9"/>
    <w:rsid w:val="61F47A98"/>
    <w:rsid w:val="61FB30C1"/>
    <w:rsid w:val="62061579"/>
    <w:rsid w:val="621C2B4B"/>
    <w:rsid w:val="622A70E9"/>
    <w:rsid w:val="622C0CE3"/>
    <w:rsid w:val="62392916"/>
    <w:rsid w:val="623936FD"/>
    <w:rsid w:val="623E0D13"/>
    <w:rsid w:val="62410803"/>
    <w:rsid w:val="624A3B5C"/>
    <w:rsid w:val="624C78D4"/>
    <w:rsid w:val="624D71A8"/>
    <w:rsid w:val="624E0E8D"/>
    <w:rsid w:val="62525071"/>
    <w:rsid w:val="625422E5"/>
    <w:rsid w:val="625B38C4"/>
    <w:rsid w:val="625D388F"/>
    <w:rsid w:val="62711C4D"/>
    <w:rsid w:val="62825B4B"/>
    <w:rsid w:val="628C1A7E"/>
    <w:rsid w:val="62914AD2"/>
    <w:rsid w:val="62970C2B"/>
    <w:rsid w:val="629B7F14"/>
    <w:rsid w:val="62B15989"/>
    <w:rsid w:val="62B17737"/>
    <w:rsid w:val="62B65CA2"/>
    <w:rsid w:val="62C20355"/>
    <w:rsid w:val="62DA4EE0"/>
    <w:rsid w:val="62E3472B"/>
    <w:rsid w:val="62EC19DB"/>
    <w:rsid w:val="62EE5BFE"/>
    <w:rsid w:val="630E6937"/>
    <w:rsid w:val="631101D6"/>
    <w:rsid w:val="6313504A"/>
    <w:rsid w:val="631A352E"/>
    <w:rsid w:val="631F0B45"/>
    <w:rsid w:val="631F28F3"/>
    <w:rsid w:val="632443AD"/>
    <w:rsid w:val="63273E9D"/>
    <w:rsid w:val="63281769"/>
    <w:rsid w:val="63293771"/>
    <w:rsid w:val="63310878"/>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766EA"/>
    <w:rsid w:val="638E1826"/>
    <w:rsid w:val="63972DD1"/>
    <w:rsid w:val="639826A5"/>
    <w:rsid w:val="63984453"/>
    <w:rsid w:val="63AB63EB"/>
    <w:rsid w:val="63AD6150"/>
    <w:rsid w:val="63AE3C76"/>
    <w:rsid w:val="63BC6FD9"/>
    <w:rsid w:val="63BF7C32"/>
    <w:rsid w:val="63C560E9"/>
    <w:rsid w:val="63E2279B"/>
    <w:rsid w:val="63ED479F"/>
    <w:rsid w:val="64002526"/>
    <w:rsid w:val="6401024A"/>
    <w:rsid w:val="640308A6"/>
    <w:rsid w:val="64155AA4"/>
    <w:rsid w:val="64185B46"/>
    <w:rsid w:val="641A130C"/>
    <w:rsid w:val="64246991"/>
    <w:rsid w:val="643423CE"/>
    <w:rsid w:val="64392B34"/>
    <w:rsid w:val="64503516"/>
    <w:rsid w:val="645919C6"/>
    <w:rsid w:val="645946AB"/>
    <w:rsid w:val="64696AA3"/>
    <w:rsid w:val="646F3406"/>
    <w:rsid w:val="64740A1C"/>
    <w:rsid w:val="64917309"/>
    <w:rsid w:val="64942E6C"/>
    <w:rsid w:val="6497295D"/>
    <w:rsid w:val="64994927"/>
    <w:rsid w:val="64A55079"/>
    <w:rsid w:val="64A608BE"/>
    <w:rsid w:val="64AC1C20"/>
    <w:rsid w:val="64AF5EF8"/>
    <w:rsid w:val="64B00C46"/>
    <w:rsid w:val="64B15D39"/>
    <w:rsid w:val="64B27796"/>
    <w:rsid w:val="64B57D27"/>
    <w:rsid w:val="64C44459"/>
    <w:rsid w:val="64DD4813"/>
    <w:rsid w:val="64E260A6"/>
    <w:rsid w:val="64EC0EFA"/>
    <w:rsid w:val="64F44BA8"/>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E7534"/>
    <w:rsid w:val="663F505A"/>
    <w:rsid w:val="66400C3A"/>
    <w:rsid w:val="664A412A"/>
    <w:rsid w:val="665B6983"/>
    <w:rsid w:val="665E1984"/>
    <w:rsid w:val="665E7BD6"/>
    <w:rsid w:val="666A657B"/>
    <w:rsid w:val="66925AD1"/>
    <w:rsid w:val="66A7157D"/>
    <w:rsid w:val="66AF0431"/>
    <w:rsid w:val="66B176FD"/>
    <w:rsid w:val="66BC40A7"/>
    <w:rsid w:val="66BE7A8F"/>
    <w:rsid w:val="66C34CD3"/>
    <w:rsid w:val="66E0683D"/>
    <w:rsid w:val="66E73230"/>
    <w:rsid w:val="66F916AD"/>
    <w:rsid w:val="67000C8D"/>
    <w:rsid w:val="67050051"/>
    <w:rsid w:val="67090898"/>
    <w:rsid w:val="670C13E0"/>
    <w:rsid w:val="670E6FEF"/>
    <w:rsid w:val="671037C1"/>
    <w:rsid w:val="67184229"/>
    <w:rsid w:val="67185FD7"/>
    <w:rsid w:val="671C2162"/>
    <w:rsid w:val="671E1113"/>
    <w:rsid w:val="672D1422"/>
    <w:rsid w:val="672E75A8"/>
    <w:rsid w:val="67310E46"/>
    <w:rsid w:val="67363980"/>
    <w:rsid w:val="673D5826"/>
    <w:rsid w:val="67440D21"/>
    <w:rsid w:val="674C4DEE"/>
    <w:rsid w:val="674E0FD0"/>
    <w:rsid w:val="675308E1"/>
    <w:rsid w:val="67540EF7"/>
    <w:rsid w:val="675C4C43"/>
    <w:rsid w:val="6760172C"/>
    <w:rsid w:val="67660922"/>
    <w:rsid w:val="676C1E7F"/>
    <w:rsid w:val="6784366C"/>
    <w:rsid w:val="678A7131"/>
    <w:rsid w:val="6793326D"/>
    <w:rsid w:val="67AA29A7"/>
    <w:rsid w:val="67AC4971"/>
    <w:rsid w:val="67B97561"/>
    <w:rsid w:val="67C72F40"/>
    <w:rsid w:val="67CC5D59"/>
    <w:rsid w:val="67E342A5"/>
    <w:rsid w:val="67E45EB9"/>
    <w:rsid w:val="67E934CF"/>
    <w:rsid w:val="67EC2FBF"/>
    <w:rsid w:val="67EE0AC3"/>
    <w:rsid w:val="67F3434E"/>
    <w:rsid w:val="67FE724E"/>
    <w:rsid w:val="68016A6B"/>
    <w:rsid w:val="68027301"/>
    <w:rsid w:val="68060525"/>
    <w:rsid w:val="682C160E"/>
    <w:rsid w:val="68376930"/>
    <w:rsid w:val="684A6664"/>
    <w:rsid w:val="68587300"/>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B2548"/>
    <w:rsid w:val="69252C2D"/>
    <w:rsid w:val="693925CC"/>
    <w:rsid w:val="69482477"/>
    <w:rsid w:val="694D7A8E"/>
    <w:rsid w:val="694E1928"/>
    <w:rsid w:val="694F3806"/>
    <w:rsid w:val="696A5E74"/>
    <w:rsid w:val="696E627E"/>
    <w:rsid w:val="697949DC"/>
    <w:rsid w:val="697F058F"/>
    <w:rsid w:val="69854EF8"/>
    <w:rsid w:val="69872FA0"/>
    <w:rsid w:val="69B12712"/>
    <w:rsid w:val="69B63885"/>
    <w:rsid w:val="69B95123"/>
    <w:rsid w:val="69CB543E"/>
    <w:rsid w:val="69D1246D"/>
    <w:rsid w:val="69DA57C5"/>
    <w:rsid w:val="69DD108A"/>
    <w:rsid w:val="69E10810"/>
    <w:rsid w:val="69E20B1E"/>
    <w:rsid w:val="69E43118"/>
    <w:rsid w:val="69E75C0C"/>
    <w:rsid w:val="69E76134"/>
    <w:rsid w:val="69F0447D"/>
    <w:rsid w:val="69F83E9D"/>
    <w:rsid w:val="69FD7EEA"/>
    <w:rsid w:val="6A022F6E"/>
    <w:rsid w:val="6A130CD7"/>
    <w:rsid w:val="6A164324"/>
    <w:rsid w:val="6A1F63AC"/>
    <w:rsid w:val="6A462161"/>
    <w:rsid w:val="6A5104FE"/>
    <w:rsid w:val="6A5A4B58"/>
    <w:rsid w:val="6A632B5C"/>
    <w:rsid w:val="6A6719F5"/>
    <w:rsid w:val="6A744D92"/>
    <w:rsid w:val="6A845731"/>
    <w:rsid w:val="6A8614A9"/>
    <w:rsid w:val="6A933BC6"/>
    <w:rsid w:val="6A9A31A7"/>
    <w:rsid w:val="6AA560DB"/>
    <w:rsid w:val="6AA81420"/>
    <w:rsid w:val="6AAE4730"/>
    <w:rsid w:val="6AB2229E"/>
    <w:rsid w:val="6AB44268"/>
    <w:rsid w:val="6ABC136F"/>
    <w:rsid w:val="6AC33CDC"/>
    <w:rsid w:val="6AC52C03"/>
    <w:rsid w:val="6AD22940"/>
    <w:rsid w:val="6AD466B8"/>
    <w:rsid w:val="6AD77F57"/>
    <w:rsid w:val="6AE0256E"/>
    <w:rsid w:val="6AED04AA"/>
    <w:rsid w:val="6AF808CF"/>
    <w:rsid w:val="6AFE1987"/>
    <w:rsid w:val="6B040620"/>
    <w:rsid w:val="6B170353"/>
    <w:rsid w:val="6B2807B2"/>
    <w:rsid w:val="6B2967FF"/>
    <w:rsid w:val="6B2A452A"/>
    <w:rsid w:val="6B2B4BA1"/>
    <w:rsid w:val="6B4E64CF"/>
    <w:rsid w:val="6B633598"/>
    <w:rsid w:val="6B637A3C"/>
    <w:rsid w:val="6B71341D"/>
    <w:rsid w:val="6B726B07"/>
    <w:rsid w:val="6B7E0BAA"/>
    <w:rsid w:val="6B7E6624"/>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7241B"/>
    <w:rsid w:val="6BE7474E"/>
    <w:rsid w:val="6BFD1C3F"/>
    <w:rsid w:val="6C16685D"/>
    <w:rsid w:val="6C1B20C5"/>
    <w:rsid w:val="6C1F3963"/>
    <w:rsid w:val="6C205DBB"/>
    <w:rsid w:val="6C2608D9"/>
    <w:rsid w:val="6C2F0661"/>
    <w:rsid w:val="6C3111D4"/>
    <w:rsid w:val="6C3F5DB4"/>
    <w:rsid w:val="6C450BD7"/>
    <w:rsid w:val="6C467142"/>
    <w:rsid w:val="6C5E62E5"/>
    <w:rsid w:val="6C63616D"/>
    <w:rsid w:val="6C753F3A"/>
    <w:rsid w:val="6C773A8C"/>
    <w:rsid w:val="6C830396"/>
    <w:rsid w:val="6C891725"/>
    <w:rsid w:val="6C8E2C3C"/>
    <w:rsid w:val="6C944351"/>
    <w:rsid w:val="6CA70F93"/>
    <w:rsid w:val="6CB57E24"/>
    <w:rsid w:val="6CCD1611"/>
    <w:rsid w:val="6CD504C6"/>
    <w:rsid w:val="6CE07597"/>
    <w:rsid w:val="6CE626D3"/>
    <w:rsid w:val="6CE94E1E"/>
    <w:rsid w:val="6CE95332"/>
    <w:rsid w:val="6D036DE1"/>
    <w:rsid w:val="6D0E5786"/>
    <w:rsid w:val="6D1234C8"/>
    <w:rsid w:val="6D140FEE"/>
    <w:rsid w:val="6D205BE5"/>
    <w:rsid w:val="6D2D20B0"/>
    <w:rsid w:val="6D340BE2"/>
    <w:rsid w:val="6D372F2F"/>
    <w:rsid w:val="6D423DCE"/>
    <w:rsid w:val="6D725D15"/>
    <w:rsid w:val="6D735272"/>
    <w:rsid w:val="6D8343C6"/>
    <w:rsid w:val="6D851C5B"/>
    <w:rsid w:val="6D852097"/>
    <w:rsid w:val="6DA2233C"/>
    <w:rsid w:val="6DAD31F1"/>
    <w:rsid w:val="6DB36A59"/>
    <w:rsid w:val="6DE44E65"/>
    <w:rsid w:val="6DE54FF8"/>
    <w:rsid w:val="6DE85FD7"/>
    <w:rsid w:val="6DEA6E73"/>
    <w:rsid w:val="6DF90E3D"/>
    <w:rsid w:val="6E034F06"/>
    <w:rsid w:val="6E0409A2"/>
    <w:rsid w:val="6E056B89"/>
    <w:rsid w:val="6E143718"/>
    <w:rsid w:val="6E1B015A"/>
    <w:rsid w:val="6E2A65EF"/>
    <w:rsid w:val="6E3525C2"/>
    <w:rsid w:val="6E380F7E"/>
    <w:rsid w:val="6E384712"/>
    <w:rsid w:val="6E3C2D80"/>
    <w:rsid w:val="6E4476B1"/>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F120D5B"/>
    <w:rsid w:val="6F153A4F"/>
    <w:rsid w:val="6F1F1E36"/>
    <w:rsid w:val="6F23376B"/>
    <w:rsid w:val="6F29606F"/>
    <w:rsid w:val="6F3516F0"/>
    <w:rsid w:val="6F35524C"/>
    <w:rsid w:val="6F365459"/>
    <w:rsid w:val="6F3E67F6"/>
    <w:rsid w:val="6F435BBB"/>
    <w:rsid w:val="6F4B0F13"/>
    <w:rsid w:val="6F543924"/>
    <w:rsid w:val="6F5576F5"/>
    <w:rsid w:val="6F5778B8"/>
    <w:rsid w:val="6F593630"/>
    <w:rsid w:val="6F5A489D"/>
    <w:rsid w:val="6F616041"/>
    <w:rsid w:val="6F683873"/>
    <w:rsid w:val="6F6873CF"/>
    <w:rsid w:val="6F7044D6"/>
    <w:rsid w:val="6F781CD0"/>
    <w:rsid w:val="6F80296B"/>
    <w:rsid w:val="6F863CF9"/>
    <w:rsid w:val="6F9806A6"/>
    <w:rsid w:val="6FA26D85"/>
    <w:rsid w:val="6FAC19A5"/>
    <w:rsid w:val="6FAC19B2"/>
    <w:rsid w:val="6FBC771B"/>
    <w:rsid w:val="6FD35191"/>
    <w:rsid w:val="6FF46EB5"/>
    <w:rsid w:val="6FF60E7F"/>
    <w:rsid w:val="700D7F77"/>
    <w:rsid w:val="70117A67"/>
    <w:rsid w:val="7013690C"/>
    <w:rsid w:val="70181AA7"/>
    <w:rsid w:val="702130A9"/>
    <w:rsid w:val="703579A2"/>
    <w:rsid w:val="70433998"/>
    <w:rsid w:val="70451ADA"/>
    <w:rsid w:val="704D257C"/>
    <w:rsid w:val="704E2A69"/>
    <w:rsid w:val="7060454A"/>
    <w:rsid w:val="7062117A"/>
    <w:rsid w:val="7064376F"/>
    <w:rsid w:val="70723CA2"/>
    <w:rsid w:val="7076459B"/>
    <w:rsid w:val="708E730A"/>
    <w:rsid w:val="70955A6B"/>
    <w:rsid w:val="709F1517"/>
    <w:rsid w:val="70AB3A18"/>
    <w:rsid w:val="70B34CA4"/>
    <w:rsid w:val="70B7060E"/>
    <w:rsid w:val="70B85E7F"/>
    <w:rsid w:val="70BA46A0"/>
    <w:rsid w:val="70C82A0E"/>
    <w:rsid w:val="70D223E8"/>
    <w:rsid w:val="70D311C0"/>
    <w:rsid w:val="70D564D6"/>
    <w:rsid w:val="70D867D7"/>
    <w:rsid w:val="70E76136"/>
    <w:rsid w:val="70F87D04"/>
    <w:rsid w:val="7105607D"/>
    <w:rsid w:val="71062759"/>
    <w:rsid w:val="71095230"/>
    <w:rsid w:val="71193077"/>
    <w:rsid w:val="711D243B"/>
    <w:rsid w:val="7120072C"/>
    <w:rsid w:val="713B3EA8"/>
    <w:rsid w:val="714D4ACF"/>
    <w:rsid w:val="715F4B14"/>
    <w:rsid w:val="716671E2"/>
    <w:rsid w:val="716A5681"/>
    <w:rsid w:val="716D33C3"/>
    <w:rsid w:val="716F0EE9"/>
    <w:rsid w:val="717B77BB"/>
    <w:rsid w:val="71803F06"/>
    <w:rsid w:val="71805148"/>
    <w:rsid w:val="7185070D"/>
    <w:rsid w:val="719721EE"/>
    <w:rsid w:val="719C15B2"/>
    <w:rsid w:val="71A0468D"/>
    <w:rsid w:val="71AA1F21"/>
    <w:rsid w:val="71AA4758"/>
    <w:rsid w:val="71B5093D"/>
    <w:rsid w:val="71B93FFA"/>
    <w:rsid w:val="71BE286A"/>
    <w:rsid w:val="71BE59CD"/>
    <w:rsid w:val="71C55A11"/>
    <w:rsid w:val="71D7083C"/>
    <w:rsid w:val="71DC5BE7"/>
    <w:rsid w:val="71DD0E66"/>
    <w:rsid w:val="71E33685"/>
    <w:rsid w:val="71E739AA"/>
    <w:rsid w:val="71F66820"/>
    <w:rsid w:val="71F71FD7"/>
    <w:rsid w:val="71FE401B"/>
    <w:rsid w:val="72005FE5"/>
    <w:rsid w:val="72031631"/>
    <w:rsid w:val="72106A25"/>
    <w:rsid w:val="72126DA0"/>
    <w:rsid w:val="721D26F3"/>
    <w:rsid w:val="72224147"/>
    <w:rsid w:val="722A7C6B"/>
    <w:rsid w:val="722C6DDA"/>
    <w:rsid w:val="722D6D03"/>
    <w:rsid w:val="72343EE1"/>
    <w:rsid w:val="72347A3D"/>
    <w:rsid w:val="72457E9C"/>
    <w:rsid w:val="7249798C"/>
    <w:rsid w:val="72640322"/>
    <w:rsid w:val="72695938"/>
    <w:rsid w:val="72727E51"/>
    <w:rsid w:val="72730565"/>
    <w:rsid w:val="7278201F"/>
    <w:rsid w:val="727D5888"/>
    <w:rsid w:val="72802C82"/>
    <w:rsid w:val="728269FA"/>
    <w:rsid w:val="728409C4"/>
    <w:rsid w:val="72867D6D"/>
    <w:rsid w:val="728C1627"/>
    <w:rsid w:val="7295497F"/>
    <w:rsid w:val="72A76461"/>
    <w:rsid w:val="72A942BC"/>
    <w:rsid w:val="72AC5715"/>
    <w:rsid w:val="72B8241C"/>
    <w:rsid w:val="72BD7A32"/>
    <w:rsid w:val="72BF5110"/>
    <w:rsid w:val="72C55C8D"/>
    <w:rsid w:val="72C74D55"/>
    <w:rsid w:val="72D11D6A"/>
    <w:rsid w:val="72DA22AC"/>
    <w:rsid w:val="72DA4A88"/>
    <w:rsid w:val="72E40A32"/>
    <w:rsid w:val="72E41463"/>
    <w:rsid w:val="72E74AAF"/>
    <w:rsid w:val="72EB459F"/>
    <w:rsid w:val="72F625F3"/>
    <w:rsid w:val="72FD23CD"/>
    <w:rsid w:val="73010267"/>
    <w:rsid w:val="730438B3"/>
    <w:rsid w:val="731616CA"/>
    <w:rsid w:val="73325FAB"/>
    <w:rsid w:val="7342446D"/>
    <w:rsid w:val="734C4E47"/>
    <w:rsid w:val="736305DA"/>
    <w:rsid w:val="73634E7E"/>
    <w:rsid w:val="736742CD"/>
    <w:rsid w:val="736F3422"/>
    <w:rsid w:val="737170B4"/>
    <w:rsid w:val="73726E46"/>
    <w:rsid w:val="737A780A"/>
    <w:rsid w:val="737E3665"/>
    <w:rsid w:val="73852C46"/>
    <w:rsid w:val="73867437"/>
    <w:rsid w:val="7388116B"/>
    <w:rsid w:val="738A025C"/>
    <w:rsid w:val="739143B8"/>
    <w:rsid w:val="73A40FAF"/>
    <w:rsid w:val="73A51D5E"/>
    <w:rsid w:val="73A77B0E"/>
    <w:rsid w:val="73AE6A9D"/>
    <w:rsid w:val="73AF19F5"/>
    <w:rsid w:val="73AF7CC3"/>
    <w:rsid w:val="73B23B2A"/>
    <w:rsid w:val="73B47087"/>
    <w:rsid w:val="73BF77DA"/>
    <w:rsid w:val="73C31078"/>
    <w:rsid w:val="73CA68AB"/>
    <w:rsid w:val="73DB2866"/>
    <w:rsid w:val="73E07E7C"/>
    <w:rsid w:val="73EB6821"/>
    <w:rsid w:val="73F65CC3"/>
    <w:rsid w:val="740651CF"/>
    <w:rsid w:val="74085625"/>
    <w:rsid w:val="740C6EC3"/>
    <w:rsid w:val="74103CD5"/>
    <w:rsid w:val="74257F85"/>
    <w:rsid w:val="74273CFD"/>
    <w:rsid w:val="744321B9"/>
    <w:rsid w:val="744D57F7"/>
    <w:rsid w:val="745E5DE3"/>
    <w:rsid w:val="74793E2D"/>
    <w:rsid w:val="74860732"/>
    <w:rsid w:val="74962655"/>
    <w:rsid w:val="74974CB9"/>
    <w:rsid w:val="749869A9"/>
    <w:rsid w:val="74A0760B"/>
    <w:rsid w:val="74A215D5"/>
    <w:rsid w:val="74AB66DC"/>
    <w:rsid w:val="74AE3AD6"/>
    <w:rsid w:val="74B04019"/>
    <w:rsid w:val="74B05286"/>
    <w:rsid w:val="74B35591"/>
    <w:rsid w:val="74C74B98"/>
    <w:rsid w:val="74D3178F"/>
    <w:rsid w:val="74DD0860"/>
    <w:rsid w:val="74E25E76"/>
    <w:rsid w:val="74E90FB2"/>
    <w:rsid w:val="74F00593"/>
    <w:rsid w:val="74F160B9"/>
    <w:rsid w:val="74FB2A62"/>
    <w:rsid w:val="750202C6"/>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6C3C49"/>
    <w:rsid w:val="768014A2"/>
    <w:rsid w:val="76805946"/>
    <w:rsid w:val="76883582"/>
    <w:rsid w:val="768C42C0"/>
    <w:rsid w:val="76984A3E"/>
    <w:rsid w:val="769D18FF"/>
    <w:rsid w:val="769E5DCD"/>
    <w:rsid w:val="76AE24B4"/>
    <w:rsid w:val="76B53B8A"/>
    <w:rsid w:val="76BF021D"/>
    <w:rsid w:val="76C021E7"/>
    <w:rsid w:val="76C0457F"/>
    <w:rsid w:val="76C234D2"/>
    <w:rsid w:val="76C515AB"/>
    <w:rsid w:val="76C57C88"/>
    <w:rsid w:val="76D413CA"/>
    <w:rsid w:val="76D55A49"/>
    <w:rsid w:val="76DD06A3"/>
    <w:rsid w:val="76DD6482"/>
    <w:rsid w:val="76EE28B0"/>
    <w:rsid w:val="76EF6628"/>
    <w:rsid w:val="770A4420"/>
    <w:rsid w:val="770E012A"/>
    <w:rsid w:val="771542E1"/>
    <w:rsid w:val="771D13E7"/>
    <w:rsid w:val="77214F12"/>
    <w:rsid w:val="77415016"/>
    <w:rsid w:val="774921DC"/>
    <w:rsid w:val="774B24CA"/>
    <w:rsid w:val="775A0D5E"/>
    <w:rsid w:val="77690147"/>
    <w:rsid w:val="778D20C9"/>
    <w:rsid w:val="77A71C28"/>
    <w:rsid w:val="77A86F03"/>
    <w:rsid w:val="77AE75EE"/>
    <w:rsid w:val="77BB58F1"/>
    <w:rsid w:val="77BE6726"/>
    <w:rsid w:val="77C67389"/>
    <w:rsid w:val="77CC4A7E"/>
    <w:rsid w:val="77D20B84"/>
    <w:rsid w:val="77D25D2E"/>
    <w:rsid w:val="77EC030F"/>
    <w:rsid w:val="77FA5285"/>
    <w:rsid w:val="780041AA"/>
    <w:rsid w:val="780162E2"/>
    <w:rsid w:val="78063C29"/>
    <w:rsid w:val="78120820"/>
    <w:rsid w:val="7814407F"/>
    <w:rsid w:val="781659A5"/>
    <w:rsid w:val="781C344D"/>
    <w:rsid w:val="78296BD0"/>
    <w:rsid w:val="782C1E12"/>
    <w:rsid w:val="782C7B34"/>
    <w:rsid w:val="782E55ED"/>
    <w:rsid w:val="78357812"/>
    <w:rsid w:val="78372035"/>
    <w:rsid w:val="78434E7D"/>
    <w:rsid w:val="78485FF0"/>
    <w:rsid w:val="78570929"/>
    <w:rsid w:val="785715FC"/>
    <w:rsid w:val="78591FAB"/>
    <w:rsid w:val="786D20AB"/>
    <w:rsid w:val="787119EB"/>
    <w:rsid w:val="787E5EB6"/>
    <w:rsid w:val="7898720E"/>
    <w:rsid w:val="78A05750"/>
    <w:rsid w:val="78A45A31"/>
    <w:rsid w:val="78A91184"/>
    <w:rsid w:val="78AD0549"/>
    <w:rsid w:val="78B57669"/>
    <w:rsid w:val="78BB4A14"/>
    <w:rsid w:val="78C0027C"/>
    <w:rsid w:val="78C31B1A"/>
    <w:rsid w:val="78D22E20"/>
    <w:rsid w:val="78DA54CD"/>
    <w:rsid w:val="78E977D3"/>
    <w:rsid w:val="78EB3E77"/>
    <w:rsid w:val="78EE303B"/>
    <w:rsid w:val="78F65A4C"/>
    <w:rsid w:val="79052133"/>
    <w:rsid w:val="7911603F"/>
    <w:rsid w:val="792262A2"/>
    <w:rsid w:val="792E2798"/>
    <w:rsid w:val="793E41CE"/>
    <w:rsid w:val="79522377"/>
    <w:rsid w:val="795841F9"/>
    <w:rsid w:val="79775D89"/>
    <w:rsid w:val="797D6BBB"/>
    <w:rsid w:val="798219D5"/>
    <w:rsid w:val="798E2128"/>
    <w:rsid w:val="799040F2"/>
    <w:rsid w:val="79907C4E"/>
    <w:rsid w:val="79985B76"/>
    <w:rsid w:val="79A856DF"/>
    <w:rsid w:val="79B871A5"/>
    <w:rsid w:val="79C15D87"/>
    <w:rsid w:val="79D20267"/>
    <w:rsid w:val="79D41C32"/>
    <w:rsid w:val="79DA7144"/>
    <w:rsid w:val="79E306C6"/>
    <w:rsid w:val="79E65AC0"/>
    <w:rsid w:val="79EA1A55"/>
    <w:rsid w:val="79EB0C81"/>
    <w:rsid w:val="79F97F36"/>
    <w:rsid w:val="7A081B15"/>
    <w:rsid w:val="7A0C655C"/>
    <w:rsid w:val="7A102B3D"/>
    <w:rsid w:val="7A1545F8"/>
    <w:rsid w:val="7A170370"/>
    <w:rsid w:val="7A243ABF"/>
    <w:rsid w:val="7A4D1FE3"/>
    <w:rsid w:val="7A4D79F6"/>
    <w:rsid w:val="7A4E6B55"/>
    <w:rsid w:val="7A561A1A"/>
    <w:rsid w:val="7A736BF9"/>
    <w:rsid w:val="7A772BBC"/>
    <w:rsid w:val="7A852679"/>
    <w:rsid w:val="7A85352B"/>
    <w:rsid w:val="7A8A28F0"/>
    <w:rsid w:val="7A8C48BA"/>
    <w:rsid w:val="7A8D418E"/>
    <w:rsid w:val="7A96154A"/>
    <w:rsid w:val="7AAF05A8"/>
    <w:rsid w:val="7ACC2F08"/>
    <w:rsid w:val="7AE7324F"/>
    <w:rsid w:val="7AF9035A"/>
    <w:rsid w:val="7B0E1773"/>
    <w:rsid w:val="7B205002"/>
    <w:rsid w:val="7B2C6C51"/>
    <w:rsid w:val="7B340AAD"/>
    <w:rsid w:val="7B4656D3"/>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C2D3A"/>
    <w:rsid w:val="7BAF1A00"/>
    <w:rsid w:val="7BB10350"/>
    <w:rsid w:val="7BB12469"/>
    <w:rsid w:val="7BB3231A"/>
    <w:rsid w:val="7BC40997"/>
    <w:rsid w:val="7BCE4A5E"/>
    <w:rsid w:val="7BD2109B"/>
    <w:rsid w:val="7BD858DD"/>
    <w:rsid w:val="7BDA7E6F"/>
    <w:rsid w:val="7BDB1C82"/>
    <w:rsid w:val="7BE23839"/>
    <w:rsid w:val="7BF546E1"/>
    <w:rsid w:val="7C016BE2"/>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3164A"/>
    <w:rsid w:val="7C6F6241"/>
    <w:rsid w:val="7C70431D"/>
    <w:rsid w:val="7C72188D"/>
    <w:rsid w:val="7C7D459B"/>
    <w:rsid w:val="7C8E3C6B"/>
    <w:rsid w:val="7C920181"/>
    <w:rsid w:val="7C9A7B71"/>
    <w:rsid w:val="7C9B5288"/>
    <w:rsid w:val="7CAD0B17"/>
    <w:rsid w:val="7CAF7FC7"/>
    <w:rsid w:val="7CB65C1E"/>
    <w:rsid w:val="7CBB76D8"/>
    <w:rsid w:val="7CC320E9"/>
    <w:rsid w:val="7CC831E4"/>
    <w:rsid w:val="7CC97806"/>
    <w:rsid w:val="7CCC3693"/>
    <w:rsid w:val="7CD70BCB"/>
    <w:rsid w:val="7CDC1D39"/>
    <w:rsid w:val="7CE513A9"/>
    <w:rsid w:val="7CED53B8"/>
    <w:rsid w:val="7D024A6C"/>
    <w:rsid w:val="7D052701"/>
    <w:rsid w:val="7D0746CC"/>
    <w:rsid w:val="7D0C05E5"/>
    <w:rsid w:val="7D2D11BD"/>
    <w:rsid w:val="7D364FB1"/>
    <w:rsid w:val="7D382289"/>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52E86"/>
    <w:rsid w:val="7E01111B"/>
    <w:rsid w:val="7E10135E"/>
    <w:rsid w:val="7E172CBE"/>
    <w:rsid w:val="7E1A29E0"/>
    <w:rsid w:val="7E2253C9"/>
    <w:rsid w:val="7E240E58"/>
    <w:rsid w:val="7E2D1217"/>
    <w:rsid w:val="7E3037AE"/>
    <w:rsid w:val="7E386B07"/>
    <w:rsid w:val="7E3A2692"/>
    <w:rsid w:val="7E3D5ECB"/>
    <w:rsid w:val="7E3F39F1"/>
    <w:rsid w:val="7E631A45"/>
    <w:rsid w:val="7E68080F"/>
    <w:rsid w:val="7E682F48"/>
    <w:rsid w:val="7E773A3E"/>
    <w:rsid w:val="7E7A0ECD"/>
    <w:rsid w:val="7E7C69F3"/>
    <w:rsid w:val="7E955D07"/>
    <w:rsid w:val="7EAD4390"/>
    <w:rsid w:val="7EAF6DC9"/>
    <w:rsid w:val="7EB20667"/>
    <w:rsid w:val="7EB443DF"/>
    <w:rsid w:val="7EB83D06"/>
    <w:rsid w:val="7EC8171B"/>
    <w:rsid w:val="7EC81994"/>
    <w:rsid w:val="7ED56104"/>
    <w:rsid w:val="7EE74DB5"/>
    <w:rsid w:val="7EF944E8"/>
    <w:rsid w:val="7F0C5FC9"/>
    <w:rsid w:val="7F0D7F93"/>
    <w:rsid w:val="7F1C4DFC"/>
    <w:rsid w:val="7F1E5B06"/>
    <w:rsid w:val="7F1F0697"/>
    <w:rsid w:val="7F203823"/>
    <w:rsid w:val="7F217DA4"/>
    <w:rsid w:val="7F2262C3"/>
    <w:rsid w:val="7F29762A"/>
    <w:rsid w:val="7F447269"/>
    <w:rsid w:val="7F453289"/>
    <w:rsid w:val="7F5160D2"/>
    <w:rsid w:val="7F853FCE"/>
    <w:rsid w:val="7F855D7C"/>
    <w:rsid w:val="7F857B2A"/>
    <w:rsid w:val="7F8747DB"/>
    <w:rsid w:val="7F881F44"/>
    <w:rsid w:val="7F9525ED"/>
    <w:rsid w:val="7F9D3A37"/>
    <w:rsid w:val="7F9E0CF9"/>
    <w:rsid w:val="7F9F0C78"/>
    <w:rsid w:val="7F9F6E3D"/>
    <w:rsid w:val="7FA36202"/>
    <w:rsid w:val="7FA501CC"/>
    <w:rsid w:val="7FB83A5B"/>
    <w:rsid w:val="7FB977D3"/>
    <w:rsid w:val="7FC5796F"/>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adjustRightInd w:val="0"/>
      <w:spacing w:line="360" w:lineRule="atLeast"/>
      <w:ind w:firstLine="482"/>
    </w:pPr>
    <w:rPr>
      <w:sz w:val="24"/>
    </w:rPr>
  </w:style>
  <w:style w:type="paragraph" w:styleId="7">
    <w:name w:val="annotation text"/>
    <w:basedOn w:val="1"/>
    <w:link w:val="43"/>
    <w:qFormat/>
    <w:uiPriority w:val="0"/>
    <w:pPr>
      <w:jc w:val="left"/>
    </w:pPr>
  </w:style>
  <w:style w:type="paragraph" w:styleId="8">
    <w:name w:val="Body Text"/>
    <w:basedOn w:val="1"/>
    <w:next w:val="1"/>
    <w:qFormat/>
    <w:uiPriority w:val="0"/>
    <w:pPr>
      <w:jc w:val="center"/>
    </w:pPr>
    <w:rPr>
      <w:b/>
      <w:bCs/>
      <w:sz w:val="44"/>
      <w:szCs w:val="20"/>
    </w:rPr>
  </w:style>
  <w:style w:type="paragraph" w:styleId="9">
    <w:name w:val="Body Text Indent"/>
    <w:basedOn w:val="1"/>
    <w:qFormat/>
    <w:uiPriority w:val="0"/>
    <w:pPr>
      <w:spacing w:line="500" w:lineRule="exact"/>
      <w:ind w:firstLine="538"/>
    </w:pPr>
    <w:rPr>
      <w:sz w:val="28"/>
    </w:rPr>
  </w:style>
  <w:style w:type="paragraph" w:styleId="10">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1">
    <w:name w:val="index 4"/>
    <w:basedOn w:val="1"/>
    <w:next w:val="1"/>
    <w:qFormat/>
    <w:uiPriority w:val="0"/>
    <w:pPr>
      <w:ind w:left="600" w:leftChars="600"/>
    </w:pPr>
  </w:style>
  <w:style w:type="paragraph" w:styleId="12">
    <w:name w:val="Plain Text"/>
    <w:basedOn w:val="1"/>
    <w:qFormat/>
    <w:uiPriority w:val="0"/>
    <w:rPr>
      <w:rFonts w:ascii="宋体"/>
      <w:color w:val="000000"/>
      <w:szCs w:val="20"/>
      <w:u w:color="000000"/>
    </w:rPr>
  </w:style>
  <w:style w:type="paragraph" w:styleId="13">
    <w:name w:val="Date"/>
    <w:basedOn w:val="1"/>
    <w:next w:val="1"/>
    <w:link w:val="44"/>
    <w:qFormat/>
    <w:uiPriority w:val="0"/>
    <w:rPr>
      <w:rFonts w:ascii="仿宋_GB2312" w:eastAsia="仿宋_GB2312"/>
      <w:sz w:val="30"/>
      <w:szCs w:val="20"/>
    </w:rPr>
  </w:style>
  <w:style w:type="paragraph" w:styleId="14">
    <w:name w:val="Body Text Indent 2"/>
    <w:basedOn w:val="1"/>
    <w:qFormat/>
    <w:uiPriority w:val="0"/>
    <w:pPr>
      <w:spacing w:line="360" w:lineRule="exact"/>
      <w:ind w:firstLine="600" w:firstLineChars="250"/>
      <w:jc w:val="left"/>
    </w:pPr>
    <w:rPr>
      <w:sz w:val="24"/>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next w:val="5"/>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5"/>
    <w:qFormat/>
    <w:uiPriority w:val="0"/>
    <w:rPr>
      <w:b/>
      <w:bCs/>
    </w:rPr>
  </w:style>
  <w:style w:type="paragraph" w:styleId="25">
    <w:name w:val="Body Text First Indent 2"/>
    <w:basedOn w:val="9"/>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7"/>
    <w:qFormat/>
    <w:uiPriority w:val="0"/>
    <w:rPr>
      <w:kern w:val="2"/>
      <w:sz w:val="21"/>
      <w:szCs w:val="24"/>
    </w:rPr>
  </w:style>
  <w:style w:type="character" w:customStyle="1" w:styleId="44">
    <w:name w:val="日期 字符"/>
    <w:link w:val="13"/>
    <w:qFormat/>
    <w:uiPriority w:val="0"/>
    <w:rPr>
      <w:rFonts w:ascii="仿宋_GB2312" w:eastAsia="仿宋_GB2312"/>
      <w:kern w:val="2"/>
      <w:sz w:val="30"/>
      <w:lang w:val="en-US" w:eastAsia="zh-CN" w:bidi="ar-SA"/>
    </w:rPr>
  </w:style>
  <w:style w:type="character" w:customStyle="1" w:styleId="45">
    <w:name w:val="批注主题 字符"/>
    <w:link w:val="24"/>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_Style 1"/>
    <w:basedOn w:val="1"/>
    <w:qFormat/>
    <w:uiPriority w:val="34"/>
    <w:pPr>
      <w:spacing w:line="360" w:lineRule="auto"/>
      <w:ind w:firstLine="420"/>
    </w:pPr>
    <w:rPr>
      <w:rFonts w:ascii="Calibri" w:hAnsi="Calibr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21553</Words>
  <Characters>24711</Characters>
  <Lines>253</Lines>
  <Paragraphs>71</Paragraphs>
  <TotalTime>3</TotalTime>
  <ScaleCrop>false</ScaleCrop>
  <LinksUpToDate>false</LinksUpToDate>
  <CharactersWithSpaces>25793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2024-11-29T04:49:00Z</dcterms:created>
  <dc:creator>微软用户</dc:creator>
  <cp:lastModifiedBy>好男人就是……</cp:lastModifiedBy>
  <cp:lastPrinted>2019-10-31T07:16:00Z</cp:lastPrinted>
  <dcterms:modified xsi:type="dcterms:W3CDTF">2024-12-19T09:37:16Z</dcterms:modified>
  <dc:title>花亭路等道路绿化工程苗木比价采购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2836163B648440C08A6C721093EFE9A3_13</vt:lpwstr>
  </property>
</Properties>
</file>