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after="157" w:afterLines="50"/>
        <w:ind w:right="278"/>
        <w:jc w:val="center"/>
        <w:textAlignment w:val="auto"/>
        <w:rPr>
          <w:rFonts w:ascii="仿宋" w:hAnsi="仿宋" w:eastAsia="仿宋" w:cs="FZXBSK--GBK1-0"/>
          <w:kern w:val="0"/>
          <w:sz w:val="28"/>
          <w:szCs w:val="28"/>
        </w:rPr>
      </w:pPr>
      <w:r>
        <w:rPr>
          <w:rFonts w:hint="eastAsia" w:ascii="黑体" w:hAnsi="黑体" w:eastAsia="黑体" w:cs="黑体"/>
          <w:b/>
          <w:bCs/>
          <w:color w:val="000000"/>
          <w:kern w:val="0"/>
          <w:sz w:val="44"/>
          <w:szCs w:val="44"/>
        </w:rPr>
        <w:t>招标采购领域各类隐性门槛和不合理限制专项清理问题清单</w:t>
      </w:r>
    </w:p>
    <w:p>
      <w:pPr>
        <w:autoSpaceDE w:val="0"/>
        <w:autoSpaceDN w:val="0"/>
        <w:adjustRightInd w:val="0"/>
        <w:ind w:right="28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填报单位：（加盖公章）</w:t>
      </w:r>
      <w:r>
        <w:rPr>
          <w:rFonts w:hint="eastAsia" w:ascii="宋体" w:hAnsi="宋体" w:eastAsia="宋体" w:cs="宋体"/>
          <w:b/>
          <w:bCs/>
          <w:color w:val="000000"/>
          <w:kern w:val="0"/>
          <w:sz w:val="28"/>
          <w:szCs w:val="28"/>
        </w:rPr>
        <w:tab/>
      </w:r>
      <w:r>
        <w:rPr>
          <w:rFonts w:hint="eastAsia" w:ascii="宋体" w:hAnsi="宋体" w:eastAsia="宋体" w:cs="宋体"/>
          <w:b/>
          <w:bCs/>
          <w:color w:val="000000"/>
          <w:kern w:val="0"/>
          <w:sz w:val="28"/>
          <w:szCs w:val="28"/>
        </w:rPr>
        <w:tab/>
      </w:r>
      <w:r>
        <w:rPr>
          <w:rFonts w:hint="eastAsia" w:ascii="宋体" w:hAnsi="宋体" w:eastAsia="宋体" w:cs="宋体"/>
          <w:b/>
          <w:bCs/>
          <w:color w:val="000000"/>
          <w:kern w:val="0"/>
          <w:sz w:val="28"/>
          <w:szCs w:val="28"/>
        </w:rPr>
        <w:tab/>
      </w:r>
      <w:r>
        <w:rPr>
          <w:rFonts w:hint="eastAsia" w:ascii="宋体" w:hAnsi="宋体" w:eastAsia="宋体" w:cs="宋体"/>
          <w:b/>
          <w:bCs/>
          <w:color w:val="000000"/>
          <w:kern w:val="0"/>
          <w:sz w:val="28"/>
          <w:szCs w:val="28"/>
          <w:lang w:val="en-US" w:eastAsia="zh-CN"/>
        </w:rPr>
        <w:t xml:space="preserve">   负责人：</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填报人：</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w:t>
      </w:r>
      <w:r>
        <w:rPr>
          <w:rFonts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rPr>
        <w:t>填报时间：</w:t>
      </w:r>
    </w:p>
    <w:tbl>
      <w:tblPr>
        <w:tblStyle w:val="2"/>
        <w:tblW w:w="13182"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225"/>
        <w:gridCol w:w="3435"/>
        <w:gridCol w:w="315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2"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3225"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问题类型</w:t>
            </w:r>
          </w:p>
        </w:tc>
        <w:tc>
          <w:tcPr>
            <w:tcW w:w="3435"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自查问题</w:t>
            </w:r>
          </w:p>
        </w:tc>
        <w:tc>
          <w:tcPr>
            <w:tcW w:w="3150"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整改措施及完成时限</w:t>
            </w:r>
          </w:p>
        </w:tc>
        <w:tc>
          <w:tcPr>
            <w:tcW w:w="2730"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是否存在要求供应商提供与采购项目无关的资质证书、专利证书，或设定的资格、技术、商务条件与采购项目的具体特点和实际需要不相适应或者与合同履行无关。</w:t>
            </w:r>
          </w:p>
        </w:tc>
        <w:tc>
          <w:tcPr>
            <w:tcW w:w="3435"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bookmarkStart w:id="0" w:name="_GoBack"/>
            <w:bookmarkEnd w:id="0"/>
          </w:p>
        </w:tc>
        <w:tc>
          <w:tcPr>
            <w:tcW w:w="273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是否存在采购需求中的技术、服务等要求指向特定供应商、特定产品、特定商标或者品牌。</w:t>
            </w:r>
          </w:p>
        </w:tc>
        <w:tc>
          <w:tcPr>
            <w:tcW w:w="3435"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3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是否存在在评标、评审办法中将资格条件作为评审因素，评审标准中分值设置未与评审因素的量化指标相对应，或将特定行业中标业绩、奖项作为加分条件或中标、成交条件。</w:t>
            </w:r>
          </w:p>
        </w:tc>
        <w:tc>
          <w:tcPr>
            <w:tcW w:w="3435"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3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是否存在投标保证金、履约保证金、质保金应退未退。</w:t>
            </w:r>
          </w:p>
        </w:tc>
        <w:tc>
          <w:tcPr>
            <w:tcW w:w="3435"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3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是否存在未依法依规确定采购方式、化整为零规避政府采购或者公开招标。校内自行组织的招标采购活动，是否存在未按规定组织开标、评标评审、履约验收的。</w:t>
            </w:r>
          </w:p>
        </w:tc>
        <w:tc>
          <w:tcPr>
            <w:tcW w:w="3435"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30" w:type="dxa"/>
            <w:shd w:val="clear" w:color="auto" w:fill="auto"/>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是否存在采购标的物的总价和单价违背常识，存在“天价”采购、“豪华”采购。</w:t>
            </w:r>
          </w:p>
        </w:tc>
        <w:tc>
          <w:tcPr>
            <w:tcW w:w="3435" w:type="dxa"/>
            <w:shd w:val="clear" w:color="auto" w:fill="auto"/>
            <w:vAlign w:val="center"/>
          </w:tcPr>
          <w:p>
            <w:pPr>
              <w:widowControl/>
              <w:rPr>
                <w:rFonts w:ascii="宋体" w:hAnsi="宋体" w:eastAsia="宋体" w:cs="宋体"/>
                <w:color w:val="000000"/>
                <w:kern w:val="0"/>
                <w:sz w:val="22"/>
                <w:szCs w:val="22"/>
              </w:rPr>
            </w:pPr>
          </w:p>
        </w:tc>
        <w:tc>
          <w:tcPr>
            <w:tcW w:w="3150" w:type="dxa"/>
            <w:shd w:val="clear" w:color="auto" w:fill="auto"/>
            <w:vAlign w:val="center"/>
          </w:tcPr>
          <w:p>
            <w:pPr>
              <w:widowControl/>
              <w:rPr>
                <w:rFonts w:ascii="宋体" w:hAnsi="宋体" w:eastAsia="宋体" w:cs="宋体"/>
                <w:color w:val="000000"/>
                <w:kern w:val="0"/>
                <w:sz w:val="22"/>
                <w:szCs w:val="22"/>
              </w:rPr>
            </w:pPr>
          </w:p>
        </w:tc>
        <w:tc>
          <w:tcPr>
            <w:tcW w:w="2730" w:type="dxa"/>
            <w:shd w:val="clear" w:color="auto" w:fill="auto"/>
            <w:vAlign w:val="center"/>
          </w:tcPr>
          <w:p>
            <w:pPr>
              <w:widowControl/>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42"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322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是否存在未在规定期限内签订合同或者所签合同对采购文件或者投标（响应）文件作实质性修改，或未依法依规履行合同的。</w:t>
            </w:r>
          </w:p>
        </w:tc>
        <w:tc>
          <w:tcPr>
            <w:tcW w:w="3435" w:type="dxa"/>
            <w:shd w:val="clear" w:color="auto" w:fill="auto"/>
            <w:vAlign w:val="center"/>
          </w:tcPr>
          <w:p>
            <w:pPr>
              <w:widowControl/>
              <w:rPr>
                <w:rFonts w:ascii="宋体" w:hAnsi="宋体" w:eastAsia="宋体" w:cs="宋体"/>
                <w:color w:val="000000"/>
                <w:kern w:val="0"/>
                <w:sz w:val="22"/>
                <w:szCs w:val="22"/>
              </w:rPr>
            </w:pPr>
          </w:p>
        </w:tc>
        <w:tc>
          <w:tcPr>
            <w:tcW w:w="3150" w:type="dxa"/>
            <w:shd w:val="clear" w:color="auto" w:fill="auto"/>
            <w:vAlign w:val="center"/>
          </w:tcPr>
          <w:p>
            <w:pPr>
              <w:widowControl/>
              <w:rPr>
                <w:rFonts w:ascii="宋体" w:hAnsi="宋体" w:eastAsia="宋体" w:cs="宋体"/>
                <w:color w:val="000000"/>
                <w:kern w:val="0"/>
                <w:sz w:val="22"/>
                <w:szCs w:val="22"/>
              </w:rPr>
            </w:pPr>
          </w:p>
        </w:tc>
        <w:tc>
          <w:tcPr>
            <w:tcW w:w="2730" w:type="dxa"/>
            <w:shd w:val="clear" w:color="auto" w:fill="auto"/>
            <w:vAlign w:val="center"/>
          </w:tcPr>
          <w:p>
            <w:pPr>
              <w:widowControl/>
              <w:rPr>
                <w:rFonts w:ascii="宋体" w:hAnsi="宋体" w:eastAsia="宋体" w:cs="宋体"/>
                <w:color w:val="000000"/>
                <w:kern w:val="0"/>
                <w:sz w:val="22"/>
                <w:szCs w:val="22"/>
              </w:rPr>
            </w:pPr>
          </w:p>
        </w:tc>
      </w:tr>
    </w:tbl>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XBSK--GBK1-0">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0002A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YWE3ZDdiNjZmZGM2MjU3OWIyM2ZiY2FmOWQ3MjkifQ=="/>
  </w:docVars>
  <w:rsids>
    <w:rsidRoot w:val="00000000"/>
    <w:rsid w:val="249C463B"/>
    <w:rsid w:val="7918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445</Characters>
  <Lines>0</Lines>
  <Paragraphs>0</Paragraphs>
  <TotalTime>4</TotalTime>
  <ScaleCrop>false</ScaleCrop>
  <LinksUpToDate>false</LinksUpToDate>
  <CharactersWithSpaces>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2023-04-03T16:10:50Z</dcterms:created>
  <dc:creator>Administrator</dc:creator>
  <cp:lastModifiedBy>maybe</cp:lastModifiedBy>
  <dcterms:modified xsi:type="dcterms:W3CDTF">2023-04-03T16:15:37Z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31B6FA44468B4D8C824FF74265D3D17F</vt:lpwstr>
  </property>
</Properties>
</file>